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C53BAE">
        <w:tblPrEx>
          <w:tblCellMar>
            <w:top w:w="0" w:type="dxa"/>
            <w:left w:w="0" w:type="dxa"/>
            <w:bottom w:w="0" w:type="dxa"/>
            <w:right w:w="0" w:type="dxa"/>
          </w:tblCellMar>
        </w:tblPrEx>
        <w:trPr>
          <w:gridAfter w:val="2"/>
          <w:wAfter w:w="1758" w:type="dxa"/>
          <w:cantSplit/>
          <w:trHeight w:val="1320"/>
        </w:trPr>
        <w:tc>
          <w:tcPr>
            <w:tcW w:w="5897" w:type="dxa"/>
          </w:tcPr>
          <w:p w:rsidR="00742463" w:rsidRPr="00C53BAE" w:rsidRDefault="00742463">
            <w:pPr>
              <w:pStyle w:val="HuvudRubrik"/>
            </w:pPr>
            <w:r w:rsidRPr="00C53BAE">
              <w:t>Regeringskansliet</w:t>
            </w:r>
          </w:p>
          <w:p w:rsidR="00742463" w:rsidRPr="00C53BAE" w:rsidRDefault="00742463">
            <w:pPr>
              <w:pStyle w:val="HuvudRubrik"/>
            </w:pPr>
            <w:r w:rsidRPr="00C53BAE">
              <w:t xml:space="preserve">Faktapromemoria  </w:t>
            </w:r>
            <w:r w:rsidRPr="00C53BAE">
              <w:t>2006/07</w:t>
            </w:r>
            <w:r w:rsidRPr="00C53BAE">
              <w:t>:</w:t>
            </w:r>
            <w:r w:rsidRPr="00C53BAE">
              <w:t>FPM115</w:t>
            </w:r>
          </w:p>
        </w:tc>
      </w:tr>
      <w:tr w:rsidR="00000000" w:rsidRPr="00C53BAE">
        <w:tblPrEx>
          <w:tblCellMar>
            <w:top w:w="0" w:type="dxa"/>
            <w:left w:w="0" w:type="dxa"/>
            <w:bottom w:w="0" w:type="dxa"/>
            <w:right w:w="0" w:type="dxa"/>
          </w:tblCellMar>
        </w:tblPrEx>
        <w:trPr>
          <w:gridAfter w:val="2"/>
          <w:wAfter w:w="1758" w:type="dxa"/>
          <w:cantSplit/>
          <w:trHeight w:val="240"/>
        </w:trPr>
        <w:tc>
          <w:tcPr>
            <w:tcW w:w="5897" w:type="dxa"/>
          </w:tcPr>
          <w:p w:rsidR="00742463" w:rsidRPr="00C53BAE" w:rsidRDefault="00742463">
            <w:pPr>
              <w:pStyle w:val="HuvudRubrik"/>
              <w:rPr>
                <w:sz w:val="28"/>
              </w:rPr>
            </w:pPr>
            <w:r w:rsidRPr="00C53BAE">
              <w:t>Meddelande om cirkulär migration och partnerskap för rörlighet mellan EU och tredjeländer</w:t>
            </w:r>
          </w:p>
        </w:tc>
      </w:tr>
      <w:tr w:rsidR="006D4AA5" w:rsidRPr="00C53BAE">
        <w:tblPrEx>
          <w:tblCellMar>
            <w:top w:w="0" w:type="dxa"/>
            <w:left w:w="0" w:type="dxa"/>
            <w:bottom w:w="0" w:type="dxa"/>
            <w:right w:w="0" w:type="dxa"/>
          </w:tblCellMar>
        </w:tblPrEx>
        <w:trPr>
          <w:cantSplit/>
          <w:trHeight w:val="285"/>
        </w:trPr>
        <w:tc>
          <w:tcPr>
            <w:tcW w:w="7655" w:type="dxa"/>
            <w:gridSpan w:val="3"/>
          </w:tcPr>
          <w:p w:rsidR="006D4AA5" w:rsidRPr="00C53BAE" w:rsidRDefault="00ED1FA0">
            <w:pPr>
              <w:pStyle w:val="Departement"/>
              <w:rPr>
                <w:sz w:val="28"/>
              </w:rPr>
            </w:pPr>
            <w:r w:rsidRPr="00C53BAE">
              <w:t>Justitiedepartementet</w:t>
            </w:r>
          </w:p>
        </w:tc>
      </w:tr>
      <w:tr w:rsidR="006D4AA5" w:rsidRPr="00C53BAE">
        <w:tblPrEx>
          <w:tblCellMar>
            <w:top w:w="0" w:type="dxa"/>
            <w:left w:w="0" w:type="dxa"/>
            <w:bottom w:w="0" w:type="dxa"/>
            <w:right w:w="0" w:type="dxa"/>
          </w:tblCellMar>
        </w:tblPrEx>
        <w:trPr>
          <w:cantSplit/>
          <w:trHeight w:val="240"/>
        </w:trPr>
        <w:tc>
          <w:tcPr>
            <w:tcW w:w="7655" w:type="dxa"/>
            <w:gridSpan w:val="3"/>
          </w:tcPr>
          <w:p w:rsidR="006D4AA5" w:rsidRPr="00C53BAE" w:rsidRDefault="00ED1FA0">
            <w:pPr>
              <w:pStyle w:val="Dokumentdatum"/>
            </w:pPr>
            <w:r w:rsidRPr="00C53BAE">
              <w:t>2007-08-24</w:t>
            </w:r>
          </w:p>
        </w:tc>
      </w:tr>
      <w:tr w:rsidR="006D4AA5" w:rsidRPr="00C53BAE">
        <w:tblPrEx>
          <w:tblCellMar>
            <w:top w:w="0" w:type="dxa"/>
            <w:left w:w="0" w:type="dxa"/>
            <w:bottom w:w="0" w:type="dxa"/>
            <w:right w:w="0" w:type="dxa"/>
          </w:tblCellMar>
        </w:tblPrEx>
        <w:trPr>
          <w:cantSplit/>
          <w:trHeight w:val="726"/>
        </w:trPr>
        <w:tc>
          <w:tcPr>
            <w:tcW w:w="7655" w:type="dxa"/>
            <w:gridSpan w:val="3"/>
            <w:vAlign w:val="bottom"/>
          </w:tcPr>
          <w:p w:rsidR="006D4AA5" w:rsidRPr="00C53BAE" w:rsidRDefault="006D4AA5">
            <w:pPr>
              <w:pStyle w:val="Dokumentbeteckning"/>
            </w:pPr>
            <w:r w:rsidRPr="00C53BAE">
              <w:t>Dokumentbeteckning</w:t>
            </w:r>
          </w:p>
        </w:tc>
      </w:tr>
      <w:tr w:rsidR="00565CEA" w:rsidRPr="00C53BAE">
        <w:tblPrEx>
          <w:tblCellMar>
            <w:top w:w="0" w:type="dxa"/>
            <w:left w:w="0" w:type="dxa"/>
            <w:bottom w:w="0" w:type="dxa"/>
            <w:right w:w="0" w:type="dxa"/>
          </w:tblCellMar>
        </w:tblPrEx>
        <w:trPr>
          <w:gridAfter w:val="1"/>
          <w:wAfter w:w="1560" w:type="dxa"/>
          <w:trHeight w:val="120"/>
        </w:trPr>
        <w:tc>
          <w:tcPr>
            <w:tcW w:w="6095" w:type="dxa"/>
            <w:gridSpan w:val="2"/>
          </w:tcPr>
          <w:p w:rsidR="00565CEA" w:rsidRPr="00C53BAE" w:rsidRDefault="00ED1FA0" w:rsidP="00ED1FA0">
            <w:bookmarkStart w:id="0" w:name="KomNr"/>
            <w:bookmarkEnd w:id="0"/>
            <w:r w:rsidRPr="00C53BAE">
              <w:t>KOM (2007) 248 slutlig</w:t>
            </w:r>
          </w:p>
        </w:tc>
      </w:tr>
      <w:tr w:rsidR="00ED1FA0" w:rsidRPr="00C53BAE">
        <w:tblPrEx>
          <w:tblCellMar>
            <w:top w:w="0" w:type="dxa"/>
            <w:left w:w="0" w:type="dxa"/>
            <w:bottom w:w="0" w:type="dxa"/>
            <w:right w:w="0" w:type="dxa"/>
          </w:tblCellMar>
        </w:tblPrEx>
        <w:trPr>
          <w:gridAfter w:val="1"/>
          <w:wAfter w:w="1560" w:type="dxa"/>
          <w:trHeight w:val="120"/>
        </w:trPr>
        <w:tc>
          <w:tcPr>
            <w:tcW w:w="6095" w:type="dxa"/>
            <w:gridSpan w:val="2"/>
          </w:tcPr>
          <w:p w:rsidR="00ED1FA0" w:rsidRPr="00C53BAE" w:rsidRDefault="00ED1FA0" w:rsidP="00ED1FA0">
            <w:pPr>
              <w:pStyle w:val="Dokumentbeteckning-titel"/>
            </w:pPr>
            <w:r w:rsidRPr="00C53BAE">
              <w:t>Meddelande från kommissionen till rådet, parlamentet, Europeiska ekonomiska och sociala kommittén och regionkommittén om cirkulär migration och partnerskap för rörlighet mellan Europeiska unionen och tredjeländer</w:t>
            </w:r>
          </w:p>
        </w:tc>
      </w:tr>
    </w:tbl>
    <w:p w:rsidR="006D4AA5" w:rsidRPr="00C53BAE" w:rsidRDefault="006D4AA5"/>
    <w:p w:rsidR="006D4AA5" w:rsidRPr="00C53BAE" w:rsidRDefault="006D4AA5">
      <w:pPr>
        <w:pStyle w:val="Rubrik1"/>
        <w:numPr>
          <w:ilvl w:val="0"/>
          <w:numId w:val="0"/>
        </w:numPr>
      </w:pPr>
      <w:r w:rsidRPr="00C53BAE">
        <w:t>Sammanfattning</w:t>
      </w:r>
    </w:p>
    <w:p w:rsidR="00224907" w:rsidRPr="00C53BAE" w:rsidRDefault="00641C1D" w:rsidP="00224907">
      <w:r w:rsidRPr="00C53BAE">
        <w:t>Syftet med meddelande</w:t>
      </w:r>
      <w:r w:rsidR="007216F4" w:rsidRPr="00C53BAE">
        <w:t>t om cirkulär migration och partne</w:t>
      </w:r>
      <w:r w:rsidR="00282392" w:rsidRPr="00C53BAE">
        <w:t>rs</w:t>
      </w:r>
      <w:r w:rsidR="007216F4" w:rsidRPr="00C53BAE">
        <w:t xml:space="preserve">kap för rörlighet </w:t>
      </w:r>
      <w:r w:rsidR="00224907" w:rsidRPr="00C53BAE">
        <w:t xml:space="preserve">är att </w:t>
      </w:r>
      <w:r w:rsidR="00B4208B" w:rsidRPr="00C53BAE">
        <w:t>presentera ett underlag för diskussion om</w:t>
      </w:r>
      <w:r w:rsidR="00224907" w:rsidRPr="00C53BAE">
        <w:t xml:space="preserve"> nya sätt att förbättra hanteringen av personers lagliga förflyttning</w:t>
      </w:r>
      <w:r w:rsidR="00567B44" w:rsidRPr="00C53BAE">
        <w:t>ar</w:t>
      </w:r>
      <w:r w:rsidR="00224907" w:rsidRPr="00C53BAE">
        <w:t xml:space="preserve"> mellan EU och sådana tredjeländer so</w:t>
      </w:r>
      <w:r w:rsidR="00BF0989" w:rsidRPr="00C53BAE">
        <w:t xml:space="preserve">m är beredda att </w:t>
      </w:r>
      <w:r w:rsidR="00D81BB8" w:rsidRPr="00C53BAE">
        <w:t xml:space="preserve">aktivt samarbeta med EU </w:t>
      </w:r>
      <w:r w:rsidR="00C606BC" w:rsidRPr="00C53BAE">
        <w:t>i</w:t>
      </w:r>
      <w:r w:rsidR="00D81BB8" w:rsidRPr="00C53BAE">
        <w:t xml:space="preserve"> han</w:t>
      </w:r>
      <w:r w:rsidR="00567B44" w:rsidRPr="00C53BAE">
        <w:t>teringen av migrationsströmmar</w:t>
      </w:r>
      <w:r w:rsidR="00224907" w:rsidRPr="00C53BAE">
        <w:t xml:space="preserve">. Meddelandet tar dessutom upp metoder för att underlätta cirkulär migration. Ett fungerande system </w:t>
      </w:r>
      <w:r w:rsidR="00DB1AD8" w:rsidRPr="00C53BAE">
        <w:t>för</w:t>
      </w:r>
      <w:r w:rsidR="00035730" w:rsidRPr="00C53BAE">
        <w:t xml:space="preserve"> cirku</w:t>
      </w:r>
      <w:r w:rsidRPr="00C53BAE">
        <w:t xml:space="preserve">lär migration </w:t>
      </w:r>
      <w:r w:rsidR="00224907" w:rsidRPr="00C53BAE">
        <w:t xml:space="preserve">skulle </w:t>
      </w:r>
      <w:r w:rsidRPr="00C53BAE">
        <w:t xml:space="preserve">enligt kommissionen </w:t>
      </w:r>
      <w:r w:rsidR="000E160E" w:rsidRPr="00C53BAE">
        <w:t>hjälpa EU:s medlemsstater att tillgodose</w:t>
      </w:r>
      <w:r w:rsidR="00224907" w:rsidRPr="00C53BAE">
        <w:t xml:space="preserve"> </w:t>
      </w:r>
      <w:r w:rsidR="00494738" w:rsidRPr="00C53BAE">
        <w:t>sina behov av</w:t>
      </w:r>
      <w:r w:rsidR="000E160E" w:rsidRPr="00C53BAE">
        <w:t xml:space="preserve"> </w:t>
      </w:r>
      <w:r w:rsidR="00224907" w:rsidRPr="00C53BAE">
        <w:t xml:space="preserve">den arbetskraft de behöver. Samtidigt skulle man kunna </w:t>
      </w:r>
      <w:r w:rsidR="00B44E73" w:rsidRPr="00C53BAE">
        <w:t xml:space="preserve">främja migrationens utvecklingseffekter, inklusive </w:t>
      </w:r>
      <w:r w:rsidR="00224907" w:rsidRPr="00C53BAE">
        <w:t xml:space="preserve">överföring av kunskap samt </w:t>
      </w:r>
      <w:r w:rsidR="00B44E73" w:rsidRPr="00C53BAE">
        <w:t xml:space="preserve">att </w:t>
      </w:r>
      <w:r w:rsidR="00224907" w:rsidRPr="00C53BAE">
        <w:t>mildra verkningarna av kompetensflykt.</w:t>
      </w:r>
    </w:p>
    <w:p w:rsidR="00BA0FBF" w:rsidRPr="00C53BAE" w:rsidRDefault="008B5B10">
      <w:r w:rsidRPr="00C53BAE">
        <w:t xml:space="preserve">Sverige välkomnar kommissionens meddelande och ser positivt på ansatsen att fördjupa samarbetet på migrationsområdet med länder utanför EU. </w:t>
      </w:r>
    </w:p>
    <w:p w:rsidR="008B5B10" w:rsidRPr="00C53BAE" w:rsidRDefault="008B5B10" w:rsidP="00ED1FA0"/>
    <w:p w:rsidR="006D4AA5" w:rsidRPr="00C53BAE" w:rsidRDefault="00BA0FBF">
      <w:pPr>
        <w:rPr>
          <w:i/>
          <w:sz w:val="22"/>
          <w:szCs w:val="22"/>
        </w:rPr>
      </w:pPr>
      <w:r w:rsidRPr="00C53BAE">
        <w:rPr>
          <w:i/>
          <w:sz w:val="22"/>
          <w:szCs w:val="22"/>
        </w:rPr>
        <w:t>Bakgrund</w:t>
      </w:r>
    </w:p>
    <w:p w:rsidR="00BA0FBF" w:rsidRPr="00C53BAE" w:rsidRDefault="00BA0FBF" w:rsidP="00ED1FA0"/>
    <w:p w:rsidR="00692D3C" w:rsidRPr="00C53BAE" w:rsidRDefault="00BA0FBF" w:rsidP="00ED1FA0">
      <w:r w:rsidRPr="00C53BAE">
        <w:t>Europeis</w:t>
      </w:r>
      <w:r w:rsidR="000E160E" w:rsidRPr="00C53BAE">
        <w:t>ka rådet</w:t>
      </w:r>
      <w:r w:rsidRPr="00C53BAE">
        <w:t xml:space="preserve"> konstaterade i sina slutsatser</w:t>
      </w:r>
      <w:r w:rsidR="005F001E" w:rsidRPr="00C53BAE">
        <w:t xml:space="preserve"> från</w:t>
      </w:r>
      <w:r w:rsidR="000E160E" w:rsidRPr="00C53BAE">
        <w:t xml:space="preserve"> december 2006 </w:t>
      </w:r>
      <w:r w:rsidRPr="00C53BAE">
        <w:t>att ”</w:t>
      </w:r>
      <w:r w:rsidR="008330D4" w:rsidRPr="00C53BAE">
        <w:t>S</w:t>
      </w:r>
      <w:r w:rsidRPr="00C53BAE">
        <w:t xml:space="preserve">amtidigt som medlemsstaternas behörighet på detta område respekteras kommer möjligheter till hur laglig migration </w:t>
      </w:r>
      <w:r w:rsidR="00FC0736" w:rsidRPr="00C53BAE">
        <w:t>ska</w:t>
      </w:r>
      <w:r w:rsidRPr="00C53BAE">
        <w:t xml:space="preserve"> kunna införlivas i unionens utrikes</w:t>
      </w:r>
      <w:r w:rsidRPr="00C53BAE">
        <w:lastRenderedPageBreak/>
        <w:t>politik att övervägas i syfte att utveckla ett balanserat partnerskap med tredjeländer som är anpassat till de särskilda behoven på arbets</w:t>
      </w:r>
      <w:r w:rsidRPr="00C53BAE">
        <w:softHyphen/>
        <w:t>marknaderna i EU:s medlemsstater. Sätt och metoder att underlätta cirkulär och tillfällig migration kommer att undersökas. Kommissionen uppmanas att senast i juni 2007 lägga fram detaljerade förslag till hur man på bättre sätt kan organisera och informera om de olika formerna för laglig förflyttning mellan EU och tredjeländer”</w:t>
      </w:r>
      <w:r w:rsidR="00D765BA" w:rsidRPr="00C53BAE">
        <w:t>.</w:t>
      </w:r>
      <w:r w:rsidRPr="00C53BAE">
        <w:t xml:space="preserve"> Kommissionens meddelande om cirkulär migration och </w:t>
      </w:r>
      <w:r w:rsidR="00BD77FF" w:rsidRPr="00C53BAE">
        <w:t>pa</w:t>
      </w:r>
      <w:r w:rsidR="00D02F71" w:rsidRPr="00C53BAE">
        <w:t xml:space="preserve">rtnerskap för </w:t>
      </w:r>
      <w:r w:rsidRPr="00C53BAE">
        <w:t>rörlighet</w:t>
      </w:r>
      <w:r w:rsidR="00D02F71" w:rsidRPr="00C53BAE">
        <w:t xml:space="preserve"> </w:t>
      </w:r>
      <w:r w:rsidR="00B4208B" w:rsidRPr="00C53BAE">
        <w:t>är ett försök att tillmötesgå Europeiska rådets begäran</w:t>
      </w:r>
      <w:r w:rsidRPr="00C53BAE">
        <w:t>.</w:t>
      </w:r>
    </w:p>
    <w:p w:rsidR="006D4AA5" w:rsidRPr="00C53BAE" w:rsidRDefault="006D4AA5">
      <w:pPr>
        <w:pStyle w:val="Rubrik1"/>
      </w:pPr>
      <w:r w:rsidRPr="00C53BAE">
        <w:t>Förslaget</w:t>
      </w:r>
    </w:p>
    <w:p w:rsidR="006D4AA5" w:rsidRPr="00C53BAE" w:rsidRDefault="006D4AA5">
      <w:pPr>
        <w:pStyle w:val="Rubrik2"/>
      </w:pPr>
      <w:r w:rsidRPr="00C53BAE">
        <w:t>Innehåll</w:t>
      </w:r>
    </w:p>
    <w:p w:rsidR="006D4AA5" w:rsidRPr="00C53BAE" w:rsidRDefault="006650BC">
      <w:pPr>
        <w:rPr>
          <w:b/>
          <w:sz w:val="20"/>
        </w:rPr>
      </w:pPr>
      <w:r w:rsidRPr="00C53BAE">
        <w:rPr>
          <w:b/>
          <w:sz w:val="20"/>
        </w:rPr>
        <w:t>Utveckling av partnerskap för rörlighet</w:t>
      </w:r>
    </w:p>
    <w:p w:rsidR="00D81BB8" w:rsidRPr="00C53BAE" w:rsidRDefault="00E1018E" w:rsidP="00E86C1D">
      <w:pPr>
        <w:rPr>
          <w:sz w:val="20"/>
        </w:rPr>
      </w:pPr>
      <w:r w:rsidRPr="00C53BAE">
        <w:rPr>
          <w:szCs w:val="19"/>
        </w:rPr>
        <w:t xml:space="preserve">I meddelandet om </w:t>
      </w:r>
      <w:r w:rsidR="00B4208B" w:rsidRPr="00C53BAE">
        <w:rPr>
          <w:szCs w:val="19"/>
        </w:rPr>
        <w:t xml:space="preserve">uppföljningen av </w:t>
      </w:r>
      <w:r w:rsidRPr="00C53BAE">
        <w:rPr>
          <w:szCs w:val="19"/>
        </w:rPr>
        <w:t>den övergripande stra</w:t>
      </w:r>
      <w:r w:rsidR="00B4208B" w:rsidRPr="00C53BAE">
        <w:rPr>
          <w:szCs w:val="19"/>
        </w:rPr>
        <w:t>tegin för migration</w:t>
      </w:r>
      <w:r w:rsidRPr="00C53BAE">
        <w:rPr>
          <w:szCs w:val="19"/>
        </w:rPr>
        <w:t xml:space="preserve"> (KOM (2006) 735) presenterade</w:t>
      </w:r>
      <w:r w:rsidR="009B179C" w:rsidRPr="00C53BAE">
        <w:rPr>
          <w:szCs w:val="19"/>
        </w:rPr>
        <w:t>s idén om att erbjuda tredje</w:t>
      </w:r>
      <w:r w:rsidR="00E86C1D" w:rsidRPr="00C53BAE">
        <w:rPr>
          <w:szCs w:val="19"/>
        </w:rPr>
        <w:t>länder s.k. mobilitets</w:t>
      </w:r>
      <w:r w:rsidRPr="00C53BAE">
        <w:rPr>
          <w:szCs w:val="19"/>
        </w:rPr>
        <w:t>program.</w:t>
      </w:r>
      <w:r w:rsidR="00B4208B" w:rsidRPr="00C53BAE">
        <w:rPr>
          <w:szCs w:val="19"/>
        </w:rPr>
        <w:t xml:space="preserve"> </w:t>
      </w:r>
      <w:r w:rsidR="008737B2" w:rsidRPr="00C53BAE">
        <w:rPr>
          <w:szCs w:val="19"/>
        </w:rPr>
        <w:t xml:space="preserve">Bakgrunden till idén var </w:t>
      </w:r>
      <w:r w:rsidR="00494738" w:rsidRPr="00C53BAE">
        <w:rPr>
          <w:szCs w:val="19"/>
        </w:rPr>
        <w:t xml:space="preserve">enligt kommissionen </w:t>
      </w:r>
      <w:r w:rsidR="008737B2" w:rsidRPr="00C53BAE">
        <w:rPr>
          <w:szCs w:val="19"/>
        </w:rPr>
        <w:t>det tydliga behovet av att organisera de olika formerna av laglig migration mellan EU och t</w:t>
      </w:r>
      <w:r w:rsidR="00B4208B" w:rsidRPr="00C53BAE">
        <w:rPr>
          <w:szCs w:val="19"/>
        </w:rPr>
        <w:t>redjeländer på ett bättre sätt.</w:t>
      </w:r>
      <w:r w:rsidR="008737B2" w:rsidRPr="00C53BAE">
        <w:rPr>
          <w:szCs w:val="19"/>
        </w:rPr>
        <w:t xml:space="preserve"> </w:t>
      </w:r>
      <w:r w:rsidRPr="00C53BAE">
        <w:rPr>
          <w:szCs w:val="19"/>
        </w:rPr>
        <w:t>Syfte</w:t>
      </w:r>
      <w:r w:rsidR="00E86C1D" w:rsidRPr="00C53BAE">
        <w:rPr>
          <w:szCs w:val="19"/>
        </w:rPr>
        <w:t>t med mobilitets</w:t>
      </w:r>
      <w:r w:rsidRPr="00C53BAE">
        <w:rPr>
          <w:szCs w:val="19"/>
        </w:rPr>
        <w:t xml:space="preserve">programmen, som enligt kommissionen </w:t>
      </w:r>
      <w:r w:rsidR="00E86C1D" w:rsidRPr="00C53BAE">
        <w:rPr>
          <w:szCs w:val="19"/>
        </w:rPr>
        <w:t xml:space="preserve">fortsättningsvis bör kallas </w:t>
      </w:r>
      <w:r w:rsidRPr="00C53BAE">
        <w:rPr>
          <w:i/>
          <w:szCs w:val="19"/>
        </w:rPr>
        <w:t>partnerskap för rörlighet</w:t>
      </w:r>
      <w:r w:rsidRPr="00C53BAE">
        <w:rPr>
          <w:szCs w:val="19"/>
        </w:rPr>
        <w:t xml:space="preserve">, är att tillhandahålla </w:t>
      </w:r>
      <w:r w:rsidRPr="00C53BAE">
        <w:t xml:space="preserve">en övergripande ram för </w:t>
      </w:r>
      <w:r w:rsidR="00567B44" w:rsidRPr="00C53BAE">
        <w:t>hanteringen</w:t>
      </w:r>
      <w:r w:rsidRPr="00C53BAE">
        <w:t xml:space="preserve"> av laglig migration mellan EU och tredjeländer</w:t>
      </w:r>
      <w:r w:rsidR="0033660D" w:rsidRPr="00C53BAE">
        <w:t>.</w:t>
      </w:r>
      <w:r w:rsidRPr="00C53BAE">
        <w:t xml:space="preserve"> </w:t>
      </w:r>
      <w:r w:rsidR="0033660D" w:rsidRPr="00C53BAE">
        <w:t>Syftet är också att</w:t>
      </w:r>
      <w:r w:rsidR="002C450D" w:rsidRPr="00C53BAE">
        <w:t xml:space="preserve"> samla </w:t>
      </w:r>
      <w:r w:rsidR="00DB1AD8" w:rsidRPr="00C53BAE">
        <w:t>alla</w:t>
      </w:r>
      <w:r w:rsidRPr="00C53BAE">
        <w:t xml:space="preserve"> möjligheter </w:t>
      </w:r>
      <w:r w:rsidR="00DB1AD8" w:rsidRPr="00C53BAE">
        <w:t xml:space="preserve">till laglig migration </w:t>
      </w:r>
      <w:r w:rsidRPr="00C53BAE">
        <w:t>som medlemsstaterna och Europeiska gemenskapen erbjuder samtidigt som behörighetsfördelningen enligt fördraget respekteras.</w:t>
      </w:r>
    </w:p>
    <w:p w:rsidR="00D81BB8" w:rsidRPr="00C53BAE" w:rsidRDefault="00B37D18" w:rsidP="00ED1FA0">
      <w:r w:rsidRPr="00C53BAE">
        <w:t>I det nu aktuella meddelandet (KOM(2007) 248)</w:t>
      </w:r>
      <w:r w:rsidR="00E1018E" w:rsidRPr="00C53BAE">
        <w:t xml:space="preserve"> presenterar kommissionen ett underlag till diskussion om hur sådana </w:t>
      </w:r>
      <w:r w:rsidR="004806F6" w:rsidRPr="00C53BAE">
        <w:t>partnerskap för rörlighet</w:t>
      </w:r>
      <w:r w:rsidR="00E1018E" w:rsidRPr="00C53BAE">
        <w:t xml:space="preserve"> skulle kunna utformas.</w:t>
      </w:r>
      <w:r w:rsidR="00BD2FE2" w:rsidRPr="00C53BAE">
        <w:t xml:space="preserve"> </w:t>
      </w:r>
      <w:r w:rsidR="00522442" w:rsidRPr="00C53BAE">
        <w:t xml:space="preserve">Kommissionen föreslår </w:t>
      </w:r>
      <w:r w:rsidR="00BD2FE2" w:rsidRPr="00C53BAE">
        <w:t>att partnerskapen</w:t>
      </w:r>
      <w:r w:rsidR="00DB1AD8" w:rsidRPr="00C53BAE">
        <w:t xml:space="preserve"> ska innehålla ömsesidiga åtaganden från både EU och tredjeland och ska förhandlas fram</w:t>
      </w:r>
      <w:r w:rsidR="00BD2FE2" w:rsidRPr="00C53BAE">
        <w:t xml:space="preserve">, i samarbete med berörda medlemsstater, med </w:t>
      </w:r>
      <w:r w:rsidR="009B179C" w:rsidRPr="00C53BAE">
        <w:t>tredjeländer</w:t>
      </w:r>
      <w:r w:rsidR="00BD2FE2" w:rsidRPr="00C53BAE">
        <w:t xml:space="preserve"> som uppfyller</w:t>
      </w:r>
      <w:r w:rsidR="00522442" w:rsidRPr="00C53BAE">
        <w:t xml:space="preserve"> ett antal </w:t>
      </w:r>
      <w:r w:rsidR="00BD2FE2" w:rsidRPr="00C53BAE">
        <w:t>krav</w:t>
      </w:r>
      <w:r w:rsidR="00750807" w:rsidRPr="00C53BAE">
        <w:t>.</w:t>
      </w:r>
      <w:r w:rsidR="009B179C" w:rsidRPr="00C53BAE">
        <w:t xml:space="preserve"> Partnerskapen för rörlighet </w:t>
      </w:r>
      <w:r w:rsidR="00494738" w:rsidRPr="00C53BAE">
        <w:t>föreslås</w:t>
      </w:r>
      <w:r w:rsidR="009B179C" w:rsidRPr="00C53BAE">
        <w:t xml:space="preserve"> vara skräddarsydda utifrån förutsättningarna i varje enskilt tredjeland och hänsyn ska tas till EU:s externa relation med landet ifråga.</w:t>
      </w:r>
      <w:r w:rsidR="00750807" w:rsidRPr="00C53BAE">
        <w:t xml:space="preserve"> </w:t>
      </w:r>
    </w:p>
    <w:p w:rsidR="00D81BB8" w:rsidRPr="00C53BAE" w:rsidRDefault="002D0707" w:rsidP="00ED1FA0">
      <w:r w:rsidRPr="00C53BAE">
        <w:t>Kommissionen föreslår att ett antal åtaganden gällande bekämpande av olaglig migration ska uppfyllas av tredjeland. Åtagandena består bl.a. i återtagande av dels egna medborgare</w:t>
      </w:r>
      <w:r w:rsidR="00AE5BC9" w:rsidRPr="00C53BAE">
        <w:t>,</w:t>
      </w:r>
      <w:r w:rsidRPr="00C53BAE">
        <w:t xml:space="preserve"> dels andra länders medborgare vilka olagligt passerat landets gräns in till EU. </w:t>
      </w:r>
      <w:r w:rsidR="007257BE" w:rsidRPr="00C53BAE">
        <w:t>Insatser och ökat samarbete mot smuggling av migranter och männ</w:t>
      </w:r>
      <w:r w:rsidR="0004739A" w:rsidRPr="00C53BAE">
        <w:t>is</w:t>
      </w:r>
      <w:r w:rsidR="007257BE" w:rsidRPr="00C53BAE">
        <w:t>kohandel är ytterligare exempel p</w:t>
      </w:r>
      <w:r w:rsidR="00AE5BC9" w:rsidRPr="00C53BAE">
        <w:t xml:space="preserve">å </w:t>
      </w:r>
      <w:r w:rsidR="007257BE" w:rsidRPr="00C53BAE">
        <w:t>åtaganden.</w:t>
      </w:r>
      <w:r w:rsidR="00E61BAC" w:rsidRPr="00C53BAE">
        <w:t xml:space="preserve"> </w:t>
      </w:r>
      <w:r w:rsidR="00FC0736" w:rsidRPr="00C53BAE">
        <w:t>D</w:t>
      </w:r>
      <w:r w:rsidR="00EF4F05" w:rsidRPr="00C53BAE">
        <w:t xml:space="preserve">enna typ av åtgärder måste </w:t>
      </w:r>
      <w:r w:rsidR="00FC0736" w:rsidRPr="00C53BAE">
        <w:t xml:space="preserve">dock </w:t>
      </w:r>
      <w:r w:rsidR="00EF4F05" w:rsidRPr="00C53BAE">
        <w:t>genomföras i full överrensstämmelse med de berörda personernas grundläggande rättigheter, inklusive de särskilda rättigheterna för personer i behov av internationellt skydd.</w:t>
      </w:r>
    </w:p>
    <w:p w:rsidR="002D0707" w:rsidRPr="00C53BAE" w:rsidRDefault="00161498" w:rsidP="00ED1FA0">
      <w:pPr>
        <w:rPr>
          <w:sz w:val="20"/>
        </w:rPr>
      </w:pPr>
      <w:r w:rsidRPr="00C53BAE">
        <w:t>Vad gäller åtagandena från de enskilda medlemsstaterna föreslår kommissionen att de ska</w:t>
      </w:r>
      <w:r w:rsidR="002D0707" w:rsidRPr="00C53BAE">
        <w:t xml:space="preserve"> öppna upp lagliga kanaler för invandring av tillfällig arbetskraft samt på andra sätt underlätta för laglig migration till EU. Medlemsstater ska dessutom bistå tredjeländer med hjälp till kapacitets</w:t>
      </w:r>
      <w:r w:rsidR="002D0707" w:rsidRPr="00C53BAE">
        <w:softHyphen/>
        <w:t>uppbyggnad</w:t>
      </w:r>
      <w:r w:rsidR="0004739A" w:rsidRPr="00C53BAE">
        <w:t xml:space="preserve"> </w:t>
      </w:r>
      <w:r w:rsidR="00EF4F05" w:rsidRPr="00C53BAE">
        <w:t>för att hantera lagliga</w:t>
      </w:r>
      <w:r w:rsidR="0004739A" w:rsidRPr="00C53BAE">
        <w:t xml:space="preserve"> migrationsströmmar</w:t>
      </w:r>
      <w:r w:rsidR="002D0707" w:rsidRPr="00C53BAE">
        <w:t xml:space="preserve">, främja cirkulär migration samt </w:t>
      </w:r>
      <w:r w:rsidR="00B4208B" w:rsidRPr="00C53BAE">
        <w:t>förenkla</w:t>
      </w:r>
      <w:r w:rsidR="0004739A" w:rsidRPr="00C53BAE">
        <w:t xml:space="preserve"> förfarandena för utfärdandet av </w:t>
      </w:r>
      <w:r w:rsidR="002D0707" w:rsidRPr="00C53BAE">
        <w:t>korttidsviseringar.</w:t>
      </w:r>
    </w:p>
    <w:p w:rsidR="00B9536C" w:rsidRPr="00C53BAE" w:rsidRDefault="00B9536C" w:rsidP="006650BC">
      <w:pPr>
        <w:rPr>
          <w:b/>
        </w:rPr>
      </w:pPr>
    </w:p>
    <w:p w:rsidR="006650BC" w:rsidRPr="00C53BAE" w:rsidRDefault="006650BC" w:rsidP="006650BC">
      <w:pPr>
        <w:rPr>
          <w:b/>
        </w:rPr>
      </w:pPr>
      <w:r w:rsidRPr="00C53BAE">
        <w:rPr>
          <w:b/>
        </w:rPr>
        <w:t>Cirkulär migration</w:t>
      </w:r>
    </w:p>
    <w:p w:rsidR="005F001E" w:rsidRPr="00C53BAE" w:rsidRDefault="005F001E" w:rsidP="00ED1FA0"/>
    <w:p w:rsidR="005F001E" w:rsidRPr="00C53BAE" w:rsidRDefault="005F001E" w:rsidP="000E160E">
      <w:r w:rsidRPr="00C53BAE">
        <w:t>Europeiska rådets uppmaning i slutsa</w:t>
      </w:r>
      <w:r w:rsidR="006F5245" w:rsidRPr="00C53BAE">
        <w:t>t</w:t>
      </w:r>
      <w:r w:rsidRPr="00C53BAE">
        <w:t xml:space="preserve">serna från december 2006 att undersöka möjligheterna att underlätta </w:t>
      </w:r>
      <w:r w:rsidRPr="00C53BAE">
        <w:rPr>
          <w:i/>
        </w:rPr>
        <w:t>cirkulär migration</w:t>
      </w:r>
      <w:r w:rsidRPr="00C53BAE">
        <w:t xml:space="preserve"> ska enligt kommissionen ses mot bakgrund av de förändrade migrationsmönstren i världen samt EU:s behov av att erbjuda ett trovärdigt alternativ till olaglig invandring.</w:t>
      </w:r>
      <w:r w:rsidR="0098456F" w:rsidRPr="00C53BAE">
        <w:t xml:space="preserve"> C</w:t>
      </w:r>
      <w:r w:rsidR="00121C54" w:rsidRPr="00C53BAE">
        <w:t xml:space="preserve">irkulär migration </w:t>
      </w:r>
      <w:r w:rsidR="00EF4F05" w:rsidRPr="00C53BAE">
        <w:t>kan enligt</w:t>
      </w:r>
      <w:r w:rsidR="0098456F" w:rsidRPr="00C53BAE">
        <w:t xml:space="preserve"> kommissionen </w:t>
      </w:r>
      <w:r w:rsidR="00EF4F05" w:rsidRPr="00C53BAE">
        <w:t xml:space="preserve">definieras </w:t>
      </w:r>
      <w:r w:rsidR="00121C54" w:rsidRPr="00C53BAE">
        <w:t>som migration som styrs på ett sätt som medger vissa möjligheter till laglig förflyttning i båda riktningarna mellan två länder.</w:t>
      </w:r>
    </w:p>
    <w:p w:rsidR="00350C64" w:rsidRPr="00C53BAE" w:rsidRDefault="00DD77B3" w:rsidP="00ED1FA0">
      <w:r w:rsidRPr="00C53BAE">
        <w:t xml:space="preserve">Kommissionen menar att de två viktigaste </w:t>
      </w:r>
      <w:r w:rsidR="00B827DB" w:rsidRPr="00C53BAE">
        <w:t>formerna av cirkulär migration som kan vara av relevans för EU är cirkulär migration för tredjelandsmedborgare som är bosatta i EU och cirkulär migration för personer som är bosatta i ett tredjeland.</w:t>
      </w:r>
      <w:r w:rsidR="00552C5B" w:rsidRPr="00C53BAE">
        <w:t xml:space="preserve"> En </w:t>
      </w:r>
      <w:r w:rsidR="00EC48CC" w:rsidRPr="00C53BAE">
        <w:t xml:space="preserve">lämplig </w:t>
      </w:r>
      <w:r w:rsidR="00494738" w:rsidRPr="00C53BAE">
        <w:t>tillnärmning</w:t>
      </w:r>
      <w:r w:rsidR="00EC48CC" w:rsidRPr="00C53BAE">
        <w:t xml:space="preserve"> av lagstiftningen gällande åtgärder för att främja cirkulär migration skulle kunna åstakommas genom att åtgärderna införlivas i vissa av de framtida rättsakter som redan annonserats i den </w:t>
      </w:r>
      <w:r w:rsidR="00EC48CC" w:rsidRPr="00C53BAE">
        <w:rPr>
          <w:i/>
        </w:rPr>
        <w:t>strategiska planen för legal migration</w:t>
      </w:r>
      <w:r w:rsidR="000E160E" w:rsidRPr="00C53BAE">
        <w:rPr>
          <w:i/>
        </w:rPr>
        <w:t xml:space="preserve"> (KOM (2005)669)</w:t>
      </w:r>
      <w:r w:rsidR="00EC48CC" w:rsidRPr="00C53BAE">
        <w:rPr>
          <w:i/>
        </w:rPr>
        <w:t>.</w:t>
      </w:r>
      <w:r w:rsidR="00F24E48" w:rsidRPr="00C53BAE">
        <w:t xml:space="preserve"> Kommissionen överväger dessutom att i sinom tid lägga fram förslag om ändringar av en rad befintliga rä</w:t>
      </w:r>
      <w:r w:rsidR="00435CD4" w:rsidRPr="00C53BAE">
        <w:t>ttsakter i syfte att främja cirk</w:t>
      </w:r>
      <w:r w:rsidR="00F24E48" w:rsidRPr="00C53BAE">
        <w:t>ulär migration.</w:t>
      </w:r>
    </w:p>
    <w:p w:rsidR="006650BC" w:rsidRPr="00C53BAE" w:rsidRDefault="00EF4F05" w:rsidP="00ED1FA0">
      <w:pPr>
        <w:rPr>
          <w:b/>
        </w:rPr>
      </w:pPr>
      <w:r w:rsidRPr="00C53BAE">
        <w:t>Enligt kommissionen erkänns c</w:t>
      </w:r>
      <w:r w:rsidR="00350C64" w:rsidRPr="00C53BAE">
        <w:t xml:space="preserve">irkulär migration i allt större utsträckning som en form av migration som kan hjälpa till att matcha utbud och efterfrågan av arbetskraft på internationell nivå, och därigenom bidra till en effektivare fördelning av tillgängliga resurser samt till ekonomisk tillväxt. </w:t>
      </w:r>
      <w:r w:rsidR="00844D85" w:rsidRPr="00C53BAE">
        <w:t>Enligt kommissionen</w:t>
      </w:r>
      <w:r w:rsidR="00350C64" w:rsidRPr="00C53BAE">
        <w:t xml:space="preserve"> kommer </w:t>
      </w:r>
      <w:r w:rsidR="00844D85" w:rsidRPr="00C53BAE">
        <w:t xml:space="preserve">det </w:t>
      </w:r>
      <w:r w:rsidR="00350C64" w:rsidRPr="00C53BAE">
        <w:t>emellertid behövas praktiska villkor och skyddsmekanismer för att säkerställa rörligheten i båda riktningarna så att migration tänkt att vara cirkulär inte blir permanent och därigenom motverkar sitt syfte.</w:t>
      </w:r>
      <w:r w:rsidR="00614AAC" w:rsidRPr="00C53BAE">
        <w:t xml:space="preserve"> </w:t>
      </w:r>
      <w:r w:rsidR="004A1F29" w:rsidRPr="00C53BAE">
        <w:t>Stimulansåtgärder för att främja cirkulär migration, garantier för ett faktiskt återvänd</w:t>
      </w:r>
      <w:r w:rsidR="00AA73D3" w:rsidRPr="00C53BAE">
        <w:t xml:space="preserve">ande </w:t>
      </w:r>
      <w:r w:rsidR="006F34BB" w:rsidRPr="00C53BAE">
        <w:t>och övervakning</w:t>
      </w:r>
      <w:r w:rsidR="005D64A4" w:rsidRPr="00C53BAE">
        <w:t xml:space="preserve"> av program för cirkulär migration</w:t>
      </w:r>
      <w:r w:rsidR="004A1F29" w:rsidRPr="00C53BAE">
        <w:t xml:space="preserve"> är exempel på åtgärder med s</w:t>
      </w:r>
      <w:r w:rsidR="007D6C47" w:rsidRPr="00C53BAE">
        <w:t xml:space="preserve">yfte att säkerställa att </w:t>
      </w:r>
      <w:r w:rsidR="004A1F29" w:rsidRPr="00C53BAE">
        <w:t>migration</w:t>
      </w:r>
      <w:r w:rsidR="005836ED" w:rsidRPr="00C53BAE">
        <w:t>en</w:t>
      </w:r>
      <w:r w:rsidR="006B388F" w:rsidRPr="00C53BAE">
        <w:t xml:space="preserve"> bli</w:t>
      </w:r>
      <w:r w:rsidR="005836ED" w:rsidRPr="00C53BAE">
        <w:t>r</w:t>
      </w:r>
      <w:r w:rsidR="006B388F" w:rsidRPr="00C53BAE">
        <w:t xml:space="preserve"> cirkulär</w:t>
      </w:r>
      <w:r w:rsidR="004A1F29" w:rsidRPr="00C53BAE">
        <w:t>.</w:t>
      </w:r>
    </w:p>
    <w:p w:rsidR="006D4AA5" w:rsidRPr="00C53BAE" w:rsidRDefault="006D4AA5">
      <w:pPr>
        <w:pStyle w:val="Rubrik2"/>
      </w:pPr>
      <w:r w:rsidRPr="00C53BAE">
        <w:t>Gällande svenska regler och förslagets effekt på dessa</w:t>
      </w:r>
    </w:p>
    <w:p w:rsidR="000E160E" w:rsidRPr="00C53BAE" w:rsidRDefault="000E160E" w:rsidP="000E160E">
      <w:r w:rsidRPr="00C53BAE">
        <w:t xml:space="preserve">Kommissionens meddelande </w:t>
      </w:r>
      <w:r w:rsidR="00A10328" w:rsidRPr="00C53BAE">
        <w:t xml:space="preserve">utgör ett underlag för diskussion och medför i sig </w:t>
      </w:r>
      <w:r w:rsidRPr="00C53BAE">
        <w:t>inga effekter på svenska regler.</w:t>
      </w:r>
    </w:p>
    <w:p w:rsidR="006D4AA5" w:rsidRPr="00C53BAE" w:rsidRDefault="006D4AA5">
      <w:pPr>
        <w:pStyle w:val="Rubrik2"/>
      </w:pPr>
      <w:r w:rsidRPr="00C53BAE">
        <w:t>Budgetära konsekvenser</w:t>
      </w:r>
    </w:p>
    <w:p w:rsidR="000E160E" w:rsidRPr="00C53BAE" w:rsidRDefault="00A10328" w:rsidP="000E160E">
      <w:r w:rsidRPr="00C53BAE">
        <w:t xml:space="preserve">Kommissionens meddelande utgör ett underlag för diskussion och medför i sig </w:t>
      </w:r>
      <w:r w:rsidR="000E160E" w:rsidRPr="00C53BAE">
        <w:t>inga budgetära konsekvenser.</w:t>
      </w:r>
    </w:p>
    <w:p w:rsidR="006D4AA5" w:rsidRPr="00C53BAE" w:rsidRDefault="006D4AA5"/>
    <w:p w:rsidR="006D4AA5" w:rsidRPr="00C53BAE" w:rsidRDefault="006D4AA5">
      <w:pPr>
        <w:pStyle w:val="Rubrik1"/>
      </w:pPr>
      <w:r w:rsidRPr="00C53BAE">
        <w:t>Ståndpunkter</w:t>
      </w:r>
    </w:p>
    <w:p w:rsidR="006D4AA5" w:rsidRPr="00C53BAE" w:rsidRDefault="006D4AA5">
      <w:pPr>
        <w:pStyle w:val="Rubrik2"/>
      </w:pPr>
      <w:r w:rsidRPr="00C53BAE">
        <w:t>Svensk ståndpunkt</w:t>
      </w:r>
    </w:p>
    <w:p w:rsidR="00432AA4" w:rsidRPr="00C53BAE" w:rsidRDefault="00432AA4" w:rsidP="00432AA4">
      <w:r w:rsidRPr="00C53BAE">
        <w:t>Sverige välkomnar kommissionens meddelande och ser positivt på ansatsen att fördjupa samarbetet på migrationsområdet med länder utanför EU. Det finns skäl att se över möjligheterna att ta fram övergripande gemenskapsregler för invandring till unionen. Laglig migr</w:t>
      </w:r>
      <w:r w:rsidR="00336516" w:rsidRPr="00C53BAE">
        <w:t>ation är en viktig fråga för EU. Sverige anser emellertid att beslut om på vilka grunder och i vilken utsträckning ekonomisk invandring ska medges ska förbli en nationell angelägenhet för respektive medlemsstat inom unionen</w:t>
      </w:r>
      <w:r w:rsidR="00FC0736" w:rsidRPr="00C53BAE">
        <w:t>.</w:t>
      </w:r>
    </w:p>
    <w:p w:rsidR="00432AA4" w:rsidRPr="00C53BAE" w:rsidRDefault="00432AA4" w:rsidP="00ED1FA0">
      <w:r w:rsidRPr="00C53BAE">
        <w:t xml:space="preserve">Sverige menar att utgångspunkten för diskussionen </w:t>
      </w:r>
      <w:r w:rsidR="00336516" w:rsidRPr="00C53BAE">
        <w:t xml:space="preserve">om cirkulär migration </w:t>
      </w:r>
      <w:r w:rsidRPr="00C53BAE">
        <w:t xml:space="preserve">bör vara att en ökad laglig rörlighet över gränser i allmänhet är något positivt, både för EU och för tredje land. Ansträngningarna att få till stånd cirkulär migration bör därför inte ta sikte på särskilda grupper eller kategorier av migranter. Istället bör </w:t>
      </w:r>
      <w:r w:rsidR="00336516" w:rsidRPr="00C53BAE">
        <w:t>arbetet inriktas</w:t>
      </w:r>
      <w:r w:rsidRPr="00C53BAE">
        <w:t xml:space="preserve"> på att utforma uppehållsrätten för arbetskrafts</w:t>
      </w:r>
      <w:r w:rsidRPr="00C53BAE">
        <w:softHyphen/>
        <w:t>invandrare till unionen på ett sätt som skapar trygghet och flexibilitet för individen</w:t>
      </w:r>
      <w:r w:rsidR="00A10328" w:rsidRPr="00C53BAE">
        <w:t xml:space="preserve"> </w:t>
      </w:r>
      <w:r w:rsidR="00336516" w:rsidRPr="00C53BAE">
        <w:t>och därmed</w:t>
      </w:r>
      <w:r w:rsidR="00A10328" w:rsidRPr="00C53BAE">
        <w:t xml:space="preserve"> förutsättningar för cirkulär migration.</w:t>
      </w:r>
    </w:p>
    <w:p w:rsidR="006D4AA5" w:rsidRPr="00C53BAE" w:rsidRDefault="006D4AA5">
      <w:pPr>
        <w:pStyle w:val="Rubrik2"/>
      </w:pPr>
      <w:r w:rsidRPr="00C53BAE">
        <w:t>Medlemsstaternas ståndpunkter</w:t>
      </w:r>
    </w:p>
    <w:p w:rsidR="006D4AA5" w:rsidRPr="00C53BAE" w:rsidRDefault="00AF2CA1">
      <w:r w:rsidRPr="00C53BAE">
        <w:t xml:space="preserve">Meddelandet har endast presenterats och </w:t>
      </w:r>
      <w:r w:rsidR="00F84E28" w:rsidRPr="00C53BAE">
        <w:t>i slutsatserna från rådet</w:t>
      </w:r>
      <w:r w:rsidRPr="00C53BAE">
        <w:t xml:space="preserve"> </w:t>
      </w:r>
      <w:r w:rsidR="00F84E28" w:rsidRPr="00C53BAE">
        <w:t>för rättsliga och inrikes frågor samt i slutsatserna från europeiska rådet välkomnas meddelandet</w:t>
      </w:r>
      <w:r w:rsidR="0084772F" w:rsidRPr="00C53BAE">
        <w:t xml:space="preserve"> av medlemsstaterna</w:t>
      </w:r>
      <w:r w:rsidR="00F84E28" w:rsidRPr="00C53BAE">
        <w:t>. Någon vidare behandling av frågan har inte skett varför</w:t>
      </w:r>
      <w:r w:rsidRPr="00C53BAE">
        <w:t xml:space="preserve"> medlemsstaternas ståndpunkter ännu inte är kända.</w:t>
      </w:r>
    </w:p>
    <w:p w:rsidR="006D4AA5" w:rsidRPr="00C53BAE" w:rsidRDefault="006D4AA5">
      <w:pPr>
        <w:pStyle w:val="Rubrik2"/>
      </w:pPr>
      <w:r w:rsidRPr="00C53BAE">
        <w:t>Institutionernas ståndpunkter</w:t>
      </w:r>
    </w:p>
    <w:p w:rsidR="006D4AA5" w:rsidRPr="00C53BAE" w:rsidRDefault="006D4AA5">
      <w:pPr>
        <w:pStyle w:val="Rubrik2"/>
      </w:pPr>
      <w:r w:rsidRPr="00C53BAE">
        <w:t>Remissinstansernas ståndpunkter</w:t>
      </w:r>
    </w:p>
    <w:p w:rsidR="006D4AA5" w:rsidRPr="00C53BAE" w:rsidRDefault="006D4AA5">
      <w:pPr>
        <w:pStyle w:val="Rubrik1"/>
      </w:pPr>
      <w:r w:rsidRPr="00C53BAE">
        <w:t>Övrigt</w:t>
      </w:r>
    </w:p>
    <w:p w:rsidR="006D4AA5" w:rsidRPr="00C53BAE" w:rsidRDefault="006D4AA5">
      <w:pPr>
        <w:pStyle w:val="Rubrik2"/>
      </w:pPr>
      <w:r w:rsidRPr="00C53BAE">
        <w:t>Fortsatt behandling av ärendet</w:t>
      </w:r>
    </w:p>
    <w:p w:rsidR="006D4AA5" w:rsidRPr="00C53BAE" w:rsidRDefault="00AE7960">
      <w:r w:rsidRPr="00C53BAE">
        <w:t>Kommissionen avser att inleda ett samrådsförfarande på grundval av det aktuella meddelandet, i syfte att inhämta synpunkter och erfarenheter från andra gemenskapsinstitutioner, medlemsstaterna och intresserade parter.</w:t>
      </w:r>
      <w:r w:rsidR="00464632" w:rsidRPr="00C53BAE">
        <w:t xml:space="preserve"> Kommissionen planerar även att ha sonderande kontakter med ett begränsat antal länder som kan ha ett intresse av partnerskap för rörlighet och </w:t>
      </w:r>
      <w:r w:rsidR="000111EB" w:rsidRPr="00C53BAE">
        <w:t xml:space="preserve">som </w:t>
      </w:r>
      <w:r w:rsidR="00464632" w:rsidRPr="00C53BAE">
        <w:t>är beredda att åta sig att samarbeta aktivt med EU gällande hanteringen av migrationsflöden.</w:t>
      </w:r>
      <w:r w:rsidR="00A10328" w:rsidRPr="00C53BAE">
        <w:t xml:space="preserve"> </w:t>
      </w:r>
    </w:p>
    <w:p w:rsidR="006D4AA5" w:rsidRPr="00C53BAE" w:rsidRDefault="006D4AA5">
      <w:pPr>
        <w:pStyle w:val="Rubrik2"/>
      </w:pPr>
      <w:r w:rsidRPr="00C53BAE">
        <w:t>Rättslig grund och beslutsförfarande</w:t>
      </w:r>
    </w:p>
    <w:p w:rsidR="006D4AA5" w:rsidRPr="00C53BAE" w:rsidRDefault="006D4AA5">
      <w:pPr>
        <w:pStyle w:val="Rubrik2"/>
      </w:pPr>
      <w:r w:rsidRPr="00C53BAE">
        <w:t>Fackuttryck/termer</w:t>
      </w:r>
    </w:p>
    <w:p w:rsidR="006D4AA5" w:rsidRPr="00C53BAE" w:rsidRDefault="006D4AA5"/>
    <w:sectPr w:rsidR="006D4AA5" w:rsidRPr="00C53BAE">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2463" w:rsidRPr="00C53BAE" w:rsidRDefault="00742463">
      <w:r w:rsidRPr="00C53BAE">
        <w:separator/>
      </w:r>
    </w:p>
  </w:endnote>
  <w:endnote w:type="continuationSeparator" w:id="0">
    <w:p w:rsidR="00742463" w:rsidRPr="00C53BAE" w:rsidRDefault="00742463">
      <w:r w:rsidRPr="00C53BA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1FA0" w:rsidRPr="00C53BAE" w:rsidRDefault="00ED1FA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1FA0" w:rsidRPr="00C53BAE" w:rsidRDefault="00742463">
    <w:pPr>
      <w:pStyle w:val="SidfotH"/>
      <w:framePr w:wrap="around"/>
    </w:pPr>
    <w:r w:rsidRPr="00C53BAE">
      <w:t>2</w:t>
    </w:r>
  </w:p>
  <w:p w:rsidR="00ED1FA0" w:rsidRPr="00C53BAE" w:rsidRDefault="00ED1FA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1FA0" w:rsidRPr="00C53BAE" w:rsidRDefault="00742463">
    <w:pPr>
      <w:pStyle w:val="SidfotH"/>
      <w:framePr w:wrap="around"/>
    </w:pPr>
    <w:r w:rsidRPr="00C53BAE">
      <w:t>1</w:t>
    </w:r>
  </w:p>
  <w:p w:rsidR="00ED1FA0" w:rsidRPr="00C53BAE" w:rsidRDefault="00ED1F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2463" w:rsidRPr="00C53BAE" w:rsidRDefault="00742463">
      <w:r w:rsidRPr="00C53BAE">
        <w:separator/>
      </w:r>
    </w:p>
  </w:footnote>
  <w:footnote w:type="continuationSeparator" w:id="0">
    <w:p w:rsidR="00742463" w:rsidRPr="00C53BAE" w:rsidRDefault="00742463">
      <w:r w:rsidRPr="00C53BA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1FA0" w:rsidRPr="00C53BAE" w:rsidRDefault="00ED1FA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1FA0" w:rsidRPr="00C53BAE" w:rsidRDefault="00ED1FA0">
    <w:pPr>
      <w:pStyle w:val="Kantrubrik"/>
      <w:framePr w:h="1157" w:hRule="exact" w:wrap="around" w:y="738"/>
    </w:pPr>
    <w:r w:rsidRPr="00C53BAE">
      <w:t>2006/07:FPM115</w:t>
    </w:r>
  </w:p>
  <w:p w:rsidR="00ED1FA0" w:rsidRPr="00C53BAE" w:rsidRDefault="00ED1FA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1FA0" w:rsidRPr="00C53BAE" w:rsidRDefault="00C53BAE">
    <w:pPr>
      <w:pStyle w:val="Sidhuvud"/>
    </w:pPr>
    <w:r w:rsidRPr="00C53BAE">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9625601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D1FA0" w:rsidRDefault="00ED1FA0">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59409"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ED1FA0" w:rsidRDefault="00ED1FA0">
                    <w:pPr>
                      <w:pStyle w:val="Logo"/>
                    </w:pPr>
                    <w:r>
                      <w:object w:dxaOrig="840" w:dyaOrig="1545">
                        <v:shape id="_x0000_i1025" type="#_x0000_t75" style="width:42pt;height:77.15pt" filled="t">
                          <v:imagedata r:id="rId1" o:title=""/>
                        </v:shape>
                        <o:OLEObject Type="Embed" ProgID="Word.Picture.8" ShapeID="_x0000_i1025" DrawAspect="Content" ObjectID="_1827459409"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288124754">
    <w:abstractNumId w:val="4"/>
  </w:num>
  <w:num w:numId="2" w16cid:durableId="918565895">
    <w:abstractNumId w:val="1"/>
  </w:num>
  <w:num w:numId="3" w16cid:durableId="517429548">
    <w:abstractNumId w:val="2"/>
  </w:num>
  <w:num w:numId="4" w16cid:durableId="983243360">
    <w:abstractNumId w:val="3"/>
  </w:num>
  <w:num w:numId="5" w16cid:durableId="24598974">
    <w:abstractNumId w:val="5"/>
  </w:num>
  <w:num w:numId="6" w16cid:durableId="232011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7-08-27"/>
    <w:docVar w:name="Ar" w:val="2006/07"/>
    <w:docVar w:name="Dep" w:val="Justitiedepartementet"/>
    <w:docVar w:name="DepWeb" w:val="Justitiedepartementet"/>
    <w:docVar w:name="GDB1" w:val="KOM (2007) 248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rådet, parlamentet, Europeiska ekonomiska och sociala kommittén och regionkommittén om cirkulär migration och partnerskap för rörlighet mellan Europeiska unionen och tredjelände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7) 248 slutlig"/>
    <w:docVar w:name="Nr" w:val="115"/>
    <w:docVar w:name="RD_APPVERSION" w:val="3.00"/>
    <w:docVar w:name="Rub" w:val="Meddelande om cirkulär migration och partnerskap för rörlighet mellan EU och tredjeländer"/>
    <w:docVar w:name="UppDat" w:val="2007-08-24"/>
    <w:docVar w:name="Utsk" w:val="Socialförsäkringsutskottet"/>
  </w:docVars>
  <w:rsids>
    <w:rsidRoot w:val="00C53BAE"/>
    <w:rsid w:val="000111EB"/>
    <w:rsid w:val="000246EE"/>
    <w:rsid w:val="00035730"/>
    <w:rsid w:val="0004739A"/>
    <w:rsid w:val="000A0C6C"/>
    <w:rsid w:val="000B7379"/>
    <w:rsid w:val="000C1C2F"/>
    <w:rsid w:val="000C3921"/>
    <w:rsid w:val="000E160E"/>
    <w:rsid w:val="000F0E81"/>
    <w:rsid w:val="001114CF"/>
    <w:rsid w:val="00121C54"/>
    <w:rsid w:val="00125F1E"/>
    <w:rsid w:val="00161498"/>
    <w:rsid w:val="00224907"/>
    <w:rsid w:val="00276375"/>
    <w:rsid w:val="00282392"/>
    <w:rsid w:val="002867A7"/>
    <w:rsid w:val="002B66FE"/>
    <w:rsid w:val="002C450D"/>
    <w:rsid w:val="002D0707"/>
    <w:rsid w:val="00315BCE"/>
    <w:rsid w:val="0033173B"/>
    <w:rsid w:val="00336516"/>
    <w:rsid w:val="0033660D"/>
    <w:rsid w:val="00350C64"/>
    <w:rsid w:val="003B6FA0"/>
    <w:rsid w:val="00432AA4"/>
    <w:rsid w:val="00435CD4"/>
    <w:rsid w:val="0044489E"/>
    <w:rsid w:val="00464632"/>
    <w:rsid w:val="004728F2"/>
    <w:rsid w:val="004806F6"/>
    <w:rsid w:val="00494738"/>
    <w:rsid w:val="004A1F29"/>
    <w:rsid w:val="005003E8"/>
    <w:rsid w:val="005071B7"/>
    <w:rsid w:val="00516155"/>
    <w:rsid w:val="0052109B"/>
    <w:rsid w:val="00522442"/>
    <w:rsid w:val="00543E12"/>
    <w:rsid w:val="00552C5B"/>
    <w:rsid w:val="00565CEA"/>
    <w:rsid w:val="00567B44"/>
    <w:rsid w:val="005836ED"/>
    <w:rsid w:val="005B3BEA"/>
    <w:rsid w:val="005D64A4"/>
    <w:rsid w:val="005F001E"/>
    <w:rsid w:val="00614AAC"/>
    <w:rsid w:val="006235E0"/>
    <w:rsid w:val="00641C1D"/>
    <w:rsid w:val="00660137"/>
    <w:rsid w:val="00662E67"/>
    <w:rsid w:val="006650BC"/>
    <w:rsid w:val="00692D3C"/>
    <w:rsid w:val="006A0027"/>
    <w:rsid w:val="006B388F"/>
    <w:rsid w:val="006D4AA5"/>
    <w:rsid w:val="006F34BB"/>
    <w:rsid w:val="006F3962"/>
    <w:rsid w:val="006F5245"/>
    <w:rsid w:val="0070385B"/>
    <w:rsid w:val="007216F4"/>
    <w:rsid w:val="007257BE"/>
    <w:rsid w:val="007339FE"/>
    <w:rsid w:val="00742463"/>
    <w:rsid w:val="00750807"/>
    <w:rsid w:val="00771A57"/>
    <w:rsid w:val="00773682"/>
    <w:rsid w:val="007755F8"/>
    <w:rsid w:val="007B7877"/>
    <w:rsid w:val="007D6C47"/>
    <w:rsid w:val="007E1D92"/>
    <w:rsid w:val="008330D4"/>
    <w:rsid w:val="00844D85"/>
    <w:rsid w:val="0084772F"/>
    <w:rsid w:val="008737B2"/>
    <w:rsid w:val="0088234F"/>
    <w:rsid w:val="00890BBF"/>
    <w:rsid w:val="008B5B10"/>
    <w:rsid w:val="008F6B5A"/>
    <w:rsid w:val="00900504"/>
    <w:rsid w:val="009664F5"/>
    <w:rsid w:val="009836CA"/>
    <w:rsid w:val="0098456F"/>
    <w:rsid w:val="009B179C"/>
    <w:rsid w:val="009F07AA"/>
    <w:rsid w:val="009F56C3"/>
    <w:rsid w:val="00A038BF"/>
    <w:rsid w:val="00A10328"/>
    <w:rsid w:val="00A11EB9"/>
    <w:rsid w:val="00A142D7"/>
    <w:rsid w:val="00A67E17"/>
    <w:rsid w:val="00A71FDF"/>
    <w:rsid w:val="00A751EC"/>
    <w:rsid w:val="00AA73D3"/>
    <w:rsid w:val="00AE35FA"/>
    <w:rsid w:val="00AE5BC9"/>
    <w:rsid w:val="00AE69E8"/>
    <w:rsid w:val="00AE7960"/>
    <w:rsid w:val="00AF2CA1"/>
    <w:rsid w:val="00B00642"/>
    <w:rsid w:val="00B37D18"/>
    <w:rsid w:val="00B4208B"/>
    <w:rsid w:val="00B44E73"/>
    <w:rsid w:val="00B827DB"/>
    <w:rsid w:val="00B9536C"/>
    <w:rsid w:val="00BA0FBF"/>
    <w:rsid w:val="00BC38F6"/>
    <w:rsid w:val="00BD006C"/>
    <w:rsid w:val="00BD2FE2"/>
    <w:rsid w:val="00BD77FF"/>
    <w:rsid w:val="00BF0989"/>
    <w:rsid w:val="00BF5FB0"/>
    <w:rsid w:val="00C0798A"/>
    <w:rsid w:val="00C53BAE"/>
    <w:rsid w:val="00C54928"/>
    <w:rsid w:val="00C606BC"/>
    <w:rsid w:val="00C62862"/>
    <w:rsid w:val="00CE281D"/>
    <w:rsid w:val="00D02F71"/>
    <w:rsid w:val="00D30031"/>
    <w:rsid w:val="00D42D2A"/>
    <w:rsid w:val="00D765BA"/>
    <w:rsid w:val="00D81BB8"/>
    <w:rsid w:val="00DB1AD8"/>
    <w:rsid w:val="00DD22B9"/>
    <w:rsid w:val="00DD77B3"/>
    <w:rsid w:val="00E057C6"/>
    <w:rsid w:val="00E1018E"/>
    <w:rsid w:val="00E61BAC"/>
    <w:rsid w:val="00E86C1D"/>
    <w:rsid w:val="00EC48CC"/>
    <w:rsid w:val="00EC4F1A"/>
    <w:rsid w:val="00ED1FA0"/>
    <w:rsid w:val="00EF0E54"/>
    <w:rsid w:val="00EF4F05"/>
    <w:rsid w:val="00F06F24"/>
    <w:rsid w:val="00F24E48"/>
    <w:rsid w:val="00F44330"/>
    <w:rsid w:val="00F71B87"/>
    <w:rsid w:val="00F84E28"/>
    <w:rsid w:val="00F95D99"/>
    <w:rsid w:val="00FC0736"/>
    <w:rsid w:val="00FC786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A0B4F09-6838-4285-B643-CCC307151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sid w:val="006D4AA5"/>
    <w:rPr>
      <w:rFonts w:ascii="Tahoma" w:hAnsi="Tahoma" w:cs="Tahoma"/>
      <w:sz w:val="16"/>
      <w:szCs w:val="16"/>
    </w:rPr>
  </w:style>
  <w:style w:type="paragraph" w:customStyle="1" w:styleId="RKnormal">
    <w:name w:val="RKnormal"/>
    <w:basedOn w:val="Normal"/>
    <w:rsid w:val="00BA0FBF"/>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l1120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1169</Words>
  <Characters>7507</Characters>
  <Application>Microsoft Office Word</Application>
  <DocSecurity>4</DocSecurity>
  <Lines>147</Lines>
  <Paragraphs>47</Paragraphs>
  <ScaleCrop>false</ScaleCrop>
  <HeadingPairs>
    <vt:vector size="2" baseType="variant">
      <vt:variant>
        <vt:lpstr>Rubrik</vt:lpstr>
      </vt:variant>
      <vt:variant>
        <vt:i4>1</vt:i4>
      </vt:variant>
    </vt:vector>
  </HeadingPairs>
  <TitlesOfParts>
    <vt:vector size="1" baseType="lpstr">
      <vt:lpstr>FPM_200607__115</vt:lpstr>
    </vt:vector>
  </TitlesOfParts>
  <Company>RD-DTSL</Company>
  <LinksUpToDate>false</LinksUpToDate>
  <CharactersWithSpaces>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FPM_200607__115</dc:title>
  <dc:subject>FPM_200607__115</dc:subject>
  <dc:creator>Riksdagen</dc:creator>
  <cp:keywords>Riksdagen</cp:keywords>
  <dc:description>KP2004-version.  Ändringarna påverkar enbart användningen inom Riksdagen. 050429 nya departement DTSL.</dc:description>
  <cp:lastModifiedBy>Lars Brink</cp:lastModifiedBy>
  <cp:revision>2</cp:revision>
  <cp:lastPrinted>2007-07-23T11:20:00Z</cp:lastPrinted>
  <dcterms:created xsi:type="dcterms:W3CDTF">2025-12-17T03:09:00Z</dcterms:created>
  <dcterms:modified xsi:type="dcterms:W3CDTF">2025-12-17T03:09:00Z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115</vt:lpwstr>
  </property>
  <property fmtid="{D5CDD505-2E9C-101B-9397-08002B2CF9AE}" pid="4" name="GDB1">
    <vt:lpwstr>KOM (2007) 248 slutlig</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Meddelande om cirkulär migration och partnerskap för rörlighet mellan EU och tredjeländer</vt:lpwstr>
  </property>
  <property fmtid="{D5CDD505-2E9C-101B-9397-08002B2CF9AE}" pid="8" name="UppDat">
    <vt:lpwstr>2007-08-24</vt:lpwstr>
  </property>
  <property fmtid="{D5CDD505-2E9C-101B-9397-08002B2CF9AE}" pid="9" name="AnkDat">
    <vt:lpwstr>2007-08-27</vt:lpwstr>
  </property>
  <property fmtid="{D5CDD505-2E9C-101B-9397-08002B2CF9AE}" pid="10" name="Utsk">
    <vt:lpwstr>Socialförsäkringsutskottet</vt:lpwstr>
  </property>
  <property fmtid="{D5CDD505-2E9C-101B-9397-08002B2CF9AE}" pid="11" name="Ar">
    <vt:lpwstr>2006/07</vt:lpwstr>
  </property>
  <property fmtid="{D5CDD505-2E9C-101B-9397-08002B2CF9AE}" pid="12" name="Dokumenttyp">
    <vt:lpwstr> FaktaPM</vt:lpwstr>
  </property>
  <property fmtid="{D5CDD505-2E9C-101B-9397-08002B2CF9AE}" pid="13" name="Epostadress">
    <vt:lpwstr>ml1120aa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2;0;0;443</vt:lpwstr>
  </property>
  <property fmtid="{D5CDD505-2E9C-101B-9397-08002B2CF9AE}" pid="41" name="Sprak">
    <vt:lpwstr>Svenska</vt:lpwstr>
  </property>
  <property fmtid="{D5CDD505-2E9C-101B-9397-08002B2CF9AE}" pid="42" name="DokID">
    <vt:i4>80</vt:i4>
  </property>
</Properties>
</file>