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CF2367" w:rsidRDefault="00CF2367">
            <w:pPr>
              <w:pStyle w:val="HuvudRubrik"/>
            </w:pPr>
            <w:bookmarkStart w:id="0" w:name="BetänkandeRubrik"/>
            <w:bookmarkEnd w:id="0"/>
            <w:r>
              <w:t>Finansutskottets betänkande</w:t>
            </w:r>
            <w:r w:rsidR="00D40C8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094487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F2367" w:rsidRDefault="00CF2367">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77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F2367" w:rsidRDefault="00CF2367">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34771" r:id="rId9"/>
                              </w:object>
                            </w:r>
                          </w:p>
                        </w:txbxContent>
                      </v:textbox>
                      <w10:wrap anchorx="page" anchory="page"/>
                    </v:shape>
                  </w:pict>
                </mc:Fallback>
              </mc:AlternateContent>
            </w:r>
          </w:p>
          <w:p w:rsidR="00CF2367" w:rsidRDefault="00CF2367">
            <w:pPr>
              <w:pStyle w:val="HuvudRubrikRad2"/>
            </w:pPr>
            <w:bookmarkStart w:id="15" w:name="BetänkandeNr"/>
            <w:bookmarkEnd w:id="15"/>
            <w:r>
              <w:t>1998/99:FiU12</w:t>
            </w:r>
          </w:p>
          <w:p w:rsidR="00CF2367" w:rsidRDefault="00CF2367">
            <w:pPr>
              <w:pStyle w:val="BetnkandeRubrik"/>
            </w:pPr>
            <w:bookmarkStart w:id="16" w:name="Huvudrubrik"/>
            <w:bookmarkEnd w:id="16"/>
            <w:r>
              <w:t>Ny överenskommelse om Nordiska investerings</w:t>
            </w:r>
            <w:r>
              <w:softHyphen/>
              <w:t>banken m.m. (prop. 1998/99:14)</w:t>
            </w:r>
          </w:p>
        </w:tc>
        <w:tc>
          <w:tcPr>
            <w:tcW w:w="1559" w:type="dxa"/>
            <w:tcBorders>
              <w:bottom w:val="nil"/>
            </w:tcBorders>
          </w:tcPr>
          <w:p w:rsidR="00CF2367" w:rsidRDefault="00CF2367">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CF2367" w:rsidRDefault="00CF2367">
            <w:pPr>
              <w:spacing w:before="40" w:after="900" w:line="280" w:lineRule="exact"/>
              <w:jc w:val="left"/>
              <w:rPr>
                <w:sz w:val="28"/>
              </w:rPr>
            </w:pPr>
          </w:p>
        </w:tc>
        <w:tc>
          <w:tcPr>
            <w:tcW w:w="1559" w:type="dxa"/>
          </w:tcPr>
          <w:p w:rsidR="00CF2367" w:rsidRDefault="00CF2367">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CF2367" w:rsidRDefault="00CF2367">
            <w:pPr>
              <w:spacing w:before="40" w:after="900" w:line="280" w:lineRule="exact"/>
              <w:jc w:val="left"/>
              <w:rPr>
                <w:sz w:val="28"/>
              </w:rPr>
            </w:pPr>
          </w:p>
        </w:tc>
        <w:tc>
          <w:tcPr>
            <w:tcW w:w="1559" w:type="dxa"/>
            <w:tcBorders>
              <w:bottom w:val="single" w:sz="6" w:space="0" w:color="auto"/>
            </w:tcBorders>
          </w:tcPr>
          <w:p w:rsidR="00CF2367" w:rsidRDefault="00CF2367">
            <w:pPr>
              <w:pStyle w:val="rtal"/>
            </w:pPr>
            <w:r>
              <w:t>FiU12</w:t>
            </w:r>
          </w:p>
        </w:tc>
      </w:tr>
      <w:tr w:rsidR="00000000">
        <w:tblPrEx>
          <w:tblCellMar>
            <w:top w:w="0" w:type="dxa"/>
            <w:bottom w:w="0" w:type="dxa"/>
          </w:tblCellMar>
        </w:tblPrEx>
        <w:trPr>
          <w:cantSplit/>
          <w:trHeight w:hRule="exact" w:val="660"/>
        </w:trPr>
        <w:tc>
          <w:tcPr>
            <w:tcW w:w="3012" w:type="dxa"/>
          </w:tcPr>
          <w:p w:rsidR="00CF2367" w:rsidRDefault="00CF2367">
            <w:pPr>
              <w:pStyle w:val="StatusSida1"/>
            </w:pPr>
          </w:p>
        </w:tc>
        <w:tc>
          <w:tcPr>
            <w:tcW w:w="3012" w:type="dxa"/>
          </w:tcPr>
          <w:p w:rsidR="00CF2367" w:rsidRDefault="00CF2367">
            <w:pPr>
              <w:pStyle w:val="UtskriftsdatumSida1"/>
              <w:rPr>
                <w:b/>
                <w:sz w:val="28"/>
              </w:rPr>
            </w:pPr>
          </w:p>
        </w:tc>
        <w:tc>
          <w:tcPr>
            <w:tcW w:w="1559" w:type="dxa"/>
          </w:tcPr>
          <w:p w:rsidR="00CF2367" w:rsidRDefault="00CF2367"/>
        </w:tc>
      </w:tr>
    </w:tbl>
    <w:p w:rsidR="00CF2367" w:rsidRDefault="00CF2367">
      <w:pPr>
        <w:pStyle w:val="Rubrik1"/>
        <w:spacing w:before="0"/>
      </w:pPr>
      <w:bookmarkStart w:id="17" w:name="_Toc435364984"/>
      <w:r>
        <w:t>Sammanfattning</w:t>
      </w:r>
      <w:bookmarkEnd w:id="17"/>
    </w:p>
    <w:p w:rsidR="00CF2367" w:rsidRDefault="00CF2367">
      <w:bookmarkStart w:id="18" w:name="Textstart"/>
      <w:bookmarkEnd w:id="18"/>
      <w:r>
        <w:t>I betänkandet tillstyrker utskottet att riksdagen godkänner tre nya överenskommelser som utarbetats inom Nordiska rådet och som avser Nordiska investeringsbanken, Nordiska utvecklingsfonden och Nordiska miljöfinansieringsbolaget. Utskottet tillstyrker också att lagen (1976:661) om immunitet anpassas till de nya överenskommelserna.</w:t>
      </w:r>
    </w:p>
    <w:p w:rsidR="00CF2367" w:rsidRDefault="00CF2367">
      <w:pPr>
        <w:pStyle w:val="Rubrik1"/>
      </w:pPr>
      <w:bookmarkStart w:id="19" w:name="_Toc435364985"/>
      <w:r>
        <w:t>Propositionen</w:t>
      </w:r>
      <w:bookmarkEnd w:id="19"/>
    </w:p>
    <w:p w:rsidR="00CF2367" w:rsidRDefault="00CF2367">
      <w:r>
        <w:t>I proposition 1998/99:14 föreslår regeringen att riksdagen</w:t>
      </w:r>
    </w:p>
    <w:p w:rsidR="00CF2367" w:rsidRDefault="00CF2367">
      <w:pPr>
        <w:pStyle w:val="Normaltindrag"/>
      </w:pPr>
      <w:r>
        <w:t>1. godkänner de nya överenskommelserna om Nordiska investerings</w:t>
      </w:r>
      <w:r>
        <w:softHyphen/>
        <w:t>banken, Nordiska utvecklingsfonden och Nordiska miljöfinansieringsbolaget,</w:t>
      </w:r>
    </w:p>
    <w:p w:rsidR="00CF2367" w:rsidRDefault="00CF2367">
      <w:pPr>
        <w:pStyle w:val="Normaltindrag"/>
      </w:pPr>
      <w:r>
        <w:t>2. antar regeringens förslag till lag om ändring i lagen (1976:661) om immunitet och privilegier i vissa fall.</w:t>
      </w:r>
    </w:p>
    <w:p w:rsidR="00CF2367" w:rsidRDefault="00CF2367">
      <w:r>
        <w:t xml:space="preserve">Regeringens lagförslag återfinns i en </w:t>
      </w:r>
      <w:r>
        <w:rPr>
          <w:i/>
        </w:rPr>
        <w:t xml:space="preserve">bilaga </w:t>
      </w:r>
      <w:r>
        <w:t>till betänkandet. Eftersom överenskommelserna undertecknades först efter det att propositionen avlämnats till riksdagen har datum för respektive överenskommelses formella undertecknande utelämnats i lagförslaget. Utskottet har därför fört in dessa datum i lagförslaget.</w:t>
      </w:r>
    </w:p>
    <w:p w:rsidR="00CF2367" w:rsidRDefault="00CF2367">
      <w:pPr>
        <w:pStyle w:val="Rubrik1"/>
      </w:pPr>
      <w:bookmarkStart w:id="20" w:name="_Toc435364986"/>
      <w:r>
        <w:t>Utskottet</w:t>
      </w:r>
      <w:bookmarkEnd w:id="20"/>
    </w:p>
    <w:p w:rsidR="00CF2367" w:rsidRDefault="00CF2367">
      <w:pPr>
        <w:pStyle w:val="Rubrik3"/>
        <w:spacing w:before="123"/>
      </w:pPr>
      <w:bookmarkStart w:id="21" w:name="_Toc435364987"/>
      <w:r>
        <w:t>Regeringens förslag</w:t>
      </w:r>
      <w:bookmarkEnd w:id="21"/>
    </w:p>
    <w:p w:rsidR="00CF2367" w:rsidRDefault="00CF2367">
      <w:r>
        <w:t xml:space="preserve">Regeringens förslag innebär att riksdagen för Sveriges räkning skall godkänna tre nya överenskommelser vilka tidigare har godkänts av Nordiska ministerrådet. Överenskommelserna är i allt väsentligt identiska och ingångna under förbehåll av att de godkänns i varje enskilt medlemsland. De avser tre nordiska finansiella institutioner med säte i Helsingfors, nämligen </w:t>
      </w:r>
    </w:p>
    <w:p w:rsidR="00CF2367" w:rsidRDefault="00CF2367">
      <w:pPr>
        <w:spacing w:before="0"/>
      </w:pPr>
      <w:r>
        <w:t>- Nordiska investeringsbanken (NIB),</w:t>
      </w:r>
    </w:p>
    <w:p w:rsidR="00CF2367" w:rsidRDefault="00CF2367">
      <w:pPr>
        <w:spacing w:before="0"/>
      </w:pPr>
      <w:r>
        <w:t>- Nordiska utvecklingsfonden (NDF) och</w:t>
      </w:r>
    </w:p>
    <w:p w:rsidR="00CF2367" w:rsidRDefault="00CF2367">
      <w:pPr>
        <w:spacing w:before="0"/>
      </w:pPr>
      <w:r>
        <w:t>- Nordiska miljöfinansieringsbolaget (NEFCO).</w:t>
      </w:r>
    </w:p>
    <w:p w:rsidR="00CF2367" w:rsidRDefault="00CF2367">
      <w:r>
        <w:t xml:space="preserve">Regeringen föreslår också att lagen (1976:661) om immunitet och privilegier i vissa fall skall anpassas till de nya överenskommelserna så att immunitetsreglerna blir gällande också inför svenska myndigheter. </w:t>
      </w:r>
    </w:p>
    <w:p w:rsidR="00CF2367" w:rsidRDefault="00CF2367">
      <w:pPr>
        <w:pStyle w:val="Normaltindrag"/>
      </w:pPr>
      <w:r>
        <w:lastRenderedPageBreak/>
        <w:t>Överenskommelserna om NIB, NEFCO och NDF träder i kraft trettio dagar efter det att samtliga avtalsslutande stater har deponerat sina ratifikationsinstrument eller meddelat att de godkänts till respektive depositarie. Dock gäller att de i artikel 9 i respektive överenskommelse intagna bestämmelserna om skatter och avgifter skall tillämpas redan från och med den 1 januari 1998.</w:t>
      </w:r>
    </w:p>
    <w:p w:rsidR="00CF2367" w:rsidRDefault="00CF2367">
      <w:pPr>
        <w:pStyle w:val="Rubrik3"/>
      </w:pPr>
      <w:bookmarkStart w:id="22" w:name="_Toc435364988"/>
      <w:r>
        <w:t>Bakgrunden till regeringens förslag</w:t>
      </w:r>
      <w:bookmarkEnd w:id="22"/>
    </w:p>
    <w:p w:rsidR="00CF2367" w:rsidRDefault="00CF2367">
      <w:r>
        <w:rPr>
          <w:i/>
        </w:rPr>
        <w:t>Nordiska investeringsbanken</w:t>
      </w:r>
      <w:r>
        <w:t xml:space="preserve"> (NIB) tillkom 1975 för att ge lån och garantier på bankmässiga villkor till investeringsprojekt i Norden och till export av nordiskt intresse. I takt med det nordiska näringslivets internationalisering har NIB:s verksamhet utanför Norden expanderat. Lån och garantier utfärdas i dag även till sådana projekt utanför Norden som är av ömsesidigt intresse för mottagarlandet och Norden.</w:t>
      </w:r>
    </w:p>
    <w:p w:rsidR="00CF2367" w:rsidRDefault="00CF2367">
      <w:r>
        <w:rPr>
          <w:i/>
        </w:rPr>
        <w:t>Nordiska utvecklingsfonden</w:t>
      </w:r>
      <w:r>
        <w:t xml:space="preserve"> – Nordic Development Fund (NDF) – upprättades 1989 som ett led i det nordiska biståndssamarbetet. NDF skall främja ekonomisk och social utveckling i u-länder genom att lämna långfristiga krediter på fördelaktiga villkor till projekt av nordiskt intresse, främst i form av upphandling av varor och tjänster i Norden. Krediter lämnas endast tillsammans med andra finansiärer, främst multilaterala institutioner såsom Världsbanken, de regionala utvecklingsbankerna och NIB.</w:t>
      </w:r>
    </w:p>
    <w:p w:rsidR="00CF2367" w:rsidRDefault="00CF2367">
      <w:r>
        <w:rPr>
          <w:i/>
        </w:rPr>
        <w:t>Nordiska miljöfinansieringsbolaget</w:t>
      </w:r>
      <w:r>
        <w:t xml:space="preserve"> (NEFCO) tillkom 1990 för att främja investeringar av nordiskt miljöintresse i Östeuropa.</w:t>
      </w:r>
    </w:p>
    <w:p w:rsidR="00CF2367" w:rsidRDefault="00CF2367">
      <w:r>
        <w:t>Av propositionen framgår att syftet med den nya överenskommelsen om NIB är att stärka bankens rättsställning som internationell finansieringsinstitution och befästa dess ställning som prioriterad långivare. NIB:s växande internationella verksamhet och det ökade risktagande som följt med denna utveckling har skapat ett större behov av att formalisera och stärka NIB:s multilaterala status. NIB bör få ställning som intern</w:t>
      </w:r>
      <w:r>
        <w:t>ationell juridisk person med full rättshandlingsförmåga och med rätt att ingå överenskommelser, förvärva och avyttra fast och lös egendom samt föra talan inför domstolar och andra myndigheter. Bankens egendom och tillgångar samt dess lokaler, arkiv och handlingar bör vara okränkbara.</w:t>
      </w:r>
    </w:p>
    <w:p w:rsidR="00CF2367" w:rsidRDefault="00CF2367">
      <w:pPr>
        <w:pStyle w:val="Normaltindrag"/>
      </w:pPr>
      <w:r>
        <w:t>I anslutning till den nya överenskommelsen om NIB har motsvarande ändringar gjorts i överenskommelserna om NEFCO och NDF.</w:t>
      </w:r>
    </w:p>
    <w:p w:rsidR="00CF2367" w:rsidRDefault="00CF2367">
      <w:pPr>
        <w:pStyle w:val="Normaltindrag"/>
      </w:pPr>
      <w:r>
        <w:t>En förstärkning av institutionernas multilaterala status motiverar enligt propositionen också att frågan om immunitet regleras i överenskommelserna.</w:t>
      </w:r>
    </w:p>
    <w:p w:rsidR="00CF2367" w:rsidRDefault="00CF2367">
      <w:pPr>
        <w:pStyle w:val="Rubrik3"/>
      </w:pPr>
      <w:bookmarkStart w:id="23" w:name="_Toc435364989"/>
      <w:r>
        <w:t>Finansutskottet</w:t>
      </w:r>
      <w:bookmarkEnd w:id="23"/>
      <w:r>
        <w:t>s ställningstagande</w:t>
      </w:r>
    </w:p>
    <w:p w:rsidR="00CF2367" w:rsidRDefault="00CF2367">
      <w:r>
        <w:t>Finansutskottet har inget att erinra mot de föreslagna överenskommelserna. Någon motion har inte väckts i ärendet. Med hänsyn härtill tillstyrker utskottet att riksdagen dels godkänner de nya överenskommelserna om NIB, NDG och NEFCO, dels antar den i propositionen föreslagna ändringen i lagen (1976:661) om immunitet och privilegier i vissa fall.</w:t>
      </w:r>
    </w:p>
    <w:p w:rsidR="00CF2367" w:rsidRDefault="00CF2367">
      <w:pPr>
        <w:pStyle w:val="Rubrik2"/>
      </w:pPr>
      <w:bookmarkStart w:id="24" w:name="_Toc435364990"/>
      <w:r>
        <w:t>Hemställan</w:t>
      </w:r>
      <w:bookmarkEnd w:id="24"/>
    </w:p>
    <w:p w:rsidR="00CF2367" w:rsidRDefault="00CF2367">
      <w:r>
        <w:t>Utskottet hemställer</w:t>
      </w:r>
    </w:p>
    <w:p w:rsidR="00CF2367" w:rsidRDefault="00CF2367">
      <w:pPr>
        <w:pStyle w:val="hembetr"/>
      </w:pPr>
      <w:r>
        <w:t xml:space="preserve">1. beträffande </w:t>
      </w:r>
      <w:r>
        <w:rPr>
          <w:i/>
        </w:rPr>
        <w:t>överenskommelserna</w:t>
      </w:r>
    </w:p>
    <w:p w:rsidR="00CF2367" w:rsidRDefault="00CF2367">
      <w:pPr>
        <w:pStyle w:val="hemtext"/>
      </w:pPr>
      <w:r>
        <w:t>att riksdagen godkänner de i  proposition 1998/99:14 redovisade överenskommelserna om Nordiska investeringsbanken, Nordiska utvecklingsfonden och Nordiska miljöfinansieringsbolaget,</w:t>
      </w:r>
      <w:bookmarkStart w:id="25" w:name="RESPARTI001"/>
      <w:bookmarkEnd w:id="25"/>
    </w:p>
    <w:p w:rsidR="00CF2367" w:rsidRDefault="00CF2367">
      <w:pPr>
        <w:pStyle w:val="hembetr"/>
      </w:pPr>
      <w:r>
        <w:t xml:space="preserve">2. beträffande </w:t>
      </w:r>
      <w:r>
        <w:rPr>
          <w:i/>
        </w:rPr>
        <w:t>lagförslaget</w:t>
      </w:r>
    </w:p>
    <w:p w:rsidR="00CF2367" w:rsidRDefault="00CF2367">
      <w:pPr>
        <w:pStyle w:val="hemtext"/>
      </w:pPr>
      <w:r>
        <w:t>att riksdagen antar det i proposition 1998/99:14 intagna förslaget till lag om ändring i lagen (1976:661) om immunitet och privilegier i vissa fall</w:t>
      </w:r>
      <w:bookmarkStart w:id="26" w:name="RESPARTI002"/>
      <w:bookmarkEnd w:id="26"/>
      <w:r>
        <w:t xml:space="preserve"> med den ändringen att datum för resp. överenskommelse har införts vid punkterna 56–58.</w:t>
      </w:r>
    </w:p>
    <w:p w:rsidR="00CF2367" w:rsidRDefault="00CF2367">
      <w:pPr>
        <w:pStyle w:val="Stockholm"/>
      </w:pPr>
      <w:bookmarkStart w:id="27" w:name="Nästa_Hpunkt"/>
      <w:bookmarkEnd w:id="27"/>
      <w:r>
        <w:t>Stockholm den 12 november 1998</w:t>
      </w:r>
    </w:p>
    <w:p w:rsidR="00CF2367" w:rsidRDefault="00CF2367">
      <w:pPr>
        <w:pStyle w:val="Vgnar"/>
      </w:pPr>
      <w:r>
        <w:t>På finansutskottets vägnar</w:t>
      </w:r>
    </w:p>
    <w:p w:rsidR="00CF2367" w:rsidRDefault="00CF2367"/>
    <w:p w:rsidR="00CF2367" w:rsidRDefault="00CF2367">
      <w:pPr>
        <w:pStyle w:val="Ordfnamn"/>
      </w:pPr>
      <w:bookmarkStart w:id="28" w:name="Ordförande"/>
      <w:bookmarkEnd w:id="28"/>
      <w:r>
        <w:t xml:space="preserve">Jan Bergqvist </w:t>
      </w:r>
    </w:p>
    <w:p w:rsidR="00CF2367" w:rsidRDefault="00CF2367"/>
    <w:p w:rsidR="00CF2367" w:rsidRDefault="00CF2367">
      <w:pPr>
        <w:pStyle w:val="Deltagare"/>
      </w:pPr>
      <w:bookmarkStart w:id="29" w:name="Deltagare"/>
      <w:bookmarkEnd w:id="29"/>
      <w:r>
        <w:t>I beslutet har deltagit: Jan Bergqvist (s), Bengt Silfverstrand (s), Lisbet Calner (s), Johan Lönnroth (v), Lennart Hedquist (m), Sonia Karlsson (s), Fredrik Reinfeldt (m), Carin Lundberg (s), Sven-Erik Österberg (s), Siv Holma (v), Per Landgren (kd), Anna Åkerhielm (m), Peter Eriksson (mp), Lena Ek (c), Lars Leijonborg (fp), Bo Lundgren (m) och Stefan Attefall (kd).</w:t>
      </w:r>
    </w:p>
    <w:p w:rsidR="00CF2367" w:rsidRDefault="00CF2367">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CF2367" w:rsidRDefault="00CF2367">
      <w:pPr>
        <w:pStyle w:val="Rubrik2"/>
        <w:spacing w:before="0"/>
      </w:pPr>
      <w:bookmarkStart w:id="30" w:name="_Toc430074373"/>
      <w:bookmarkStart w:id="31" w:name="_Toc435364991"/>
      <w:r>
        <w:t>Förslag till lag om ändring i lagen (1976:661) om immunitet och privilegier i vissa fall</w:t>
      </w:r>
      <w:bookmarkEnd w:id="31"/>
    </w:p>
    <w:p w:rsidR="00CF2367" w:rsidRDefault="00CF2367">
      <w:r>
        <w:t>Härigenom föreskrivs att bilagan till lagen (1976:661) om immunitet och privilegier i vissa fall</w:t>
      </w:r>
      <w:r>
        <w:rPr>
          <w:rStyle w:val="Fotnotsreferens"/>
        </w:rPr>
        <w:footnoteReference w:id="1"/>
      </w:r>
      <w:r>
        <w:t xml:space="preserve"> skall ha följande lydelse.</w:t>
      </w:r>
    </w:p>
    <w:p w:rsidR="00CF2367" w:rsidRDefault="00CF2367">
      <w:pPr>
        <w:pStyle w:val="Normaltindrag"/>
      </w:pPr>
    </w:p>
    <w:p w:rsidR="00CF2367" w:rsidRDefault="00CF2367">
      <w:r>
        <w:rPr>
          <w:i/>
        </w:rPr>
        <w:t xml:space="preserve">Nuvarande lydelse </w:t>
      </w:r>
    </w:p>
    <w:p w:rsidR="00CF2367" w:rsidRDefault="00CF2367">
      <w:pPr>
        <w:pStyle w:val="Normaltindrag"/>
        <w:spacing w:after="240"/>
      </w:pPr>
      <w:r>
        <w:tab/>
      </w:r>
      <w:r>
        <w:tab/>
      </w:r>
      <w:r>
        <w:tab/>
      </w:r>
      <w:r>
        <w:tab/>
      </w:r>
      <w:r>
        <w:rPr>
          <w:i/>
        </w:rPr>
        <w:t>Bilaga</w:t>
      </w:r>
      <w:r>
        <w:rPr>
          <w:rStyle w:val="Fotnotsreferens"/>
          <w:i/>
          <w:sz w:val="20"/>
        </w:rPr>
        <w:footnoteReference w:id="2"/>
      </w:r>
    </w:p>
    <w:tbl>
      <w:tblPr>
        <w:tblW w:w="0" w:type="auto"/>
        <w:tblInd w:w="-70" w:type="dxa"/>
        <w:tblLayout w:type="fixed"/>
        <w:tblCellMar>
          <w:left w:w="70" w:type="dxa"/>
          <w:right w:w="70" w:type="dxa"/>
        </w:tblCellMar>
        <w:tblLook w:val="0000" w:firstRow="0" w:lastRow="0" w:firstColumn="0" w:lastColumn="0" w:noHBand="0" w:noVBand="0"/>
      </w:tblPr>
      <w:tblGrid>
        <w:gridCol w:w="1771"/>
        <w:gridCol w:w="1843"/>
        <w:gridCol w:w="2410"/>
        <w:gridCol w:w="12"/>
      </w:tblGrid>
      <w:tr w:rsidR="00000000">
        <w:tblPrEx>
          <w:tblCellMar>
            <w:top w:w="0" w:type="dxa"/>
            <w:bottom w:w="0" w:type="dxa"/>
          </w:tblCellMar>
        </w:tblPrEx>
        <w:trPr>
          <w:gridAfter w:val="1"/>
          <w:wAfter w:w="12" w:type="dxa"/>
          <w:cantSplit/>
        </w:trPr>
        <w:tc>
          <w:tcPr>
            <w:tcW w:w="3614" w:type="dxa"/>
            <w:gridSpan w:val="2"/>
            <w:tcBorders>
              <w:top w:val="single" w:sz="4" w:space="0" w:color="auto"/>
              <w:bottom w:val="single" w:sz="4" w:space="0" w:color="auto"/>
            </w:tcBorders>
          </w:tcPr>
          <w:p w:rsidR="00CF2367" w:rsidRDefault="00CF2367">
            <w:pPr>
              <w:rPr>
                <w:sz w:val="18"/>
              </w:rPr>
            </w:pPr>
            <w:r>
              <w:rPr>
                <w:sz w:val="18"/>
              </w:rPr>
              <w:t>Immunitet och/eller privilegier gäller för följa</w:t>
            </w:r>
            <w:r>
              <w:rPr>
                <w:sz w:val="18"/>
              </w:rPr>
              <w:t>n</w:t>
            </w:r>
            <w:r>
              <w:rPr>
                <w:sz w:val="18"/>
              </w:rPr>
              <w:t>de</w:t>
            </w:r>
          </w:p>
        </w:tc>
        <w:tc>
          <w:tcPr>
            <w:tcW w:w="2410" w:type="dxa"/>
            <w:tcBorders>
              <w:top w:val="single" w:sz="4" w:space="0" w:color="auto"/>
            </w:tcBorders>
          </w:tcPr>
          <w:p w:rsidR="00CF2367" w:rsidRDefault="00CF2367">
            <w:pPr>
              <w:rPr>
                <w:sz w:val="18"/>
              </w:rPr>
            </w:pPr>
            <w:r>
              <w:rPr>
                <w:sz w:val="18"/>
              </w:rPr>
              <w:t>Tillämplig internationell över</w:t>
            </w:r>
            <w:r>
              <w:rPr>
                <w:sz w:val="18"/>
              </w:rPr>
              <w:softHyphen/>
              <w:t>ens</w:t>
            </w:r>
            <w:r>
              <w:rPr>
                <w:sz w:val="18"/>
              </w:rPr>
              <w:softHyphen/>
              <w:t>kom</w:t>
            </w:r>
            <w:r>
              <w:rPr>
                <w:sz w:val="18"/>
              </w:rPr>
              <w:softHyphen/>
              <w:t>mel</w:t>
            </w:r>
            <w:r>
              <w:rPr>
                <w:sz w:val="18"/>
              </w:rPr>
              <w:softHyphen/>
              <w:t>se</w:t>
            </w:r>
          </w:p>
        </w:tc>
      </w:tr>
      <w:tr w:rsidR="00000000">
        <w:tblPrEx>
          <w:tblCellMar>
            <w:top w:w="0" w:type="dxa"/>
            <w:bottom w:w="0" w:type="dxa"/>
          </w:tblCellMar>
        </w:tblPrEx>
        <w:trPr>
          <w:gridAfter w:val="1"/>
          <w:wAfter w:w="12" w:type="dxa"/>
        </w:trPr>
        <w:tc>
          <w:tcPr>
            <w:tcW w:w="1771" w:type="dxa"/>
            <w:tcBorders>
              <w:bottom w:val="single" w:sz="4" w:space="0" w:color="auto"/>
            </w:tcBorders>
          </w:tcPr>
          <w:p w:rsidR="00CF2367" w:rsidRDefault="00CF2367">
            <w:pPr>
              <w:rPr>
                <w:sz w:val="18"/>
              </w:rPr>
            </w:pPr>
            <w:r>
              <w:rPr>
                <w:sz w:val="18"/>
              </w:rPr>
              <w:t>Internationella organ</w:t>
            </w:r>
          </w:p>
        </w:tc>
        <w:tc>
          <w:tcPr>
            <w:tcW w:w="1843" w:type="dxa"/>
            <w:tcBorders>
              <w:bottom w:val="single" w:sz="4" w:space="0" w:color="auto"/>
            </w:tcBorders>
          </w:tcPr>
          <w:p w:rsidR="00CF2367" w:rsidRDefault="00CF2367">
            <w:pPr>
              <w:rPr>
                <w:sz w:val="18"/>
              </w:rPr>
            </w:pPr>
            <w:r>
              <w:rPr>
                <w:sz w:val="18"/>
              </w:rPr>
              <w:t>Fysiska personer</w:t>
            </w:r>
          </w:p>
        </w:tc>
        <w:tc>
          <w:tcPr>
            <w:tcW w:w="2410" w:type="dxa"/>
            <w:tcBorders>
              <w:bottom w:val="single" w:sz="4" w:space="0" w:color="auto"/>
            </w:tcBorders>
          </w:tcPr>
          <w:p w:rsidR="00CF2367" w:rsidRDefault="00CF2367">
            <w:pPr>
              <w:rPr>
                <w:sz w:val="18"/>
              </w:rPr>
            </w:pPr>
          </w:p>
        </w:tc>
      </w:tr>
      <w:tr w:rsidR="00000000">
        <w:tblPrEx>
          <w:tblCellMar>
            <w:top w:w="0" w:type="dxa"/>
            <w:bottom w:w="0" w:type="dxa"/>
          </w:tblCellMar>
        </w:tblPrEx>
        <w:trPr>
          <w:gridAfter w:val="1"/>
          <w:wAfter w:w="12" w:type="dxa"/>
          <w:cantSplit/>
        </w:trPr>
        <w:tc>
          <w:tcPr>
            <w:tcW w:w="6024" w:type="dxa"/>
            <w:gridSpan w:val="3"/>
          </w:tcPr>
          <w:p w:rsidR="00CF2367" w:rsidRDefault="00CF2367">
            <w:pPr>
              <w:pStyle w:val="Proputanindrag"/>
              <w:tabs>
                <w:tab w:val="left" w:pos="4962"/>
              </w:tabs>
              <w:rPr>
                <w:sz w:val="18"/>
              </w:rPr>
            </w:pPr>
            <w:r>
              <w:rPr>
                <w:sz w:val="18"/>
              </w:rPr>
              <w:t xml:space="preserve">- - - - - - - - - - - - - - - - - - - - - - - - - - - - - - - - - - - - - - - - - - - - - - - - - - - - - - - - </w:t>
            </w:r>
          </w:p>
        </w:tc>
      </w:tr>
      <w:tr w:rsidR="00000000">
        <w:tblPrEx>
          <w:tblCellMar>
            <w:top w:w="0" w:type="dxa"/>
            <w:bottom w:w="0" w:type="dxa"/>
          </w:tblCellMar>
        </w:tblPrEx>
        <w:trPr>
          <w:gridAfter w:val="1"/>
          <w:wAfter w:w="12" w:type="dxa"/>
        </w:trPr>
        <w:tc>
          <w:tcPr>
            <w:tcW w:w="1771" w:type="dxa"/>
          </w:tcPr>
          <w:p w:rsidR="00CF2367" w:rsidRDefault="00CF2367">
            <w:pPr>
              <w:rPr>
                <w:sz w:val="18"/>
              </w:rPr>
            </w:pPr>
            <w:r>
              <w:rPr>
                <w:sz w:val="18"/>
              </w:rPr>
              <w:t>25. Nordiska invest</w:t>
            </w:r>
            <w:r>
              <w:rPr>
                <w:sz w:val="18"/>
              </w:rPr>
              <w:t>e</w:t>
            </w:r>
            <w:r>
              <w:rPr>
                <w:sz w:val="18"/>
              </w:rPr>
              <w:softHyphen/>
              <w:t>ringsbanken</w:t>
            </w:r>
          </w:p>
        </w:tc>
        <w:tc>
          <w:tcPr>
            <w:tcW w:w="1843" w:type="dxa"/>
          </w:tcPr>
          <w:p w:rsidR="00CF2367" w:rsidRDefault="00CF2367">
            <w:pPr>
              <w:rPr>
                <w:sz w:val="18"/>
              </w:rPr>
            </w:pPr>
            <w:r>
              <w:rPr>
                <w:sz w:val="18"/>
              </w:rPr>
              <w:t>---</w:t>
            </w:r>
          </w:p>
        </w:tc>
        <w:tc>
          <w:tcPr>
            <w:tcW w:w="2410" w:type="dxa"/>
          </w:tcPr>
          <w:p w:rsidR="00CF2367" w:rsidRDefault="00CF2367">
            <w:pPr>
              <w:rPr>
                <w:sz w:val="18"/>
              </w:rPr>
            </w:pPr>
            <w:r>
              <w:rPr>
                <w:sz w:val="18"/>
              </w:rPr>
              <w:t>Överenskom</w:t>
            </w:r>
            <w:r>
              <w:rPr>
                <w:sz w:val="18"/>
              </w:rPr>
              <w:softHyphen/>
              <w:t>mel</w:t>
            </w:r>
            <w:r>
              <w:rPr>
                <w:sz w:val="18"/>
              </w:rPr>
              <w:softHyphen/>
              <w:t>se den 4 de</w:t>
            </w:r>
            <w:r>
              <w:rPr>
                <w:sz w:val="18"/>
              </w:rPr>
              <w:softHyphen/>
              <w:t>cem</w:t>
            </w:r>
            <w:r>
              <w:rPr>
                <w:sz w:val="18"/>
              </w:rPr>
              <w:softHyphen/>
              <w:t>ber 1975 om upprättande av Nor</w:t>
            </w:r>
            <w:r>
              <w:rPr>
                <w:sz w:val="18"/>
              </w:rPr>
              <w:softHyphen/>
              <w:t>di</w:t>
            </w:r>
            <w:r>
              <w:rPr>
                <w:sz w:val="18"/>
              </w:rPr>
              <w:t>s</w:t>
            </w:r>
            <w:r>
              <w:rPr>
                <w:sz w:val="18"/>
              </w:rPr>
              <w:t>ka invest</w:t>
            </w:r>
            <w:r>
              <w:rPr>
                <w:sz w:val="18"/>
              </w:rPr>
              <w:softHyphen/>
              <w:t>erings</w:t>
            </w:r>
            <w:r>
              <w:rPr>
                <w:sz w:val="18"/>
              </w:rPr>
              <w:softHyphen/>
              <w:t>banken</w:t>
            </w:r>
          </w:p>
        </w:tc>
      </w:tr>
      <w:tr w:rsidR="00000000">
        <w:tblPrEx>
          <w:tblCellMar>
            <w:top w:w="0" w:type="dxa"/>
            <w:bottom w:w="0" w:type="dxa"/>
          </w:tblCellMar>
        </w:tblPrEx>
        <w:trPr>
          <w:gridAfter w:val="1"/>
          <w:wAfter w:w="12" w:type="dxa"/>
          <w:cantSplit/>
        </w:trPr>
        <w:tc>
          <w:tcPr>
            <w:tcW w:w="6024" w:type="dxa"/>
            <w:gridSpan w:val="3"/>
          </w:tcPr>
          <w:p w:rsidR="00CF2367" w:rsidRDefault="00CF2367">
            <w:pPr>
              <w:pStyle w:val="Proputanindrag"/>
              <w:tabs>
                <w:tab w:val="left" w:pos="4962"/>
              </w:tabs>
              <w:rPr>
                <w:sz w:val="18"/>
              </w:rPr>
            </w:pPr>
            <w:r>
              <w:rPr>
                <w:sz w:val="18"/>
              </w:rPr>
              <w:t xml:space="preserve">- - - - - - - - - - - - - - - - - - - - - - - - - - - - - - - - - - - - - - - - - - - - - - - - - - - - - -  - - </w:t>
            </w:r>
          </w:p>
        </w:tc>
      </w:tr>
      <w:tr w:rsidR="00000000">
        <w:tblPrEx>
          <w:tblCellMar>
            <w:top w:w="0" w:type="dxa"/>
            <w:bottom w:w="0" w:type="dxa"/>
          </w:tblCellMar>
        </w:tblPrEx>
        <w:trPr>
          <w:gridAfter w:val="1"/>
          <w:wAfter w:w="12" w:type="dxa"/>
        </w:trPr>
        <w:tc>
          <w:tcPr>
            <w:tcW w:w="1771" w:type="dxa"/>
            <w:tcBorders>
              <w:bottom w:val="single" w:sz="4" w:space="0" w:color="auto"/>
            </w:tcBorders>
          </w:tcPr>
          <w:p w:rsidR="00CF2367" w:rsidRDefault="00CF2367">
            <w:pPr>
              <w:rPr>
                <w:i/>
                <w:sz w:val="18"/>
              </w:rPr>
            </w:pPr>
            <w:r>
              <w:rPr>
                <w:i/>
                <w:sz w:val="18"/>
              </w:rPr>
              <w:t>Föreslagen lydelse</w:t>
            </w:r>
          </w:p>
        </w:tc>
        <w:tc>
          <w:tcPr>
            <w:tcW w:w="1843" w:type="dxa"/>
            <w:tcBorders>
              <w:bottom w:val="single" w:sz="4" w:space="0" w:color="auto"/>
            </w:tcBorders>
          </w:tcPr>
          <w:p w:rsidR="00CF2367" w:rsidRDefault="00CF2367">
            <w:pPr>
              <w:pStyle w:val="Proputanindrag"/>
              <w:tabs>
                <w:tab w:val="left" w:pos="4962"/>
              </w:tabs>
              <w:rPr>
                <w:sz w:val="18"/>
              </w:rPr>
            </w:pPr>
          </w:p>
        </w:tc>
        <w:tc>
          <w:tcPr>
            <w:tcW w:w="2410" w:type="dxa"/>
            <w:tcBorders>
              <w:bottom w:val="single" w:sz="4" w:space="0" w:color="auto"/>
            </w:tcBorders>
          </w:tcPr>
          <w:p w:rsidR="00CF2367" w:rsidRDefault="00CF2367">
            <w:pPr>
              <w:pStyle w:val="Proputanindrag"/>
              <w:tabs>
                <w:tab w:val="left" w:pos="4962"/>
              </w:tabs>
              <w:rPr>
                <w:sz w:val="18"/>
              </w:rPr>
            </w:pPr>
          </w:p>
        </w:tc>
      </w:tr>
      <w:tr w:rsidR="00000000">
        <w:tblPrEx>
          <w:tblCellMar>
            <w:top w:w="0" w:type="dxa"/>
            <w:bottom w:w="0" w:type="dxa"/>
          </w:tblCellMar>
        </w:tblPrEx>
        <w:trPr>
          <w:gridAfter w:val="1"/>
          <w:wAfter w:w="12" w:type="dxa"/>
          <w:cantSplit/>
        </w:trPr>
        <w:tc>
          <w:tcPr>
            <w:tcW w:w="3614" w:type="dxa"/>
            <w:gridSpan w:val="2"/>
            <w:tcBorders>
              <w:bottom w:val="single" w:sz="4" w:space="0" w:color="auto"/>
            </w:tcBorders>
          </w:tcPr>
          <w:p w:rsidR="00CF2367" w:rsidRDefault="00CF2367">
            <w:pPr>
              <w:rPr>
                <w:sz w:val="18"/>
              </w:rPr>
            </w:pPr>
            <w:r>
              <w:rPr>
                <w:sz w:val="18"/>
              </w:rPr>
              <w:t>Immunitet och/eller privilegier gäller för följa</w:t>
            </w:r>
            <w:r>
              <w:rPr>
                <w:sz w:val="18"/>
              </w:rPr>
              <w:t>n</w:t>
            </w:r>
            <w:r>
              <w:rPr>
                <w:sz w:val="18"/>
              </w:rPr>
              <w:t>de</w:t>
            </w:r>
          </w:p>
        </w:tc>
        <w:tc>
          <w:tcPr>
            <w:tcW w:w="2410" w:type="dxa"/>
          </w:tcPr>
          <w:p w:rsidR="00CF2367" w:rsidRDefault="00CF2367">
            <w:pPr>
              <w:rPr>
                <w:sz w:val="18"/>
              </w:rPr>
            </w:pPr>
            <w:r>
              <w:rPr>
                <w:sz w:val="18"/>
              </w:rPr>
              <w:t>Tillämplig internationell över</w:t>
            </w:r>
            <w:r>
              <w:rPr>
                <w:sz w:val="18"/>
              </w:rPr>
              <w:softHyphen/>
              <w:t>ens</w:t>
            </w:r>
            <w:r>
              <w:rPr>
                <w:sz w:val="18"/>
              </w:rPr>
              <w:softHyphen/>
              <w:t>kom</w:t>
            </w:r>
            <w:r>
              <w:rPr>
                <w:sz w:val="18"/>
              </w:rPr>
              <w:softHyphen/>
              <w:t>mel</w:t>
            </w:r>
            <w:r>
              <w:rPr>
                <w:sz w:val="18"/>
              </w:rPr>
              <w:softHyphen/>
              <w:t>se</w:t>
            </w:r>
          </w:p>
        </w:tc>
      </w:tr>
      <w:tr w:rsidR="00000000">
        <w:tblPrEx>
          <w:tblCellMar>
            <w:top w:w="0" w:type="dxa"/>
            <w:bottom w:w="0" w:type="dxa"/>
          </w:tblCellMar>
        </w:tblPrEx>
        <w:tc>
          <w:tcPr>
            <w:tcW w:w="1771" w:type="dxa"/>
            <w:tcBorders>
              <w:bottom w:val="single" w:sz="4" w:space="0" w:color="auto"/>
            </w:tcBorders>
          </w:tcPr>
          <w:p w:rsidR="00CF2367" w:rsidRDefault="00CF2367">
            <w:pPr>
              <w:rPr>
                <w:sz w:val="18"/>
              </w:rPr>
            </w:pPr>
            <w:r>
              <w:rPr>
                <w:sz w:val="18"/>
              </w:rPr>
              <w:t>Internationella organ</w:t>
            </w:r>
          </w:p>
        </w:tc>
        <w:tc>
          <w:tcPr>
            <w:tcW w:w="1843" w:type="dxa"/>
            <w:tcBorders>
              <w:bottom w:val="single" w:sz="4" w:space="0" w:color="auto"/>
            </w:tcBorders>
          </w:tcPr>
          <w:p w:rsidR="00CF2367" w:rsidRDefault="00CF2367">
            <w:pPr>
              <w:rPr>
                <w:sz w:val="18"/>
              </w:rPr>
            </w:pPr>
            <w:r>
              <w:rPr>
                <w:sz w:val="18"/>
              </w:rPr>
              <w:t>Fysiska personer</w:t>
            </w:r>
          </w:p>
        </w:tc>
        <w:tc>
          <w:tcPr>
            <w:tcW w:w="2422" w:type="dxa"/>
            <w:gridSpan w:val="2"/>
            <w:tcBorders>
              <w:bottom w:val="single" w:sz="4" w:space="0" w:color="auto"/>
            </w:tcBorders>
          </w:tcPr>
          <w:p w:rsidR="00CF2367" w:rsidRDefault="00CF2367">
            <w:pPr>
              <w:rPr>
                <w:sz w:val="18"/>
              </w:rPr>
            </w:pPr>
          </w:p>
        </w:tc>
      </w:tr>
      <w:tr w:rsidR="00000000">
        <w:tblPrEx>
          <w:tblCellMar>
            <w:top w:w="0" w:type="dxa"/>
            <w:bottom w:w="0" w:type="dxa"/>
          </w:tblCellMar>
        </w:tblPrEx>
        <w:trPr>
          <w:cantSplit/>
          <w:trHeight w:hRule="exact" w:val="180"/>
        </w:trPr>
        <w:tc>
          <w:tcPr>
            <w:tcW w:w="6036" w:type="dxa"/>
            <w:gridSpan w:val="4"/>
          </w:tcPr>
          <w:p w:rsidR="00CF2367" w:rsidRDefault="00CF2367">
            <w:pPr>
              <w:spacing w:before="0"/>
              <w:rPr>
                <w:i/>
                <w:sz w:val="18"/>
              </w:rPr>
            </w:pPr>
            <w:r>
              <w:rPr>
                <w:i/>
                <w:sz w:val="18"/>
              </w:rPr>
              <w:t xml:space="preserve">- - - - - - - - - - - - - - - - - - - - - - - - - - - - - - - - - - - - - - - - - - - - - - - - - - - - - - - - </w:t>
            </w:r>
          </w:p>
        </w:tc>
      </w:tr>
      <w:tr w:rsidR="00000000">
        <w:tblPrEx>
          <w:tblCellMar>
            <w:top w:w="0" w:type="dxa"/>
            <w:bottom w:w="0" w:type="dxa"/>
          </w:tblCellMar>
        </w:tblPrEx>
        <w:tc>
          <w:tcPr>
            <w:tcW w:w="1771" w:type="dxa"/>
          </w:tcPr>
          <w:p w:rsidR="00CF2367" w:rsidRDefault="00CF2367">
            <w:pPr>
              <w:rPr>
                <w:sz w:val="18"/>
              </w:rPr>
            </w:pPr>
            <w:r>
              <w:rPr>
                <w:sz w:val="18"/>
              </w:rPr>
              <w:t>25. -</w:t>
            </w:r>
          </w:p>
        </w:tc>
        <w:tc>
          <w:tcPr>
            <w:tcW w:w="1843" w:type="dxa"/>
          </w:tcPr>
          <w:p w:rsidR="00CF2367" w:rsidRDefault="00CF2367">
            <w:pPr>
              <w:rPr>
                <w:sz w:val="18"/>
              </w:rPr>
            </w:pPr>
            <w:r>
              <w:rPr>
                <w:sz w:val="18"/>
              </w:rPr>
              <w:t>–</w:t>
            </w:r>
          </w:p>
        </w:tc>
        <w:tc>
          <w:tcPr>
            <w:tcW w:w="2422" w:type="dxa"/>
            <w:gridSpan w:val="2"/>
          </w:tcPr>
          <w:p w:rsidR="00CF2367" w:rsidRDefault="00CF2367">
            <w:pPr>
              <w:rPr>
                <w:sz w:val="18"/>
              </w:rPr>
            </w:pPr>
            <w:r>
              <w:rPr>
                <w:sz w:val="18"/>
              </w:rPr>
              <w:t>–</w:t>
            </w:r>
          </w:p>
        </w:tc>
      </w:tr>
      <w:tr w:rsidR="00000000">
        <w:tblPrEx>
          <w:tblCellMar>
            <w:top w:w="0" w:type="dxa"/>
            <w:bottom w:w="0" w:type="dxa"/>
          </w:tblCellMar>
        </w:tblPrEx>
        <w:trPr>
          <w:cantSplit/>
          <w:trHeight w:hRule="exact" w:val="180"/>
        </w:trPr>
        <w:tc>
          <w:tcPr>
            <w:tcW w:w="6036" w:type="dxa"/>
            <w:gridSpan w:val="4"/>
          </w:tcPr>
          <w:p w:rsidR="00CF2367" w:rsidRDefault="00CF2367">
            <w:pPr>
              <w:spacing w:before="0"/>
              <w:rPr>
                <w:i/>
                <w:sz w:val="18"/>
              </w:rPr>
            </w:pPr>
            <w:r>
              <w:rPr>
                <w:i/>
                <w:sz w:val="18"/>
              </w:rPr>
              <w:t xml:space="preserve">- - - - - - - - - - - - - - - - - - - - - - - - - - - - - - - - - - - - - - - - - - - - - - - - - - - - - - - - </w:t>
            </w:r>
          </w:p>
        </w:tc>
      </w:tr>
      <w:tr w:rsidR="00000000">
        <w:tblPrEx>
          <w:tblCellMar>
            <w:top w:w="0" w:type="dxa"/>
            <w:bottom w:w="0" w:type="dxa"/>
          </w:tblCellMar>
        </w:tblPrEx>
        <w:tc>
          <w:tcPr>
            <w:tcW w:w="1771" w:type="dxa"/>
          </w:tcPr>
          <w:p w:rsidR="00CF2367" w:rsidRDefault="00CF2367">
            <w:pPr>
              <w:rPr>
                <w:i/>
                <w:sz w:val="18"/>
              </w:rPr>
            </w:pPr>
            <w:r>
              <w:rPr>
                <w:i/>
                <w:sz w:val="18"/>
              </w:rPr>
              <w:t>56. Nordiska invest</w:t>
            </w:r>
            <w:r>
              <w:rPr>
                <w:i/>
                <w:sz w:val="18"/>
              </w:rPr>
              <w:t>e</w:t>
            </w:r>
            <w:r>
              <w:rPr>
                <w:i/>
                <w:sz w:val="18"/>
              </w:rPr>
              <w:softHyphen/>
              <w:t>rings</w:t>
            </w:r>
            <w:r>
              <w:rPr>
                <w:i/>
                <w:sz w:val="18"/>
              </w:rPr>
              <w:softHyphen/>
              <w:t>banken</w:t>
            </w:r>
          </w:p>
        </w:tc>
        <w:tc>
          <w:tcPr>
            <w:tcW w:w="1843" w:type="dxa"/>
          </w:tcPr>
          <w:p w:rsidR="00CF2367" w:rsidRDefault="00CF2367">
            <w:pPr>
              <w:rPr>
                <w:i/>
                <w:sz w:val="18"/>
              </w:rPr>
            </w:pPr>
            <w:r>
              <w:rPr>
                <w:i/>
                <w:sz w:val="18"/>
              </w:rPr>
              <w:t>Alla styrelsemed</w:t>
            </w:r>
            <w:r>
              <w:rPr>
                <w:i/>
                <w:sz w:val="18"/>
              </w:rPr>
              <w:softHyphen/>
              <w:t>le</w:t>
            </w:r>
            <w:r>
              <w:rPr>
                <w:i/>
                <w:sz w:val="18"/>
              </w:rPr>
              <w:t>m</w:t>
            </w:r>
            <w:r>
              <w:rPr>
                <w:i/>
                <w:sz w:val="18"/>
              </w:rPr>
              <w:softHyphen/>
              <w:t>mar, deras supple</w:t>
            </w:r>
            <w:r>
              <w:rPr>
                <w:i/>
                <w:sz w:val="18"/>
              </w:rPr>
              <w:softHyphen/>
              <w:t>a</w:t>
            </w:r>
            <w:r>
              <w:rPr>
                <w:i/>
                <w:sz w:val="18"/>
              </w:rPr>
              <w:t>n</w:t>
            </w:r>
            <w:r>
              <w:rPr>
                <w:i/>
                <w:sz w:val="18"/>
              </w:rPr>
              <w:softHyphen/>
              <w:t>ter, bankens anställ</w:t>
            </w:r>
            <w:r>
              <w:rPr>
                <w:i/>
                <w:sz w:val="18"/>
              </w:rPr>
              <w:softHyphen/>
              <w:t>da samt av banken utse</w:t>
            </w:r>
            <w:r>
              <w:rPr>
                <w:i/>
                <w:sz w:val="18"/>
              </w:rPr>
              <w:t>d</w:t>
            </w:r>
            <w:r>
              <w:rPr>
                <w:i/>
                <w:sz w:val="18"/>
              </w:rPr>
              <w:softHyphen/>
              <w:t>da experter som ut</w:t>
            </w:r>
            <w:r>
              <w:rPr>
                <w:i/>
                <w:sz w:val="18"/>
              </w:rPr>
              <w:softHyphen/>
              <w:t>för officiella upp</w:t>
            </w:r>
            <w:r>
              <w:rPr>
                <w:i/>
                <w:sz w:val="18"/>
              </w:rPr>
              <w:softHyphen/>
              <w:t>gifter på uppdrag av banken</w:t>
            </w:r>
          </w:p>
        </w:tc>
        <w:tc>
          <w:tcPr>
            <w:tcW w:w="2422" w:type="dxa"/>
            <w:gridSpan w:val="2"/>
          </w:tcPr>
          <w:p w:rsidR="00CF2367" w:rsidRDefault="00CF2367">
            <w:pPr>
              <w:rPr>
                <w:i/>
                <w:sz w:val="18"/>
              </w:rPr>
            </w:pPr>
            <w:r>
              <w:rPr>
                <w:i/>
                <w:sz w:val="18"/>
              </w:rPr>
              <w:t>Överenskommelse den 23 okto</w:t>
            </w:r>
            <w:r>
              <w:rPr>
                <w:i/>
                <w:sz w:val="18"/>
              </w:rPr>
              <w:softHyphen/>
              <w:t>ber 1998 om Nordiska inves</w:t>
            </w:r>
            <w:r>
              <w:rPr>
                <w:i/>
                <w:sz w:val="18"/>
              </w:rPr>
              <w:softHyphen/>
              <w:t>te</w:t>
            </w:r>
            <w:r>
              <w:rPr>
                <w:i/>
                <w:sz w:val="18"/>
              </w:rPr>
              <w:softHyphen/>
              <w:t>ring</w:t>
            </w:r>
            <w:r>
              <w:rPr>
                <w:i/>
                <w:sz w:val="18"/>
              </w:rPr>
              <w:t>s</w:t>
            </w:r>
            <w:r>
              <w:rPr>
                <w:i/>
                <w:sz w:val="18"/>
              </w:rPr>
              <w:t>ba</w:t>
            </w:r>
            <w:r>
              <w:rPr>
                <w:i/>
                <w:sz w:val="18"/>
              </w:rPr>
              <w:t>n</w:t>
            </w:r>
            <w:r>
              <w:rPr>
                <w:i/>
                <w:sz w:val="18"/>
              </w:rPr>
              <w:t>ken</w:t>
            </w:r>
          </w:p>
        </w:tc>
      </w:tr>
      <w:tr w:rsidR="00000000">
        <w:tblPrEx>
          <w:tblCellMar>
            <w:top w:w="0" w:type="dxa"/>
            <w:bottom w:w="0" w:type="dxa"/>
          </w:tblCellMar>
        </w:tblPrEx>
        <w:tc>
          <w:tcPr>
            <w:tcW w:w="1771" w:type="dxa"/>
          </w:tcPr>
          <w:p w:rsidR="00CF2367" w:rsidRDefault="00CF2367">
            <w:pPr>
              <w:rPr>
                <w:i/>
                <w:sz w:val="18"/>
              </w:rPr>
            </w:pPr>
            <w:r>
              <w:rPr>
                <w:i/>
                <w:sz w:val="18"/>
              </w:rPr>
              <w:t>57. Nordiska utvec</w:t>
            </w:r>
            <w:r>
              <w:rPr>
                <w:i/>
                <w:sz w:val="18"/>
              </w:rPr>
              <w:t>k</w:t>
            </w:r>
            <w:r>
              <w:rPr>
                <w:i/>
                <w:sz w:val="18"/>
              </w:rPr>
              <w:softHyphen/>
              <w:t>lings</w:t>
            </w:r>
            <w:r>
              <w:rPr>
                <w:i/>
                <w:sz w:val="18"/>
              </w:rPr>
              <w:softHyphen/>
              <w:t>fonden</w:t>
            </w:r>
          </w:p>
        </w:tc>
        <w:tc>
          <w:tcPr>
            <w:tcW w:w="1843" w:type="dxa"/>
          </w:tcPr>
          <w:p w:rsidR="00CF2367" w:rsidRDefault="00CF2367">
            <w:pPr>
              <w:rPr>
                <w:i/>
                <w:sz w:val="18"/>
              </w:rPr>
            </w:pPr>
            <w:r>
              <w:rPr>
                <w:i/>
                <w:sz w:val="18"/>
              </w:rPr>
              <w:t>Alla styrelsemed</w:t>
            </w:r>
            <w:r>
              <w:rPr>
                <w:i/>
                <w:sz w:val="18"/>
              </w:rPr>
              <w:softHyphen/>
              <w:t>le</w:t>
            </w:r>
            <w:r>
              <w:rPr>
                <w:i/>
                <w:sz w:val="18"/>
              </w:rPr>
              <w:t>m</w:t>
            </w:r>
            <w:r>
              <w:rPr>
                <w:i/>
                <w:sz w:val="18"/>
              </w:rPr>
              <w:softHyphen/>
              <w:t>mar, deras supple</w:t>
            </w:r>
            <w:r>
              <w:rPr>
                <w:i/>
                <w:sz w:val="18"/>
              </w:rPr>
              <w:softHyphen/>
              <w:t>a</w:t>
            </w:r>
            <w:r>
              <w:rPr>
                <w:i/>
                <w:sz w:val="18"/>
              </w:rPr>
              <w:t>n</w:t>
            </w:r>
            <w:r>
              <w:rPr>
                <w:i/>
                <w:sz w:val="18"/>
              </w:rPr>
              <w:softHyphen/>
              <w:t>ter, fon</w:t>
            </w:r>
            <w:r>
              <w:rPr>
                <w:i/>
                <w:sz w:val="18"/>
              </w:rPr>
              <w:softHyphen/>
              <w:t>d</w:t>
            </w:r>
            <w:r>
              <w:rPr>
                <w:i/>
                <w:sz w:val="18"/>
              </w:rPr>
              <w:softHyphen/>
              <w:t>ens an</w:t>
            </w:r>
            <w:r>
              <w:rPr>
                <w:i/>
                <w:sz w:val="18"/>
              </w:rPr>
              <w:softHyphen/>
              <w:t>ställ</w:t>
            </w:r>
            <w:r>
              <w:rPr>
                <w:i/>
                <w:sz w:val="18"/>
              </w:rPr>
              <w:softHyphen/>
              <w:t>da samt av fonden ut</w:t>
            </w:r>
            <w:r>
              <w:rPr>
                <w:i/>
                <w:sz w:val="18"/>
              </w:rPr>
              <w:softHyphen/>
              <w:t>sedda ex</w:t>
            </w:r>
            <w:r>
              <w:rPr>
                <w:i/>
                <w:sz w:val="18"/>
              </w:rPr>
              <w:softHyphen/>
              <w:t>per</w:t>
            </w:r>
            <w:r>
              <w:rPr>
                <w:i/>
                <w:sz w:val="18"/>
              </w:rPr>
              <w:softHyphen/>
              <w:t>ter som utför off</w:t>
            </w:r>
            <w:r>
              <w:rPr>
                <w:i/>
                <w:sz w:val="18"/>
              </w:rPr>
              <w:t>i</w:t>
            </w:r>
            <w:r>
              <w:rPr>
                <w:i/>
                <w:sz w:val="18"/>
              </w:rPr>
              <w:softHyphen/>
              <w:t>ciella upp</w:t>
            </w:r>
            <w:r>
              <w:rPr>
                <w:i/>
                <w:sz w:val="18"/>
              </w:rPr>
              <w:softHyphen/>
              <w:t>gifter på uppdrag av fonden</w:t>
            </w:r>
          </w:p>
        </w:tc>
        <w:tc>
          <w:tcPr>
            <w:tcW w:w="2422" w:type="dxa"/>
            <w:gridSpan w:val="2"/>
          </w:tcPr>
          <w:p w:rsidR="00CF2367" w:rsidRDefault="00CF2367">
            <w:pPr>
              <w:rPr>
                <w:i/>
                <w:sz w:val="18"/>
              </w:rPr>
            </w:pPr>
            <w:r>
              <w:rPr>
                <w:i/>
                <w:sz w:val="18"/>
              </w:rPr>
              <w:t>Överenskommelse den 9 no</w:t>
            </w:r>
            <w:r>
              <w:rPr>
                <w:i/>
                <w:sz w:val="18"/>
              </w:rPr>
              <w:softHyphen/>
              <w:t>vem</w:t>
            </w:r>
            <w:r>
              <w:rPr>
                <w:i/>
                <w:sz w:val="18"/>
              </w:rPr>
              <w:softHyphen/>
              <w:t>ber 1998 om Nordiska ut</w:t>
            </w:r>
            <w:r>
              <w:rPr>
                <w:i/>
                <w:sz w:val="18"/>
              </w:rPr>
              <w:softHyphen/>
              <w:t>veckling</w:t>
            </w:r>
            <w:r>
              <w:rPr>
                <w:i/>
                <w:sz w:val="18"/>
              </w:rPr>
              <w:t>s</w:t>
            </w:r>
            <w:r>
              <w:rPr>
                <w:i/>
                <w:sz w:val="18"/>
              </w:rPr>
              <w:t>fonden</w:t>
            </w:r>
          </w:p>
          <w:p w:rsidR="00CF2367" w:rsidRDefault="00CF2367">
            <w:pPr>
              <w:pStyle w:val="Normaltindrag"/>
            </w:pPr>
          </w:p>
          <w:p w:rsidR="00CF2367" w:rsidRDefault="00CF2367">
            <w:pPr>
              <w:pStyle w:val="Normaltindrag"/>
            </w:pPr>
          </w:p>
          <w:p w:rsidR="00CF2367" w:rsidRDefault="00CF2367">
            <w:pPr>
              <w:pStyle w:val="Normaltindrag"/>
            </w:pPr>
          </w:p>
          <w:p w:rsidR="00CF2367" w:rsidRDefault="00CF2367">
            <w:pPr>
              <w:pStyle w:val="Normaltindrag"/>
            </w:pPr>
          </w:p>
          <w:p w:rsidR="00CF2367" w:rsidRDefault="00CF2367">
            <w:pPr>
              <w:pStyle w:val="Normaltindrag"/>
            </w:pPr>
          </w:p>
        </w:tc>
      </w:tr>
      <w:tr w:rsidR="00000000">
        <w:tblPrEx>
          <w:tblCellMar>
            <w:top w:w="0" w:type="dxa"/>
            <w:bottom w:w="0" w:type="dxa"/>
          </w:tblCellMar>
        </w:tblPrEx>
        <w:tc>
          <w:tcPr>
            <w:tcW w:w="1771" w:type="dxa"/>
          </w:tcPr>
          <w:p w:rsidR="00CF2367" w:rsidRDefault="00CF2367">
            <w:pPr>
              <w:spacing w:before="0"/>
              <w:rPr>
                <w:i/>
                <w:sz w:val="18"/>
              </w:rPr>
            </w:pPr>
            <w:r>
              <w:rPr>
                <w:i/>
                <w:sz w:val="18"/>
              </w:rPr>
              <w:t>58. Nordiska miljö-finansieringsbolaget</w:t>
            </w:r>
          </w:p>
        </w:tc>
        <w:tc>
          <w:tcPr>
            <w:tcW w:w="1843" w:type="dxa"/>
          </w:tcPr>
          <w:p w:rsidR="00CF2367" w:rsidRDefault="00CF2367">
            <w:pPr>
              <w:spacing w:before="0"/>
              <w:rPr>
                <w:i/>
                <w:sz w:val="18"/>
              </w:rPr>
            </w:pPr>
            <w:r>
              <w:rPr>
                <w:i/>
                <w:sz w:val="18"/>
              </w:rPr>
              <w:t>Alla styrelsemed</w:t>
            </w:r>
            <w:r>
              <w:rPr>
                <w:i/>
                <w:sz w:val="18"/>
              </w:rPr>
              <w:softHyphen/>
              <w:t>le</w:t>
            </w:r>
            <w:r>
              <w:rPr>
                <w:i/>
                <w:sz w:val="18"/>
              </w:rPr>
              <w:t>m</w:t>
            </w:r>
            <w:r>
              <w:rPr>
                <w:i/>
                <w:sz w:val="18"/>
              </w:rPr>
              <w:softHyphen/>
              <w:t>mar, deras supple</w:t>
            </w:r>
            <w:r>
              <w:rPr>
                <w:i/>
                <w:sz w:val="18"/>
              </w:rPr>
              <w:softHyphen/>
              <w:t>a</w:t>
            </w:r>
            <w:r>
              <w:rPr>
                <w:i/>
                <w:sz w:val="18"/>
              </w:rPr>
              <w:t>n</w:t>
            </w:r>
            <w:r>
              <w:rPr>
                <w:i/>
                <w:sz w:val="18"/>
              </w:rPr>
              <w:softHyphen/>
              <w:t>ter, bolagets anställ</w:t>
            </w:r>
            <w:r>
              <w:rPr>
                <w:i/>
                <w:sz w:val="18"/>
              </w:rPr>
              <w:softHyphen/>
              <w:t>da samt av bolaget utse</w:t>
            </w:r>
            <w:r>
              <w:rPr>
                <w:i/>
                <w:sz w:val="18"/>
              </w:rPr>
              <w:t>d</w:t>
            </w:r>
            <w:r>
              <w:rPr>
                <w:i/>
                <w:sz w:val="18"/>
              </w:rPr>
              <w:softHyphen/>
              <w:t>da experter som utför officiella uppgif</w:t>
            </w:r>
            <w:r>
              <w:rPr>
                <w:i/>
                <w:sz w:val="18"/>
              </w:rPr>
              <w:softHyphen/>
              <w:t>ter på up</w:t>
            </w:r>
            <w:r>
              <w:rPr>
                <w:i/>
                <w:sz w:val="18"/>
              </w:rPr>
              <w:t>p</w:t>
            </w:r>
            <w:r>
              <w:rPr>
                <w:i/>
                <w:sz w:val="18"/>
              </w:rPr>
              <w:t>drag av bo</w:t>
            </w:r>
            <w:r>
              <w:rPr>
                <w:i/>
                <w:sz w:val="18"/>
              </w:rPr>
              <w:softHyphen/>
              <w:t>laget</w:t>
            </w:r>
          </w:p>
        </w:tc>
        <w:tc>
          <w:tcPr>
            <w:tcW w:w="2422" w:type="dxa"/>
            <w:gridSpan w:val="2"/>
          </w:tcPr>
          <w:p w:rsidR="00CF2367" w:rsidRDefault="00CF2367">
            <w:pPr>
              <w:spacing w:before="0"/>
              <w:rPr>
                <w:i/>
                <w:sz w:val="18"/>
              </w:rPr>
            </w:pPr>
            <w:r>
              <w:rPr>
                <w:i/>
                <w:sz w:val="18"/>
              </w:rPr>
              <w:t>Överenskommelse den 6 no</w:t>
            </w:r>
            <w:r>
              <w:rPr>
                <w:i/>
                <w:sz w:val="18"/>
              </w:rPr>
              <w:softHyphen/>
              <w:t>vem</w:t>
            </w:r>
            <w:r>
              <w:rPr>
                <w:i/>
                <w:sz w:val="18"/>
              </w:rPr>
              <w:softHyphen/>
              <w:t>ber 1998 om Nordiska mil</w:t>
            </w:r>
            <w:r>
              <w:rPr>
                <w:i/>
                <w:sz w:val="18"/>
              </w:rPr>
              <w:softHyphen/>
              <w:t>jö</w:t>
            </w:r>
            <w:r>
              <w:rPr>
                <w:i/>
                <w:sz w:val="18"/>
              </w:rPr>
              <w:softHyphen/>
              <w:t>finans</w:t>
            </w:r>
            <w:r>
              <w:rPr>
                <w:i/>
                <w:sz w:val="18"/>
              </w:rPr>
              <w:t>i</w:t>
            </w:r>
            <w:r>
              <w:rPr>
                <w:i/>
                <w:sz w:val="18"/>
              </w:rPr>
              <w:t>eringsb</w:t>
            </w:r>
            <w:r>
              <w:rPr>
                <w:i/>
                <w:sz w:val="18"/>
              </w:rPr>
              <w:t>o</w:t>
            </w:r>
            <w:r>
              <w:rPr>
                <w:i/>
                <w:sz w:val="18"/>
              </w:rPr>
              <w:t>laget</w:t>
            </w:r>
          </w:p>
        </w:tc>
      </w:tr>
    </w:tbl>
    <w:p w:rsidR="00CF2367" w:rsidRDefault="00CF2367">
      <w:pPr>
        <w:rPr>
          <w:sz w:val="18"/>
        </w:rPr>
      </w:pPr>
      <w:r>
        <w:rPr>
          <w:sz w:val="18"/>
        </w:rPr>
        <w:t>________________</w:t>
      </w:r>
    </w:p>
    <w:p w:rsidR="00CF2367" w:rsidRDefault="00CF2367">
      <w:pPr>
        <w:pStyle w:val="Normaltindrag"/>
        <w:rPr>
          <w:sz w:val="18"/>
        </w:rPr>
      </w:pPr>
    </w:p>
    <w:p w:rsidR="00CF2367" w:rsidRDefault="00CF2367">
      <w:pPr>
        <w:pStyle w:val="Normaltindrag"/>
        <w:rPr>
          <w:sz w:val="18"/>
        </w:rPr>
      </w:pPr>
      <w:r>
        <w:rPr>
          <w:sz w:val="18"/>
        </w:rPr>
        <w:t>Denna lag träder i kraft den dag regeringen bestämmer. Bestämmelse</w:t>
      </w:r>
      <w:r>
        <w:rPr>
          <w:sz w:val="18"/>
        </w:rPr>
        <w:t>r</w:t>
      </w:r>
      <w:r>
        <w:rPr>
          <w:sz w:val="18"/>
        </w:rPr>
        <w:t>na i artikel 9 i respektive överenskommelse skall dock tillämpas från och med den 1 januari 1998.</w:t>
      </w:r>
    </w:p>
    <w:p w:rsidR="00CF2367" w:rsidRDefault="00CF2367">
      <w:pPr>
        <w:pStyle w:val="Normaltindrag"/>
        <w:rPr>
          <w:sz w:val="18"/>
        </w:rPr>
      </w:pPr>
    </w:p>
    <w:p w:rsidR="00CF2367" w:rsidRDefault="00CF2367"/>
    <w:bookmarkEnd w:id="30"/>
    <w:p w:rsidR="00CF2367" w:rsidRDefault="00CF2367">
      <w:pPr>
        <w:pStyle w:val="Normaltindrag"/>
        <w:rPr>
          <w:sz w:val="18"/>
        </w:rPr>
      </w:pPr>
    </w:p>
    <w:p w:rsidR="00CF2367" w:rsidRDefault="00CF2367">
      <w:pPr>
        <w:pStyle w:val="Innehll"/>
      </w:pPr>
      <w:r>
        <w:rPr>
          <w:sz w:val="18"/>
        </w:rPr>
        <w:br w:type="page"/>
      </w:r>
      <w:r>
        <w:t>Innehållsförteckning</w:t>
      </w:r>
    </w:p>
    <w:p w:rsidR="00CF2367" w:rsidRDefault="00CF2367">
      <w:pPr>
        <w:pStyle w:val="Innehll1"/>
        <w:rPr>
          <w:noProof/>
        </w:rPr>
      </w:pPr>
      <w:r>
        <w:rPr>
          <w:noProof/>
        </w:rPr>
        <w:t>Sammanfattning</w:t>
      </w:r>
      <w:r>
        <w:rPr>
          <w:noProof/>
        </w:rPr>
        <w:tab/>
        <w:t>1</w:t>
      </w:r>
    </w:p>
    <w:p w:rsidR="00CF2367" w:rsidRDefault="00CF2367">
      <w:pPr>
        <w:pStyle w:val="Innehll1"/>
        <w:rPr>
          <w:noProof/>
        </w:rPr>
      </w:pPr>
      <w:r>
        <w:rPr>
          <w:noProof/>
        </w:rPr>
        <w:t>Propositionen</w:t>
      </w:r>
      <w:r>
        <w:rPr>
          <w:noProof/>
        </w:rPr>
        <w:tab/>
        <w:t>1</w:t>
      </w:r>
    </w:p>
    <w:p w:rsidR="00CF2367" w:rsidRDefault="00CF2367">
      <w:pPr>
        <w:pStyle w:val="Innehll1"/>
        <w:rPr>
          <w:noProof/>
        </w:rPr>
      </w:pPr>
      <w:r>
        <w:rPr>
          <w:noProof/>
        </w:rPr>
        <w:t>Utskottet</w:t>
      </w:r>
      <w:r>
        <w:rPr>
          <w:noProof/>
        </w:rPr>
        <w:tab/>
        <w:t>1</w:t>
      </w:r>
    </w:p>
    <w:p w:rsidR="00CF2367" w:rsidRDefault="00CF2367">
      <w:pPr>
        <w:pStyle w:val="Innehll3"/>
        <w:rPr>
          <w:noProof/>
        </w:rPr>
      </w:pPr>
      <w:r>
        <w:rPr>
          <w:noProof/>
        </w:rPr>
        <w:t>Regeringens förslag</w:t>
      </w:r>
      <w:r>
        <w:rPr>
          <w:noProof/>
        </w:rPr>
        <w:tab/>
        <w:t>1</w:t>
      </w:r>
    </w:p>
    <w:p w:rsidR="00CF2367" w:rsidRDefault="00CF2367">
      <w:pPr>
        <w:pStyle w:val="Innehll3"/>
        <w:rPr>
          <w:noProof/>
        </w:rPr>
      </w:pPr>
      <w:r>
        <w:rPr>
          <w:noProof/>
        </w:rPr>
        <w:t>Bakgrunden till regeringens förslag</w:t>
      </w:r>
      <w:r>
        <w:rPr>
          <w:noProof/>
        </w:rPr>
        <w:tab/>
        <w:t>2</w:t>
      </w:r>
    </w:p>
    <w:p w:rsidR="00CF2367" w:rsidRDefault="00CF2367">
      <w:pPr>
        <w:pStyle w:val="Innehll3"/>
        <w:rPr>
          <w:noProof/>
        </w:rPr>
      </w:pPr>
      <w:r>
        <w:rPr>
          <w:noProof/>
        </w:rPr>
        <w:t>Finansutskottet</w:t>
      </w:r>
      <w:r>
        <w:rPr>
          <w:noProof/>
        </w:rPr>
        <w:tab/>
        <w:t>2</w:t>
      </w:r>
    </w:p>
    <w:p w:rsidR="00CF2367" w:rsidRDefault="00CF2367">
      <w:pPr>
        <w:pStyle w:val="Innehll2"/>
        <w:rPr>
          <w:noProof/>
        </w:rPr>
      </w:pPr>
      <w:r>
        <w:rPr>
          <w:noProof/>
        </w:rPr>
        <w:t>Hemställan</w:t>
      </w:r>
      <w:r>
        <w:rPr>
          <w:noProof/>
        </w:rPr>
        <w:tab/>
        <w:t>3</w:t>
      </w:r>
    </w:p>
    <w:p w:rsidR="00CF2367" w:rsidRDefault="00CF2367">
      <w:pPr>
        <w:pStyle w:val="Innehll1"/>
        <w:rPr>
          <w:noProof/>
        </w:rPr>
      </w:pPr>
    </w:p>
    <w:p w:rsidR="00CF2367" w:rsidRDefault="00CF2367">
      <w:pPr>
        <w:rPr>
          <w:i/>
          <w:noProof/>
        </w:rPr>
      </w:pPr>
      <w:r>
        <w:rPr>
          <w:i/>
          <w:noProof/>
        </w:rPr>
        <w:t>Bilaga</w:t>
      </w:r>
    </w:p>
    <w:p w:rsidR="00CF2367" w:rsidRDefault="00CF2367">
      <w:pPr>
        <w:pStyle w:val="Innehll1"/>
        <w:rPr>
          <w:noProof/>
        </w:rPr>
      </w:pPr>
      <w:r>
        <w:rPr>
          <w:noProof/>
        </w:rPr>
        <w:t>Förslag till lag om ändring i lagen (1976:661) om immunitet och privilegier i vissa fall</w:t>
      </w:r>
      <w:r>
        <w:rPr>
          <w:noProof/>
        </w:rPr>
        <w:tab/>
        <w:t>4</w:t>
      </w:r>
    </w:p>
    <w:p w:rsidR="00CF2367" w:rsidRDefault="00CF2367"/>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p>
    <w:p w:rsidR="00CF2367" w:rsidRDefault="00CF2367">
      <w:pPr>
        <w:pStyle w:val="Tryckort"/>
      </w:pPr>
      <w:r>
        <w:t>Elanders Gotab, Stockholm  1998</w:t>
      </w:r>
    </w:p>
    <w:p w:rsidR="00CF2367" w:rsidRDefault="00CF2367">
      <w:pPr>
        <w:pStyle w:val="Normaltindrag"/>
      </w:pPr>
    </w:p>
    <w:sectPr w:rsidR="00CF2367">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367" w:rsidRDefault="00CF2367">
      <w:pPr>
        <w:spacing w:before="0" w:line="240" w:lineRule="auto"/>
      </w:pPr>
      <w:r>
        <w:separator/>
      </w:r>
    </w:p>
  </w:endnote>
  <w:endnote w:type="continuationSeparator" w:id="0">
    <w:p w:rsidR="00CF2367" w:rsidRDefault="00CF236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367" w:rsidRDefault="00CF2367">
    <w:pPr>
      <w:pStyle w:val="SidfotH"/>
      <w:framePr w:wrap="around"/>
    </w:pPr>
    <w:r>
      <w:fldChar w:fldCharType="begin" w:fldLock="1"/>
    </w:r>
    <w:r>
      <w:instrText xml:space="preserve"> PAGE </w:instrText>
    </w:r>
    <w:r>
      <w:fldChar w:fldCharType="separate"/>
    </w:r>
    <w:r>
      <w:rPr>
        <w:noProof/>
      </w:rPr>
      <w:t>1</w:t>
    </w:r>
    <w:r>
      <w:fldChar w:fldCharType="end"/>
    </w:r>
  </w:p>
  <w:p w:rsidR="00CF2367" w:rsidRDefault="00CF23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367" w:rsidRDefault="00CF2367">
    <w:pPr>
      <w:pStyle w:val="SidfotH"/>
      <w:framePr w:wrap="around"/>
    </w:pPr>
    <w:r>
      <w:fldChar w:fldCharType="begin" w:fldLock="1"/>
    </w:r>
    <w:r>
      <w:instrText xml:space="preserve"> PAGE </w:instrText>
    </w:r>
    <w:r>
      <w:fldChar w:fldCharType="separate"/>
    </w:r>
    <w:r>
      <w:rPr>
        <w:noProof/>
      </w:rPr>
      <w:t>4</w:t>
    </w:r>
    <w:r>
      <w:fldChar w:fldCharType="end"/>
    </w:r>
  </w:p>
  <w:p w:rsidR="00CF2367" w:rsidRDefault="00CF23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367" w:rsidRDefault="00CF2367">
      <w:pPr>
        <w:spacing w:before="0" w:line="240" w:lineRule="auto"/>
      </w:pPr>
      <w:r>
        <w:separator/>
      </w:r>
    </w:p>
  </w:footnote>
  <w:footnote w:type="continuationSeparator" w:id="0">
    <w:p w:rsidR="00CF2367" w:rsidRDefault="00CF2367">
      <w:pPr>
        <w:spacing w:before="0" w:line="240" w:lineRule="auto"/>
      </w:pPr>
      <w:r>
        <w:continuationSeparator/>
      </w:r>
    </w:p>
  </w:footnote>
  <w:footnote w:id="1">
    <w:p w:rsidR="00CF2367" w:rsidRDefault="00CF2367">
      <w:pPr>
        <w:pStyle w:val="Fotnotstext"/>
      </w:pPr>
      <w:r>
        <w:rPr>
          <w:rStyle w:val="Fotnotsreferens"/>
        </w:rPr>
        <w:footnoteRef/>
      </w:r>
      <w:r>
        <w:t xml:space="preserve"> Lagen omtryckt 1994:717.</w:t>
      </w:r>
    </w:p>
  </w:footnote>
  <w:footnote w:id="2">
    <w:p w:rsidR="00CF2367" w:rsidRDefault="00CF2367">
      <w:pPr>
        <w:pStyle w:val="Fotnotstext"/>
      </w:pPr>
      <w:r>
        <w:rPr>
          <w:rStyle w:val="Fotnotsreferens"/>
        </w:rPr>
        <w:footnoteRef/>
      </w:r>
      <w:r>
        <w:t xml:space="preserve"> Senaste lydelse 1998:937.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367" w:rsidRDefault="00CF2367">
    <w:pPr>
      <w:pStyle w:val="SidhuvudKant"/>
      <w:framePr w:w="1985" w:h="2743" w:hRule="exact" w:wrap="around" w:vAnchor="page" w:hAnchor="page" w:x="7372" w:y="568" w:anchorLock="0"/>
    </w:pPr>
  </w:p>
  <w:p w:rsidR="00CF2367" w:rsidRDefault="00CF23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367" w:rsidRDefault="00CF2367">
    <w:pPr>
      <w:pStyle w:val="SidhuvudKant"/>
      <w:framePr w:w="1985" w:h="2743" w:hRule="exact" w:wrap="around" w:vAnchor="page" w:hAnchor="page" w:x="7372" w:y="568" w:anchorLock="0"/>
      <w:rPr>
        <w:noProof/>
      </w:rPr>
    </w:pPr>
    <w:r>
      <w:rPr>
        <w:noProof/>
      </w:rPr>
      <w:t>1998/99:FiU12</w:t>
    </w:r>
  </w:p>
  <w:p w:rsidR="00CF2367" w:rsidRDefault="00CF2367">
    <w:pPr>
      <w:pStyle w:val="SidhuvudKantBilaga"/>
      <w:framePr w:w="1985" w:h="2743" w:hRule="exact" w:wrap="around" w:vAnchor="page" w:hAnchor="page" w:x="7372" w:y="568" w:anchorLock="0"/>
      <w:rPr>
        <w:noProof/>
      </w:rPr>
    </w:pPr>
    <w:r>
      <w:rPr>
        <w:noProof/>
      </w:rPr>
      <w:t>Bilaga</w:t>
    </w:r>
  </w:p>
  <w:p w:rsidR="00CF2367" w:rsidRDefault="00CF2367">
    <w:pPr>
      <w:pStyle w:val="SidhuvudKant"/>
      <w:framePr w:w="1985" w:h="2743" w:hRule="exact" w:wrap="around" w:vAnchor="page" w:hAnchor="page" w:x="7372" w:y="568" w:anchorLock="0"/>
    </w:pPr>
  </w:p>
  <w:p w:rsidR="00CF2367" w:rsidRDefault="00CF23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43483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942FE8"/>
    <w:rsid w:val="00942FE8"/>
    <w:rsid w:val="00CF2367"/>
    <w:rsid w:val="00D40C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90E918-040F-43AD-8434-4BDC650C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line="240" w:lineRule="auto"/>
      <w:jc w:val="left"/>
      <w:outlineLvl w:val="6"/>
    </w:pPr>
    <w:rPr>
      <w:rFonts w:ascii="Arial" w:hAnsi="Arial"/>
      <w:sz w:val="25"/>
    </w:rPr>
  </w:style>
  <w:style w:type="paragraph" w:styleId="Rubrik8">
    <w:name w:val="heading 8"/>
    <w:basedOn w:val="Normal"/>
    <w:next w:val="Normal"/>
    <w:qFormat/>
    <w:pPr>
      <w:spacing w:before="240" w:after="60" w:line="240" w:lineRule="auto"/>
      <w:jc w:val="left"/>
      <w:outlineLvl w:val="7"/>
    </w:pPr>
    <w:rPr>
      <w:rFonts w:ascii="Arial" w:hAnsi="Arial"/>
      <w:i/>
      <w:sz w:val="25"/>
    </w:rPr>
  </w:style>
  <w:style w:type="paragraph" w:styleId="Rubrik9">
    <w:name w:val="heading 9"/>
    <w:basedOn w:val="Normal"/>
    <w:next w:val="Normal"/>
    <w:qFormat/>
    <w:p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1214</Words>
  <Characters>6875</Characters>
  <Application>Microsoft Office Word</Application>
  <DocSecurity>4</DocSecurity>
  <Lines>264</Lines>
  <Paragraphs>97</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1998-11-17T10:36:00Z</cp:lastPrinted>
  <dcterms:created xsi:type="dcterms:W3CDTF">2025-12-15T19:00:00Z</dcterms:created>
  <dcterms:modified xsi:type="dcterms:W3CDTF">2025-12-15T19:00:00Z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