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EBC" w:rsidRPr="00B70B6D" w:rsidRDefault="00494176">
      <w:pPr>
        <w:pStyle w:val="RubrikInnehllsf"/>
        <w:shd w:val="clear" w:color="000000" w:fill="auto"/>
      </w:pPr>
      <w:bookmarkStart w:id="0" w:name="_Toc115245876"/>
      <w:bookmarkStart w:id="1" w:name="_Toc115691161"/>
      <w:bookmarkStart w:id="2" w:name="_Toc115691175"/>
      <w:bookmarkStart w:id="3" w:name="_Toc115691188"/>
      <w:bookmarkStart w:id="4" w:name="_Toc116019585"/>
      <w:bookmarkStart w:id="5" w:name="_Toc149132726"/>
      <w:bookmarkStart w:id="6" w:name="_Toc149132737"/>
      <w:bookmarkStart w:id="7" w:name="_Toc149132908"/>
      <w:bookmarkStart w:id="8" w:name="_Toc149644439"/>
      <w:bookmarkStart w:id="9" w:name="_Toc149647097"/>
      <w:bookmarkStart w:id="10" w:name="_Toc149900988"/>
      <w:bookmarkStart w:id="11" w:name="_Toc149901077"/>
      <w:bookmarkStart w:id="12" w:name="_Toc149901147"/>
      <w:bookmarkEnd w:id="0"/>
      <w:bookmarkEnd w:id="1"/>
      <w:bookmarkEnd w:id="2"/>
      <w:bookmarkEnd w:id="3"/>
      <w:bookmarkEnd w:id="4"/>
      <w:r w:rsidRPr="00B70B6D">
        <w:t>Innehållsförteckning</w:t>
      </w:r>
      <w:bookmarkEnd w:id="5"/>
      <w:bookmarkEnd w:id="6"/>
      <w:bookmarkEnd w:id="7"/>
      <w:bookmarkEnd w:id="8"/>
      <w:bookmarkEnd w:id="9"/>
      <w:bookmarkEnd w:id="10"/>
      <w:bookmarkEnd w:id="11"/>
      <w:bookmarkEnd w:id="12"/>
    </w:p>
    <w:bookmarkStart w:id="13" w:name="_Toc149132738"/>
    <w:bookmarkStart w:id="14" w:name="_Toc149132909"/>
    <w:bookmarkStart w:id="15" w:name="_Toc149644440"/>
    <w:bookmarkStart w:id="16" w:name="_Toc149647098"/>
    <w:bookmarkStart w:id="17" w:name="_Toc149900989"/>
    <w:bookmarkStart w:id="18" w:name="_Toc149901078"/>
    <w:bookmarkStart w:id="19" w:name="_Toc149901148"/>
    <w:p w:rsidR="00494176" w:rsidRPr="00B70B6D" w:rsidRDefault="008241DF">
      <w:pPr>
        <w:pStyle w:val="Innehll1"/>
        <w:shd w:val="clear" w:color="000000" w:fill="auto"/>
        <w:tabs>
          <w:tab w:val="left" w:pos="240"/>
        </w:tabs>
        <w:spacing w:before="125"/>
        <w:rPr>
          <w:sz w:val="24"/>
          <w:szCs w:val="24"/>
        </w:rPr>
      </w:pPr>
      <w:r w:rsidRPr="00B70B6D">
        <w:rPr>
          <w:sz w:val="24"/>
        </w:rPr>
        <w:fldChar w:fldCharType="begin" w:fldLock="1"/>
      </w:r>
      <w:r w:rsidR="00C85E57" w:rsidRPr="00B70B6D">
        <w:instrText xml:space="preserve"> TOC \o "2-3" \t "Rubrik 1;1;Hemstl_rubrik;1;RubrikSammanf;1" </w:instrText>
      </w:r>
      <w:r w:rsidRPr="00B70B6D">
        <w:rPr>
          <w:sz w:val="24"/>
        </w:rPr>
        <w:fldChar w:fldCharType="separate"/>
      </w:r>
      <w:r w:rsidR="00494176" w:rsidRPr="00B70B6D">
        <w:t>2</w:t>
      </w:r>
      <w:r w:rsidR="00494176" w:rsidRPr="00B70B6D">
        <w:rPr>
          <w:sz w:val="24"/>
          <w:szCs w:val="24"/>
        </w:rPr>
        <w:tab/>
      </w:r>
      <w:r w:rsidR="00494176" w:rsidRPr="00B70B6D">
        <w:t>Förslag till riksdagsbeslut</w:t>
      </w:r>
      <w:r w:rsidR="00494176" w:rsidRPr="00B70B6D">
        <w:tab/>
      </w:r>
      <w:r w:rsidRPr="00B70B6D">
        <w:fldChar w:fldCharType="begin" w:fldLock="1"/>
      </w:r>
      <w:r w:rsidR="00494176" w:rsidRPr="00B70B6D">
        <w:instrText xml:space="preserve"> PAGEREF _Toc151511532 \h </w:instrText>
      </w:r>
      <w:r w:rsidRPr="00B70B6D">
        <w:fldChar w:fldCharType="separate"/>
      </w:r>
      <w:r w:rsidR="0099005D" w:rsidRPr="00B70B6D">
        <w:t>2</w:t>
      </w:r>
      <w:r w:rsidRPr="00B70B6D">
        <w:fldChar w:fldCharType="end"/>
      </w:r>
    </w:p>
    <w:p w:rsidR="00494176" w:rsidRPr="00B70B6D" w:rsidRDefault="00494176">
      <w:pPr>
        <w:pStyle w:val="Innehll1"/>
        <w:shd w:val="clear" w:color="000000" w:fill="auto"/>
        <w:tabs>
          <w:tab w:val="left" w:pos="240"/>
        </w:tabs>
        <w:rPr>
          <w:sz w:val="24"/>
          <w:szCs w:val="24"/>
        </w:rPr>
      </w:pPr>
      <w:r w:rsidRPr="00B70B6D">
        <w:t>3</w:t>
      </w:r>
      <w:r w:rsidRPr="00B70B6D">
        <w:rPr>
          <w:sz w:val="24"/>
          <w:szCs w:val="24"/>
        </w:rPr>
        <w:tab/>
      </w:r>
      <w:r w:rsidRPr="00B70B6D">
        <w:t>Regelverken runt allmännyttan</w:t>
      </w:r>
      <w:r w:rsidRPr="00B70B6D">
        <w:tab/>
      </w:r>
      <w:r w:rsidR="008241DF" w:rsidRPr="00B70B6D">
        <w:fldChar w:fldCharType="begin" w:fldLock="1"/>
      </w:r>
      <w:r w:rsidRPr="00B70B6D">
        <w:instrText xml:space="preserve"> PAGEREF _Toc151511533 \h </w:instrText>
      </w:r>
      <w:r w:rsidR="008241DF" w:rsidRPr="00B70B6D">
        <w:fldChar w:fldCharType="separate"/>
      </w:r>
      <w:r w:rsidR="0099005D" w:rsidRPr="00B70B6D">
        <w:t>3</w:t>
      </w:r>
      <w:r w:rsidR="008241DF" w:rsidRPr="00B70B6D">
        <w:fldChar w:fldCharType="end"/>
      </w:r>
    </w:p>
    <w:p w:rsidR="00494176" w:rsidRPr="00B70B6D" w:rsidRDefault="00494176">
      <w:pPr>
        <w:pStyle w:val="Innehll1"/>
        <w:shd w:val="clear" w:color="000000" w:fill="auto"/>
        <w:tabs>
          <w:tab w:val="left" w:pos="240"/>
        </w:tabs>
        <w:rPr>
          <w:sz w:val="24"/>
          <w:szCs w:val="24"/>
        </w:rPr>
      </w:pPr>
      <w:r w:rsidRPr="00B70B6D">
        <w:t>4</w:t>
      </w:r>
      <w:r w:rsidRPr="00B70B6D">
        <w:rPr>
          <w:sz w:val="24"/>
          <w:szCs w:val="24"/>
        </w:rPr>
        <w:tab/>
      </w:r>
      <w:r w:rsidRPr="00B70B6D">
        <w:t>Vad är allmännyttan?</w:t>
      </w:r>
      <w:r w:rsidRPr="00B70B6D">
        <w:tab/>
      </w:r>
      <w:r w:rsidR="008241DF" w:rsidRPr="00B70B6D">
        <w:fldChar w:fldCharType="begin" w:fldLock="1"/>
      </w:r>
      <w:r w:rsidRPr="00B70B6D">
        <w:instrText xml:space="preserve"> PAGEREF _Toc151511534 \h </w:instrText>
      </w:r>
      <w:r w:rsidR="008241DF" w:rsidRPr="00B70B6D">
        <w:fldChar w:fldCharType="separate"/>
      </w:r>
      <w:r w:rsidR="0099005D" w:rsidRPr="00B70B6D">
        <w:t>3</w:t>
      </w:r>
      <w:r w:rsidR="008241DF" w:rsidRPr="00B70B6D">
        <w:fldChar w:fldCharType="end"/>
      </w:r>
    </w:p>
    <w:p w:rsidR="00494176" w:rsidRPr="00B70B6D" w:rsidRDefault="00494176">
      <w:pPr>
        <w:pStyle w:val="Innehll1"/>
        <w:shd w:val="clear" w:color="000000" w:fill="auto"/>
        <w:tabs>
          <w:tab w:val="left" w:pos="240"/>
        </w:tabs>
        <w:rPr>
          <w:sz w:val="24"/>
          <w:szCs w:val="24"/>
        </w:rPr>
      </w:pPr>
      <w:r w:rsidRPr="00B70B6D">
        <w:t>5</w:t>
      </w:r>
      <w:r w:rsidRPr="00B70B6D">
        <w:rPr>
          <w:sz w:val="24"/>
          <w:szCs w:val="24"/>
        </w:rPr>
        <w:tab/>
      </w:r>
      <w:r w:rsidRPr="00B70B6D">
        <w:t>Allmännyttan viktig för en social bostadspolitik</w:t>
      </w:r>
      <w:r w:rsidRPr="00B70B6D">
        <w:tab/>
      </w:r>
      <w:r w:rsidR="008241DF" w:rsidRPr="00B70B6D">
        <w:fldChar w:fldCharType="begin" w:fldLock="1"/>
      </w:r>
      <w:r w:rsidRPr="00B70B6D">
        <w:instrText xml:space="preserve"> PAGEREF _Toc151511535 \h </w:instrText>
      </w:r>
      <w:r w:rsidR="008241DF" w:rsidRPr="00B70B6D">
        <w:fldChar w:fldCharType="separate"/>
      </w:r>
      <w:r w:rsidR="0099005D" w:rsidRPr="00B70B6D">
        <w:t>3</w:t>
      </w:r>
      <w:r w:rsidR="008241DF" w:rsidRPr="00B70B6D">
        <w:fldChar w:fldCharType="end"/>
      </w:r>
    </w:p>
    <w:p w:rsidR="00494176" w:rsidRPr="00B70B6D" w:rsidRDefault="00494176">
      <w:pPr>
        <w:pStyle w:val="Innehll1"/>
        <w:shd w:val="clear" w:color="000000" w:fill="auto"/>
        <w:tabs>
          <w:tab w:val="left" w:pos="240"/>
        </w:tabs>
        <w:rPr>
          <w:sz w:val="24"/>
          <w:szCs w:val="24"/>
        </w:rPr>
      </w:pPr>
      <w:r w:rsidRPr="00B70B6D">
        <w:t>6</w:t>
      </w:r>
      <w:r w:rsidRPr="00B70B6D">
        <w:rPr>
          <w:sz w:val="24"/>
          <w:szCs w:val="24"/>
        </w:rPr>
        <w:tab/>
      </w:r>
      <w:r w:rsidRPr="00B70B6D">
        <w:t>Förändringar i allbolagen</w:t>
      </w:r>
      <w:r w:rsidRPr="00B70B6D">
        <w:tab/>
      </w:r>
      <w:r w:rsidR="008241DF" w:rsidRPr="00B70B6D">
        <w:fldChar w:fldCharType="begin" w:fldLock="1"/>
      </w:r>
      <w:r w:rsidRPr="00B70B6D">
        <w:instrText xml:space="preserve"> PAGEREF _Toc151511536 \h </w:instrText>
      </w:r>
      <w:r w:rsidR="008241DF" w:rsidRPr="00B70B6D">
        <w:fldChar w:fldCharType="separate"/>
      </w:r>
      <w:r w:rsidR="0099005D" w:rsidRPr="00B70B6D">
        <w:t>4</w:t>
      </w:r>
      <w:r w:rsidR="008241DF" w:rsidRPr="00B70B6D">
        <w:fldChar w:fldCharType="end"/>
      </w:r>
    </w:p>
    <w:p w:rsidR="00494176" w:rsidRPr="00B70B6D" w:rsidRDefault="00494176">
      <w:pPr>
        <w:pStyle w:val="Innehll1"/>
        <w:shd w:val="clear" w:color="000000" w:fill="auto"/>
        <w:tabs>
          <w:tab w:val="left" w:pos="240"/>
        </w:tabs>
        <w:rPr>
          <w:sz w:val="24"/>
          <w:szCs w:val="24"/>
        </w:rPr>
      </w:pPr>
      <w:r w:rsidRPr="00B70B6D">
        <w:t>7</w:t>
      </w:r>
      <w:r w:rsidRPr="00B70B6D">
        <w:rPr>
          <w:sz w:val="24"/>
          <w:szCs w:val="24"/>
        </w:rPr>
        <w:tab/>
      </w:r>
      <w:r w:rsidRPr="00B70B6D">
        <w:t>Utförsäljning av allmännyttan</w:t>
      </w:r>
      <w:r w:rsidRPr="00B70B6D">
        <w:tab/>
      </w:r>
      <w:r w:rsidR="008241DF" w:rsidRPr="00B70B6D">
        <w:fldChar w:fldCharType="begin" w:fldLock="1"/>
      </w:r>
      <w:r w:rsidRPr="00B70B6D">
        <w:instrText xml:space="preserve"> PAGEREF _Toc151511537 \h </w:instrText>
      </w:r>
      <w:r w:rsidR="008241DF" w:rsidRPr="00B70B6D">
        <w:fldChar w:fldCharType="separate"/>
      </w:r>
      <w:r w:rsidR="0099005D" w:rsidRPr="00B70B6D">
        <w:t>5</w:t>
      </w:r>
      <w:r w:rsidR="008241DF" w:rsidRPr="00B70B6D">
        <w:fldChar w:fldCharType="end"/>
      </w:r>
    </w:p>
    <w:p w:rsidR="00494176" w:rsidRPr="00B70B6D" w:rsidRDefault="00494176">
      <w:pPr>
        <w:pStyle w:val="Innehll2"/>
        <w:shd w:val="clear" w:color="000000" w:fill="auto"/>
        <w:tabs>
          <w:tab w:val="left" w:pos="240"/>
          <w:tab w:val="left" w:pos="600"/>
        </w:tabs>
        <w:ind w:left="255"/>
        <w:rPr>
          <w:sz w:val="24"/>
          <w:szCs w:val="24"/>
        </w:rPr>
      </w:pPr>
      <w:r w:rsidRPr="00B70B6D">
        <w:t>7.1</w:t>
      </w:r>
      <w:r w:rsidRPr="00B70B6D">
        <w:rPr>
          <w:sz w:val="24"/>
          <w:szCs w:val="24"/>
        </w:rPr>
        <w:tab/>
      </w:r>
      <w:r w:rsidRPr="00B70B6D">
        <w:t>Tillståndsprövning vid försäljningar</w:t>
      </w:r>
      <w:r w:rsidRPr="00B70B6D">
        <w:tab/>
      </w:r>
      <w:r w:rsidR="008241DF" w:rsidRPr="00B70B6D">
        <w:fldChar w:fldCharType="begin" w:fldLock="1"/>
      </w:r>
      <w:r w:rsidRPr="00B70B6D">
        <w:instrText xml:space="preserve"> PAGEREF _Toc151511538 \h </w:instrText>
      </w:r>
      <w:r w:rsidR="008241DF" w:rsidRPr="00B70B6D">
        <w:fldChar w:fldCharType="separate"/>
      </w:r>
      <w:r w:rsidR="0099005D" w:rsidRPr="00B70B6D">
        <w:t>6</w:t>
      </w:r>
      <w:r w:rsidR="008241DF" w:rsidRPr="00B70B6D">
        <w:fldChar w:fldCharType="end"/>
      </w:r>
    </w:p>
    <w:p w:rsidR="00494176" w:rsidRPr="00B70B6D" w:rsidRDefault="00494176">
      <w:pPr>
        <w:pStyle w:val="Innehll2"/>
        <w:shd w:val="clear" w:color="000000" w:fill="auto"/>
        <w:tabs>
          <w:tab w:val="left" w:pos="240"/>
          <w:tab w:val="left" w:pos="600"/>
        </w:tabs>
        <w:ind w:left="255"/>
      </w:pPr>
      <w:r w:rsidRPr="00B70B6D">
        <w:t>7.2</w:t>
      </w:r>
      <w:r w:rsidRPr="00B70B6D">
        <w:tab/>
        <w:t>Hyresgästinflytandet vid försäljningar</w:t>
      </w:r>
      <w:r w:rsidRPr="00B70B6D">
        <w:tab/>
      </w:r>
      <w:r w:rsidR="008241DF" w:rsidRPr="00B70B6D">
        <w:fldChar w:fldCharType="begin" w:fldLock="1"/>
      </w:r>
      <w:r w:rsidRPr="00B70B6D">
        <w:instrText xml:space="preserve"> PAGEREF _Toc151511539 \h </w:instrText>
      </w:r>
      <w:r w:rsidR="008241DF" w:rsidRPr="00B70B6D">
        <w:fldChar w:fldCharType="separate"/>
      </w:r>
      <w:r w:rsidR="0099005D" w:rsidRPr="00B70B6D">
        <w:t>6</w:t>
      </w:r>
      <w:r w:rsidR="008241DF" w:rsidRPr="00B70B6D">
        <w:fldChar w:fldCharType="end"/>
      </w:r>
    </w:p>
    <w:p w:rsidR="00494176" w:rsidRPr="00B70B6D" w:rsidRDefault="00494176">
      <w:pPr>
        <w:pStyle w:val="Innehll1"/>
        <w:shd w:val="clear" w:color="000000" w:fill="auto"/>
        <w:tabs>
          <w:tab w:val="left" w:pos="240"/>
        </w:tabs>
        <w:rPr>
          <w:sz w:val="24"/>
          <w:szCs w:val="24"/>
        </w:rPr>
      </w:pPr>
      <w:r w:rsidRPr="00B70B6D">
        <w:t>8</w:t>
      </w:r>
      <w:r w:rsidRPr="00B70B6D">
        <w:rPr>
          <w:sz w:val="24"/>
          <w:szCs w:val="24"/>
        </w:rPr>
        <w:tab/>
      </w:r>
      <w:r w:rsidRPr="00B70B6D">
        <w:t>Påtaglighetsrekvisitet</w:t>
      </w:r>
      <w:r w:rsidRPr="00B70B6D">
        <w:tab/>
      </w:r>
      <w:r w:rsidR="008241DF" w:rsidRPr="00B70B6D">
        <w:fldChar w:fldCharType="begin" w:fldLock="1"/>
      </w:r>
      <w:r w:rsidRPr="00B70B6D">
        <w:instrText xml:space="preserve"> PAGEREF _Toc151511540 \h </w:instrText>
      </w:r>
      <w:r w:rsidR="008241DF" w:rsidRPr="00B70B6D">
        <w:fldChar w:fldCharType="separate"/>
      </w:r>
      <w:r w:rsidR="0099005D" w:rsidRPr="00B70B6D">
        <w:t>7</w:t>
      </w:r>
      <w:r w:rsidR="008241DF" w:rsidRPr="00B70B6D">
        <w:fldChar w:fldCharType="end"/>
      </w:r>
    </w:p>
    <w:p w:rsidR="00494176" w:rsidRPr="00B70B6D" w:rsidRDefault="00494176">
      <w:pPr>
        <w:pStyle w:val="Innehll1"/>
        <w:shd w:val="clear" w:color="000000" w:fill="auto"/>
        <w:tabs>
          <w:tab w:val="left" w:pos="240"/>
        </w:tabs>
        <w:rPr>
          <w:sz w:val="24"/>
          <w:szCs w:val="24"/>
        </w:rPr>
      </w:pPr>
      <w:r w:rsidRPr="00B70B6D">
        <w:t>9</w:t>
      </w:r>
      <w:r w:rsidRPr="00B70B6D">
        <w:rPr>
          <w:sz w:val="24"/>
          <w:szCs w:val="24"/>
        </w:rPr>
        <w:tab/>
      </w:r>
      <w:r w:rsidRPr="00B70B6D">
        <w:t>Självkostnadsprincipen</w:t>
      </w:r>
      <w:r w:rsidRPr="00B70B6D">
        <w:tab/>
      </w:r>
      <w:r w:rsidR="008241DF" w:rsidRPr="00B70B6D">
        <w:fldChar w:fldCharType="begin" w:fldLock="1"/>
      </w:r>
      <w:r w:rsidRPr="00B70B6D">
        <w:instrText xml:space="preserve"> PAGEREF _Toc151511541 \h </w:instrText>
      </w:r>
      <w:r w:rsidR="008241DF" w:rsidRPr="00B70B6D">
        <w:fldChar w:fldCharType="separate"/>
      </w:r>
      <w:r w:rsidR="0099005D" w:rsidRPr="00B70B6D">
        <w:t>7</w:t>
      </w:r>
      <w:r w:rsidR="008241DF" w:rsidRPr="00B70B6D">
        <w:fldChar w:fldCharType="end"/>
      </w:r>
    </w:p>
    <w:p w:rsidR="008241DF" w:rsidRPr="00B70B6D" w:rsidRDefault="008241DF">
      <w:r w:rsidRPr="00B70B6D">
        <w:fldChar w:fldCharType="end"/>
      </w:r>
      <w:bookmarkStart w:id="20" w:name="_Toc151511532"/>
    </w:p>
    <w:p w:rsidR="00AD2EBC" w:rsidRPr="00B70B6D" w:rsidRDefault="00AD2EBC">
      <w:pPr>
        <w:pStyle w:val="Hemstlrubrik"/>
        <w:pageBreakBefore/>
        <w:shd w:val="clear" w:color="000000" w:fill="auto"/>
        <w:spacing w:before="0"/>
      </w:pPr>
      <w:r w:rsidRPr="00B70B6D">
        <w:lastRenderedPageBreak/>
        <w:t>Förslag till riksdagsbeslut</w:t>
      </w:r>
      <w:bookmarkEnd w:id="13"/>
      <w:bookmarkEnd w:id="14"/>
      <w:bookmarkEnd w:id="15"/>
      <w:bookmarkEnd w:id="16"/>
      <w:bookmarkEnd w:id="17"/>
      <w:bookmarkEnd w:id="18"/>
      <w:bookmarkEnd w:id="19"/>
      <w:bookmarkEnd w:id="20"/>
    </w:p>
    <w:p w:rsidR="008241DF" w:rsidRPr="00B70B6D" w:rsidRDefault="008241DF">
      <w:pPr>
        <w:pStyle w:val="Hemstlatt"/>
        <w:numPr>
          <w:ilvl w:val="0"/>
          <w:numId w:val="1"/>
        </w:numPr>
        <w:shd w:val="clear" w:color="000000" w:fill="auto"/>
      </w:pPr>
      <w:r w:rsidRPr="00B70B6D">
        <w:t>Riksdagen tillkännager för regeringen som sin mening vad i motionen anförs om att alla kommuner ska ha ansvar för att bygga upp minst ett allmännyttigt bostadsföretag.</w:t>
      </w:r>
    </w:p>
    <w:p w:rsidR="008241DF" w:rsidRPr="00B70B6D" w:rsidRDefault="008241DF">
      <w:pPr>
        <w:pStyle w:val="Hemstlatt"/>
        <w:numPr>
          <w:ilvl w:val="0"/>
          <w:numId w:val="1"/>
        </w:numPr>
        <w:shd w:val="clear" w:color="000000" w:fill="auto"/>
      </w:pPr>
      <w:r w:rsidRPr="00B70B6D">
        <w:t>Riksdagen begär att regeringen, utifrån Boverkets intentioner, låter utreda vilka regler som ska gälla i koncernförhållanden där allmä</w:t>
      </w:r>
      <w:r w:rsidRPr="00B70B6D">
        <w:t>n</w:t>
      </w:r>
      <w:r w:rsidRPr="00B70B6D">
        <w:t>nyttiga bostadsföretag ingår och återkomma till riksdagen med fö</w:t>
      </w:r>
      <w:r w:rsidRPr="00B70B6D">
        <w:t>r</w:t>
      </w:r>
      <w:r w:rsidRPr="00B70B6D">
        <w:t>slag.</w:t>
      </w:r>
    </w:p>
    <w:p w:rsidR="008241DF" w:rsidRPr="00B70B6D" w:rsidRDefault="008241DF">
      <w:pPr>
        <w:pStyle w:val="Hemstlatt"/>
        <w:numPr>
          <w:ilvl w:val="0"/>
          <w:numId w:val="1"/>
        </w:numPr>
        <w:shd w:val="clear" w:color="000000" w:fill="auto"/>
      </w:pPr>
      <w:r w:rsidRPr="00B70B6D">
        <w:t>Riksdagen tillkännager för regeringen som sin mening vad i motionen anförs om att införa sanktioner mot kommuner som bryter mot den s.k. allbolagens gällande regler för skälig utdelning på insatt kontant kapital från allmännyttan.</w:t>
      </w:r>
    </w:p>
    <w:p w:rsidR="008241DF" w:rsidRPr="00B70B6D" w:rsidRDefault="008241DF">
      <w:pPr>
        <w:pStyle w:val="Hemstlatt"/>
        <w:numPr>
          <w:ilvl w:val="0"/>
          <w:numId w:val="1"/>
        </w:numPr>
        <w:shd w:val="clear" w:color="000000" w:fill="auto"/>
      </w:pPr>
      <w:r w:rsidRPr="00B70B6D">
        <w:t>Riksdagen tillkännager för regeringen som sin mening vad i motionen anförs om skärpningar i allbolagen beträffande rapportering till länsstyrelsen om utdelning ur allmännyttan och revisorernas godkänna</w:t>
      </w:r>
      <w:r w:rsidRPr="00B70B6D">
        <w:t>n</w:t>
      </w:r>
      <w:r w:rsidRPr="00B70B6D">
        <w:t>de av denna utdelning liksom vidarerapportering till Boverket.</w:t>
      </w:r>
    </w:p>
    <w:p w:rsidR="008241DF" w:rsidRPr="00B70B6D" w:rsidRDefault="008241DF">
      <w:pPr>
        <w:pStyle w:val="Hemstlatt"/>
        <w:numPr>
          <w:ilvl w:val="0"/>
          <w:numId w:val="1"/>
        </w:numPr>
        <w:shd w:val="clear" w:color="000000" w:fill="auto"/>
      </w:pPr>
      <w:r w:rsidRPr="00B70B6D">
        <w:t>Riksdagen begär att regeringen återkommer till riksdagen med ett förslag till lagstiftning som utgår från intentionerna i Vänsterpartiets syn på turordning vid eventuell försäljning av allmännyttiga bost</w:t>
      </w:r>
      <w:r w:rsidRPr="00B70B6D">
        <w:t>ä</w:t>
      </w:r>
      <w:r w:rsidRPr="00B70B6D">
        <w:t>der.</w:t>
      </w:r>
    </w:p>
    <w:p w:rsidR="008241DF" w:rsidRPr="00B70B6D" w:rsidRDefault="008241DF">
      <w:pPr>
        <w:pStyle w:val="Hemstlatt"/>
        <w:numPr>
          <w:ilvl w:val="0"/>
          <w:numId w:val="1"/>
        </w:numPr>
        <w:shd w:val="clear" w:color="000000" w:fill="auto"/>
      </w:pPr>
      <w:r w:rsidRPr="00B70B6D">
        <w:t>Riksdagen begär att regeringen låter utreda hur lagstiftningen kan skärpas i samband med tillståndsprövning vid utförsäljning av al</w:t>
      </w:r>
      <w:r w:rsidRPr="00B70B6D">
        <w:t>l</w:t>
      </w:r>
      <w:r w:rsidRPr="00B70B6D">
        <w:t>männyttiga bostäder och återkommer till riksdagen med fö</w:t>
      </w:r>
      <w:r w:rsidRPr="00B70B6D">
        <w:t>r</w:t>
      </w:r>
      <w:r w:rsidRPr="00B70B6D">
        <w:t>slag.</w:t>
      </w:r>
    </w:p>
    <w:p w:rsidR="008241DF" w:rsidRPr="00B70B6D" w:rsidRDefault="008241DF">
      <w:pPr>
        <w:pStyle w:val="Hemstlatt"/>
        <w:numPr>
          <w:ilvl w:val="0"/>
          <w:numId w:val="1"/>
        </w:numPr>
        <w:shd w:val="clear" w:color="000000" w:fill="auto"/>
      </w:pPr>
      <w:r w:rsidRPr="00B70B6D">
        <w:t>Riksdagen begär att regeringen återkommer med förslag om införande av ett slags ”MBL-inflytande” i samband med utförsäljning av allmännyttiga bostäder.</w:t>
      </w:r>
    </w:p>
    <w:p w:rsidR="008241DF" w:rsidRPr="00B70B6D" w:rsidRDefault="008241DF">
      <w:pPr>
        <w:pStyle w:val="Hemstlatt"/>
        <w:numPr>
          <w:ilvl w:val="0"/>
          <w:numId w:val="1"/>
        </w:numPr>
        <w:shd w:val="clear" w:color="000000" w:fill="auto"/>
      </w:pPr>
      <w:r w:rsidRPr="00B70B6D">
        <w:t>Riksdagen tillkännager för regeringen som sin mening vad i motionen anförs om att avskaffa det s.k. påtaglighetsrekvisitet, dvs. att privata fastighetsägare har rätt att ta ut en högre hyra än allmänny</w:t>
      </w:r>
      <w:r w:rsidRPr="00B70B6D">
        <w:t>t</w:t>
      </w:r>
      <w:r w:rsidRPr="00B70B6D">
        <w:t>tan.</w:t>
      </w:r>
    </w:p>
    <w:p w:rsidR="008241DF" w:rsidRPr="00B70B6D" w:rsidRDefault="008241DF">
      <w:pPr>
        <w:pStyle w:val="Hemstlatt"/>
        <w:numPr>
          <w:ilvl w:val="0"/>
          <w:numId w:val="1"/>
        </w:numPr>
        <w:shd w:val="clear" w:color="000000" w:fill="auto"/>
      </w:pPr>
      <w:r w:rsidRPr="00B70B6D">
        <w:t>Riksdagen begär att regeringen snabbt tillsätter en utredning i frågan om självkostnadsprincipen och återkommer till riksdagen med ett lagstiftningsförslag som även förhåller sig till hyreslagen och hyresfö</w:t>
      </w:r>
      <w:r w:rsidRPr="00B70B6D">
        <w:t>r</w:t>
      </w:r>
      <w:r w:rsidRPr="00B70B6D">
        <w:t>handlingslagen.</w:t>
      </w:r>
    </w:p>
    <w:p w:rsidR="005B1AC9" w:rsidRPr="00B70B6D" w:rsidRDefault="005B1AC9">
      <w:pPr>
        <w:shd w:val="clear" w:color="000000" w:fill="auto"/>
      </w:pPr>
    </w:p>
    <w:p w:rsidR="00AD2EBC" w:rsidRPr="00B70B6D" w:rsidRDefault="00AD2EBC">
      <w:pPr>
        <w:pStyle w:val="Rubrik1"/>
        <w:pageBreakBefore/>
        <w:shd w:val="clear" w:color="000000" w:fill="auto"/>
        <w:spacing w:before="0"/>
      </w:pPr>
      <w:bookmarkStart w:id="21" w:name="_Toc116019587"/>
      <w:bookmarkStart w:id="22" w:name="_Toc149132727"/>
      <w:bookmarkStart w:id="23" w:name="_Toc149132739"/>
      <w:bookmarkStart w:id="24" w:name="_Toc149132910"/>
      <w:bookmarkStart w:id="25" w:name="_Toc149644441"/>
      <w:bookmarkStart w:id="26" w:name="_Toc149647099"/>
      <w:bookmarkStart w:id="27" w:name="_Toc149900990"/>
      <w:bookmarkStart w:id="28" w:name="_Toc149901079"/>
      <w:bookmarkStart w:id="29" w:name="_Toc149901149"/>
      <w:bookmarkStart w:id="30" w:name="_Toc151511533"/>
      <w:bookmarkEnd w:id="21"/>
      <w:r w:rsidRPr="00B70B6D">
        <w:t>Regelverken runt allmännyttan</w:t>
      </w:r>
      <w:bookmarkEnd w:id="22"/>
      <w:bookmarkEnd w:id="23"/>
      <w:bookmarkEnd w:id="24"/>
      <w:bookmarkEnd w:id="25"/>
      <w:bookmarkEnd w:id="26"/>
      <w:bookmarkEnd w:id="27"/>
      <w:bookmarkEnd w:id="28"/>
      <w:bookmarkEnd w:id="29"/>
      <w:bookmarkEnd w:id="30"/>
    </w:p>
    <w:p w:rsidR="00AD2EBC" w:rsidRPr="00B70B6D" w:rsidRDefault="00AD2EBC">
      <w:pPr>
        <w:shd w:val="clear" w:color="000000" w:fill="auto"/>
      </w:pPr>
      <w:r w:rsidRPr="00B70B6D">
        <w:t>Begreppet allmännyttiga bostadsföretag har funnits i olika författningar om statligt bostadsstöd sedan 1935. Före 1975 behövde dock inte allmännyttiga företag vara helägda av kommunen. Möjligheten att utfärda nya allmännytti</w:t>
      </w:r>
      <w:r w:rsidRPr="00B70B6D">
        <w:t>g</w:t>
      </w:r>
      <w:r w:rsidRPr="00B70B6D">
        <w:t xml:space="preserve">hetsförklaringar upphörde vid utgången av 1991 men har återinförts genom nuvarande </w:t>
      </w:r>
      <w:r w:rsidR="000765A4" w:rsidRPr="00B70B6D">
        <w:t>a</w:t>
      </w:r>
      <w:r w:rsidRPr="00B70B6D">
        <w:t>llbolagen.</w:t>
      </w:r>
    </w:p>
    <w:p w:rsidR="00AD2EBC" w:rsidRPr="00B70B6D" w:rsidRDefault="00AD2EBC">
      <w:pPr>
        <w:pStyle w:val="Normaltindrag"/>
        <w:shd w:val="clear" w:color="000000" w:fill="auto"/>
      </w:pPr>
      <w:r w:rsidRPr="00B70B6D">
        <w:t>Ett bostadsföretags ställning som allmännyttigt kunde upphävas och go</w:t>
      </w:r>
      <w:r w:rsidRPr="00B70B6D">
        <w:t>d</w:t>
      </w:r>
      <w:r w:rsidRPr="00B70B6D">
        <w:t>kännandet återkallades. Detta kunde ske vid överlåtelse av aktier eller andelar i företaget, vid överlåtelse av bostäder eller vid otillåten vinstutdelning. Åte</w:t>
      </w:r>
      <w:r w:rsidRPr="00B70B6D">
        <w:t>r</w:t>
      </w:r>
      <w:r w:rsidRPr="00B70B6D">
        <w:t>kallelsen var kopplad till en sanktion mot bostadsföretaget i form av försä</w:t>
      </w:r>
      <w:r w:rsidRPr="00B70B6D">
        <w:t>m</w:t>
      </w:r>
      <w:r w:rsidRPr="00B70B6D">
        <w:t xml:space="preserve">rade villkor för beviljande av statliga bostadslån och räntebidrag. Senare, i </w:t>
      </w:r>
      <w:r w:rsidR="000765A4" w:rsidRPr="00B70B6D">
        <w:t>den s.k. stopplagen, riktades i </w:t>
      </w:r>
      <w:r w:rsidRPr="00B70B6D">
        <w:t xml:space="preserve">stället sanktionen mot kommunen genom en minskning av det generella statsbidraget. Sedan april 2002 finns den s.k. </w:t>
      </w:r>
      <w:r w:rsidR="000765A4" w:rsidRPr="00B70B6D">
        <w:t>a</w:t>
      </w:r>
      <w:r w:rsidRPr="00B70B6D">
        <w:t>l</w:t>
      </w:r>
      <w:r w:rsidRPr="00B70B6D">
        <w:t>l</w:t>
      </w:r>
      <w:r w:rsidRPr="00B70B6D">
        <w:t>bolagen, där alla kommunala bostadsföretag betraktas som allmännyttiga, men lagen omfattar även kooperativ hyresrätt och privat</w:t>
      </w:r>
      <w:r w:rsidR="000765A4" w:rsidRPr="00B70B6D">
        <w:t>a stiftelser som arb</w:t>
      </w:r>
      <w:r w:rsidR="000765A4" w:rsidRPr="00B70B6D">
        <w:t>e</w:t>
      </w:r>
      <w:r w:rsidR="000765A4" w:rsidRPr="00B70B6D">
        <w:t>tar efter a</w:t>
      </w:r>
      <w:r w:rsidRPr="00B70B6D">
        <w:t>llbolagens principer.</w:t>
      </w:r>
    </w:p>
    <w:p w:rsidR="00AD2EBC" w:rsidRPr="00B70B6D" w:rsidRDefault="00AD2EBC">
      <w:pPr>
        <w:pStyle w:val="Rubrik1"/>
        <w:shd w:val="clear" w:color="000000" w:fill="auto"/>
      </w:pPr>
      <w:bookmarkStart w:id="31" w:name="_Toc115245879"/>
      <w:bookmarkStart w:id="32" w:name="_Toc115691164"/>
      <w:bookmarkStart w:id="33" w:name="_Toc115691178"/>
      <w:bookmarkStart w:id="34" w:name="_Toc115691191"/>
      <w:bookmarkStart w:id="35" w:name="_Toc116019588"/>
      <w:bookmarkStart w:id="36" w:name="_Toc149132728"/>
      <w:bookmarkStart w:id="37" w:name="_Toc149132740"/>
      <w:bookmarkStart w:id="38" w:name="_Toc149132911"/>
      <w:bookmarkStart w:id="39" w:name="_Toc149644442"/>
      <w:bookmarkStart w:id="40" w:name="_Toc149647100"/>
      <w:bookmarkStart w:id="41" w:name="_Toc149900991"/>
      <w:bookmarkStart w:id="42" w:name="_Toc149901080"/>
      <w:bookmarkStart w:id="43" w:name="_Toc149901150"/>
      <w:bookmarkStart w:id="44" w:name="_Toc151511534"/>
      <w:bookmarkEnd w:id="31"/>
      <w:bookmarkEnd w:id="32"/>
      <w:bookmarkEnd w:id="33"/>
      <w:bookmarkEnd w:id="34"/>
      <w:bookmarkEnd w:id="35"/>
      <w:r w:rsidRPr="00B70B6D">
        <w:t>Vad är allmännyttan</w:t>
      </w:r>
      <w:bookmarkEnd w:id="36"/>
      <w:bookmarkEnd w:id="37"/>
      <w:bookmarkEnd w:id="38"/>
      <w:bookmarkEnd w:id="39"/>
      <w:bookmarkEnd w:id="40"/>
      <w:bookmarkEnd w:id="41"/>
      <w:bookmarkEnd w:id="42"/>
      <w:bookmarkEnd w:id="43"/>
      <w:r w:rsidR="005A1CBC" w:rsidRPr="00B70B6D">
        <w:t>?</w:t>
      </w:r>
      <w:bookmarkEnd w:id="44"/>
    </w:p>
    <w:p w:rsidR="00AD2EBC" w:rsidRPr="00B70B6D" w:rsidRDefault="00AD2EBC">
      <w:pPr>
        <w:shd w:val="clear" w:color="000000" w:fill="auto"/>
      </w:pPr>
      <w:r w:rsidRPr="00B70B6D">
        <w:t>Allmännyttan, vars totala bestånd uppgår till ca 900 000 lägenheter, har haft och har fortfarande en stor och betydelsefull roll för en social bostadspolitik. En del av den statliga bostadspolitiken bör vara att säkerställa och utveckla allmännyttans ställning. I många kommuner behövs en ökad andel bostäder inom allmännyttan. I andra kommuner behöver den befintliga allmännyttan stöd. Det gemensamma syftet är att garantera en rimlig boendestandard och hyror till självkostnadspris i hela landet.</w:t>
      </w:r>
    </w:p>
    <w:p w:rsidR="00AD2EBC" w:rsidRPr="00B70B6D" w:rsidRDefault="00AD2EBC">
      <w:pPr>
        <w:pStyle w:val="Normaltindrag"/>
        <w:shd w:val="clear" w:color="000000" w:fill="auto"/>
      </w:pPr>
      <w:r w:rsidRPr="00B70B6D">
        <w:t xml:space="preserve">Allmännyttan </w:t>
      </w:r>
      <w:r w:rsidR="000765A4" w:rsidRPr="00B70B6D">
        <w:t>ska</w:t>
      </w:r>
      <w:r w:rsidRPr="00B70B6D">
        <w:t xml:space="preserve"> värna rätten till en bra bostad och boendemiljö utan krav på ekonomisk insats. Verksamheten </w:t>
      </w:r>
      <w:r w:rsidR="000765A4" w:rsidRPr="00B70B6D">
        <w:t>ska</w:t>
      </w:r>
      <w:r w:rsidRPr="00B70B6D">
        <w:t xml:space="preserve"> bedrivas utan vinstsyfte och utifrån en långsiktig självkostnadsprincip. I många kommuner ingår allmännyttiga bostadsföretag i koncernbildningar med andra verksamheter. Vinstöverföring från bostadsföretagen till andra verksamheter </w:t>
      </w:r>
      <w:r w:rsidR="000765A4" w:rsidRPr="00B70B6D">
        <w:t>ska</w:t>
      </w:r>
      <w:r w:rsidRPr="00B70B6D">
        <w:t xml:space="preserve"> inte vara möjlig. Komm</w:t>
      </w:r>
      <w:r w:rsidRPr="00B70B6D">
        <w:t>u</w:t>
      </w:r>
      <w:r w:rsidRPr="00B70B6D">
        <w:t xml:space="preserve">nerna </w:t>
      </w:r>
      <w:r w:rsidR="000765A4" w:rsidRPr="00B70B6D">
        <w:t>ska</w:t>
      </w:r>
      <w:r w:rsidRPr="00B70B6D">
        <w:t xml:space="preserve"> inte ta ut borgensavgifter eller utnyttja andra möjligheter för att öka intäkterna från allmännyttan.</w:t>
      </w:r>
    </w:p>
    <w:p w:rsidR="006B7B91" w:rsidRPr="00B70B6D" w:rsidRDefault="006B7B91">
      <w:pPr>
        <w:pStyle w:val="Rubrik1"/>
        <w:shd w:val="clear" w:color="000000" w:fill="auto"/>
      </w:pPr>
      <w:bookmarkStart w:id="45" w:name="_Toc149644443"/>
      <w:bookmarkStart w:id="46" w:name="_Toc149647101"/>
      <w:bookmarkStart w:id="47" w:name="_Toc149900992"/>
      <w:bookmarkStart w:id="48" w:name="_Toc149901081"/>
      <w:bookmarkStart w:id="49" w:name="_Toc149901151"/>
      <w:bookmarkStart w:id="50" w:name="_Toc151511535"/>
      <w:r w:rsidRPr="00B70B6D">
        <w:t>Allmännyttan viktig för en social bostadspolitik</w:t>
      </w:r>
      <w:bookmarkEnd w:id="45"/>
      <w:bookmarkEnd w:id="46"/>
      <w:bookmarkEnd w:id="47"/>
      <w:bookmarkEnd w:id="48"/>
      <w:bookmarkEnd w:id="49"/>
      <w:bookmarkEnd w:id="50"/>
    </w:p>
    <w:p w:rsidR="006B7B91" w:rsidRPr="00B70B6D" w:rsidRDefault="006B7B91">
      <w:pPr>
        <w:shd w:val="clear" w:color="000000" w:fill="auto"/>
      </w:pPr>
      <w:r w:rsidRPr="00B70B6D">
        <w:t xml:space="preserve">En försvagad allmännytta skulle leda till en försämring av möjligheterna </w:t>
      </w:r>
      <w:r w:rsidR="00E224E9" w:rsidRPr="00B70B6D">
        <w:t>att föra</w:t>
      </w:r>
      <w:r w:rsidRPr="00B70B6D">
        <w:t xml:space="preserve"> en social bostadspolitik. Allmännyttan</w:t>
      </w:r>
      <w:r w:rsidR="00E224E9" w:rsidRPr="00B70B6D">
        <w:t xml:space="preserve">, tillsammans med planmonopolet, </w:t>
      </w:r>
      <w:r w:rsidRPr="00B70B6D">
        <w:t xml:space="preserve">är </w:t>
      </w:r>
      <w:r w:rsidR="00E224E9" w:rsidRPr="00B70B6D">
        <w:t xml:space="preserve">kommunernas </w:t>
      </w:r>
      <w:r w:rsidRPr="00B70B6D">
        <w:t>viktig</w:t>
      </w:r>
      <w:r w:rsidR="00E224E9" w:rsidRPr="00B70B6D">
        <w:t xml:space="preserve">aste verktyg </w:t>
      </w:r>
      <w:r w:rsidRPr="00B70B6D">
        <w:t xml:space="preserve">för att </w:t>
      </w:r>
      <w:r w:rsidR="00E224E9" w:rsidRPr="00B70B6D">
        <w:t>låta ett rättviseperspektiv genoms</w:t>
      </w:r>
      <w:r w:rsidR="00E224E9" w:rsidRPr="00B70B6D">
        <w:t>y</w:t>
      </w:r>
      <w:r w:rsidR="00E224E9" w:rsidRPr="00B70B6D">
        <w:t xml:space="preserve">ra </w:t>
      </w:r>
      <w:r w:rsidRPr="00B70B6D">
        <w:t>bostadspolitiken i enlighet med regeringsformen och de av riksdagen a</w:t>
      </w:r>
      <w:r w:rsidRPr="00B70B6D">
        <w:t>n</w:t>
      </w:r>
      <w:r w:rsidRPr="00B70B6D">
        <w:t>tagna bostadspolitiska målen, dvs. att bostaden är en social rättighet.</w:t>
      </w:r>
      <w:r w:rsidR="004A02E3" w:rsidRPr="00B70B6D">
        <w:t xml:space="preserve"> D</w:t>
      </w:r>
      <w:r w:rsidR="00E224E9" w:rsidRPr="00B70B6D">
        <w:t>et är d</w:t>
      </w:r>
      <w:r w:rsidRPr="00B70B6D">
        <w:t>ärför viktigt att kommunerna stärker sina bostadsföretag och utvecklar mö</w:t>
      </w:r>
      <w:r w:rsidRPr="00B70B6D">
        <w:t>j</w:t>
      </w:r>
      <w:r w:rsidRPr="00B70B6D">
        <w:t>ligheterna att tillhandahålla bra bostäder till självkostnads- och bruksvärde</w:t>
      </w:r>
      <w:r w:rsidRPr="00B70B6D">
        <w:t>s</w:t>
      </w:r>
      <w:r w:rsidRPr="00B70B6D">
        <w:t xml:space="preserve">principer </w:t>
      </w:r>
      <w:r w:rsidR="004A02E3" w:rsidRPr="00B70B6D">
        <w:t xml:space="preserve">samt </w:t>
      </w:r>
      <w:r w:rsidR="00B2508D" w:rsidRPr="00B70B6D">
        <w:t xml:space="preserve">att man har kvar de sociala rekvisiten i sin bolagsordning eller motsvarande. Det är också viktigt att man fördelar bostäderna </w:t>
      </w:r>
      <w:r w:rsidRPr="00B70B6D">
        <w:t xml:space="preserve">med hjälp av kommunala bostadsförmedlingar utifrån </w:t>
      </w:r>
      <w:r w:rsidR="00B2508D" w:rsidRPr="00B70B6D">
        <w:t xml:space="preserve">strikta </w:t>
      </w:r>
      <w:r w:rsidRPr="00B70B6D">
        <w:t>rättighets- och behovskriter</w:t>
      </w:r>
      <w:r w:rsidRPr="00B70B6D">
        <w:t>i</w:t>
      </w:r>
      <w:r w:rsidRPr="00B70B6D">
        <w:t>er.</w:t>
      </w:r>
      <w:r w:rsidR="00B2508D" w:rsidRPr="00B70B6D">
        <w:t xml:space="preserve"> Se mer om Vänsterpartiets syn på kommunala bostadsförmedlingar i m</w:t>
      </w:r>
      <w:r w:rsidR="00B2508D" w:rsidRPr="00B70B6D">
        <w:t>o</w:t>
      </w:r>
      <w:r w:rsidR="00B2508D" w:rsidRPr="00B70B6D">
        <w:t>tionen</w:t>
      </w:r>
      <w:r w:rsidR="000765A4" w:rsidRPr="00B70B6D">
        <w:t xml:space="preserve"> Boendeplaneringsprogram (</w:t>
      </w:r>
      <w:r w:rsidR="005A1CBC" w:rsidRPr="00B70B6D">
        <w:t>C202</w:t>
      </w:r>
      <w:r w:rsidR="000765A4" w:rsidRPr="00B70B6D">
        <w:t>)</w:t>
      </w:r>
      <w:r w:rsidR="00B2508D" w:rsidRPr="00B70B6D">
        <w:t>.</w:t>
      </w:r>
    </w:p>
    <w:p w:rsidR="00E224E9" w:rsidRPr="00B70B6D" w:rsidRDefault="006B7B91">
      <w:pPr>
        <w:pStyle w:val="Normaltindrag"/>
        <w:shd w:val="clear" w:color="000000" w:fill="auto"/>
      </w:pPr>
      <w:r w:rsidRPr="00B70B6D">
        <w:t>Allmännyttan är</w:t>
      </w:r>
      <w:r w:rsidR="00E224E9" w:rsidRPr="00B70B6D">
        <w:t xml:space="preserve"> oundgänglig </w:t>
      </w:r>
      <w:r w:rsidRPr="00B70B6D">
        <w:t>för en social bostadspolitik</w:t>
      </w:r>
      <w:r w:rsidR="005A1CBC" w:rsidRPr="00B70B6D">
        <w:t>,</w:t>
      </w:r>
      <w:r w:rsidRPr="00B70B6D">
        <w:t xml:space="preserve"> och de</w:t>
      </w:r>
      <w:r w:rsidR="00E224E9" w:rsidRPr="00B70B6D">
        <w:t>ss roll i samhället måste därför stärkas. De kommuner som i</w:t>
      </w:r>
      <w:r w:rsidR="005A1CBC" w:rsidRPr="00B70B6D">
        <w:t xml:space="preserve"> </w:t>
      </w:r>
      <w:r w:rsidR="00E224E9" w:rsidRPr="00B70B6D">
        <w:t>dag saknar ett allmänny</w:t>
      </w:r>
      <w:r w:rsidR="00E224E9" w:rsidRPr="00B70B6D">
        <w:t>t</w:t>
      </w:r>
      <w:r w:rsidR="00E224E9" w:rsidRPr="00B70B6D">
        <w:t xml:space="preserve">tigt bostadsbolag ska ha ansvar för att </w:t>
      </w:r>
      <w:r w:rsidR="00AE07AE" w:rsidRPr="00B70B6D">
        <w:t xml:space="preserve">minst ett sådant </w:t>
      </w:r>
      <w:r w:rsidR="00E224E9" w:rsidRPr="00B70B6D">
        <w:t>bygg</w:t>
      </w:r>
      <w:r w:rsidR="00AE07AE" w:rsidRPr="00B70B6D">
        <w:t xml:space="preserve">s upp </w:t>
      </w:r>
      <w:r w:rsidR="00E224E9" w:rsidRPr="00B70B6D">
        <w:t>i</w:t>
      </w:r>
      <w:r w:rsidR="00AE07AE" w:rsidRPr="00B70B6D">
        <w:t xml:space="preserve"> komm</w:t>
      </w:r>
      <w:r w:rsidR="00AE07AE" w:rsidRPr="00B70B6D">
        <w:t>u</w:t>
      </w:r>
      <w:r w:rsidR="00AE07AE" w:rsidRPr="00B70B6D">
        <w:t>nen</w:t>
      </w:r>
      <w:r w:rsidR="007A7154" w:rsidRPr="00B70B6D">
        <w:t>.</w:t>
      </w:r>
      <w:r w:rsidR="00A320E7" w:rsidRPr="00B70B6D">
        <w:t xml:space="preserve"> </w:t>
      </w:r>
      <w:r w:rsidR="00AE07AE" w:rsidRPr="00B70B6D">
        <w:t>Detta bör riksdagen som sin mening ge regeringen till känna.</w:t>
      </w:r>
    </w:p>
    <w:p w:rsidR="00AD2EBC" w:rsidRPr="00B70B6D" w:rsidRDefault="00AD2EBC">
      <w:pPr>
        <w:pStyle w:val="Rubrik1"/>
        <w:shd w:val="clear" w:color="000000" w:fill="auto"/>
      </w:pPr>
      <w:bookmarkStart w:id="51" w:name="_Toc115245880"/>
      <w:bookmarkStart w:id="52" w:name="_Toc115691165"/>
      <w:bookmarkStart w:id="53" w:name="_Toc115691179"/>
      <w:bookmarkStart w:id="54" w:name="_Toc115691192"/>
      <w:bookmarkStart w:id="55" w:name="_Toc116019589"/>
      <w:bookmarkStart w:id="56" w:name="_Toc149132729"/>
      <w:bookmarkStart w:id="57" w:name="_Toc149132741"/>
      <w:bookmarkStart w:id="58" w:name="_Toc149132912"/>
      <w:bookmarkStart w:id="59" w:name="_Toc149644444"/>
      <w:bookmarkStart w:id="60" w:name="_Toc149647102"/>
      <w:bookmarkStart w:id="61" w:name="_Toc149900993"/>
      <w:bookmarkStart w:id="62" w:name="_Toc149901082"/>
      <w:bookmarkStart w:id="63" w:name="_Toc149901152"/>
      <w:bookmarkStart w:id="64" w:name="_Toc151511536"/>
      <w:bookmarkEnd w:id="51"/>
      <w:bookmarkEnd w:id="52"/>
      <w:bookmarkEnd w:id="53"/>
      <w:bookmarkEnd w:id="54"/>
      <w:bookmarkEnd w:id="55"/>
      <w:r w:rsidRPr="00B70B6D">
        <w:t xml:space="preserve">Förändringar i </w:t>
      </w:r>
      <w:r w:rsidR="00A320E7" w:rsidRPr="00B70B6D">
        <w:t>a</w:t>
      </w:r>
      <w:r w:rsidRPr="00B70B6D">
        <w:t>llbolagen</w:t>
      </w:r>
      <w:bookmarkEnd w:id="56"/>
      <w:bookmarkEnd w:id="57"/>
      <w:bookmarkEnd w:id="58"/>
      <w:bookmarkEnd w:id="59"/>
      <w:bookmarkEnd w:id="60"/>
      <w:bookmarkEnd w:id="61"/>
      <w:bookmarkEnd w:id="62"/>
      <w:bookmarkEnd w:id="63"/>
      <w:bookmarkEnd w:id="64"/>
    </w:p>
    <w:p w:rsidR="00AD2EBC" w:rsidRPr="00B70B6D" w:rsidRDefault="00AD2EBC">
      <w:pPr>
        <w:shd w:val="clear" w:color="000000" w:fill="auto"/>
      </w:pPr>
      <w:r w:rsidRPr="00B70B6D">
        <w:t>Vänsterpartiet välkomnade den lagstiftning som numera reglerar allmänny</w:t>
      </w:r>
      <w:r w:rsidRPr="00B70B6D">
        <w:t>t</w:t>
      </w:r>
      <w:r w:rsidRPr="00B70B6D">
        <w:t xml:space="preserve">tan, den s.k. </w:t>
      </w:r>
      <w:r w:rsidR="00A320E7" w:rsidRPr="00B70B6D">
        <w:t>a</w:t>
      </w:r>
      <w:r w:rsidRPr="00B70B6D">
        <w:t>llbolagen. Lagen har utvärderats av Boverket</w:t>
      </w:r>
      <w:r w:rsidR="005A1CBC" w:rsidRPr="00B70B6D">
        <w:t>,</w:t>
      </w:r>
      <w:r w:rsidRPr="00B70B6D">
        <w:t xml:space="preserve"> som kommit fram till att den innehåller brister i reglerna för vinstutdelning. Undersökningen visar att det i kommunala koncerner förekommer stora transaktioner och där den sammanlagda utdelningen från det allmännyttiga bostadsföretaget överskrider den i lagstiftningen reglerade möjligheten till utdelning. Allbol</w:t>
      </w:r>
      <w:r w:rsidRPr="00B70B6D">
        <w:t>a</w:t>
      </w:r>
      <w:r w:rsidRPr="00B70B6D">
        <w:t>gen bör i denna fråga ändras enligt Boverkets intentioner, men även utifrån andra aspekter som beskrivs i denna motion. Regeringen bör, utifrån Bove</w:t>
      </w:r>
      <w:r w:rsidRPr="00B70B6D">
        <w:t>r</w:t>
      </w:r>
      <w:r w:rsidRPr="00B70B6D">
        <w:t xml:space="preserve">kets intentioner, närmare klargöra vilka regler som </w:t>
      </w:r>
      <w:r w:rsidR="000765A4" w:rsidRPr="00B70B6D">
        <w:t>ska</w:t>
      </w:r>
      <w:r w:rsidRPr="00B70B6D">
        <w:t xml:space="preserve"> gälla i koncernförhå</w:t>
      </w:r>
      <w:r w:rsidRPr="00B70B6D">
        <w:t>l</w:t>
      </w:r>
      <w:r w:rsidRPr="00B70B6D">
        <w:t>landen där allmännyttiga bostadsföretag ingår</w:t>
      </w:r>
      <w:r w:rsidR="004C5A20" w:rsidRPr="00B70B6D">
        <w:t xml:space="preserve"> och återkomma till riksdagen med förslag.</w:t>
      </w:r>
      <w:r w:rsidR="00A320E7" w:rsidRPr="00B70B6D">
        <w:t xml:space="preserve"> </w:t>
      </w:r>
      <w:r w:rsidRPr="00B70B6D">
        <w:t>Detta bör riksdagen som sin mening ge regeringen till känna.</w:t>
      </w:r>
    </w:p>
    <w:p w:rsidR="00AD2EBC" w:rsidRPr="00B70B6D" w:rsidRDefault="00AD2EBC">
      <w:pPr>
        <w:pStyle w:val="Normaltindrag"/>
        <w:shd w:val="clear" w:color="000000" w:fill="auto"/>
      </w:pPr>
      <w:r w:rsidRPr="00B70B6D">
        <w:t xml:space="preserve">När </w:t>
      </w:r>
      <w:r w:rsidR="00A320E7" w:rsidRPr="00B70B6D">
        <w:t>a</w:t>
      </w:r>
      <w:r w:rsidRPr="00B70B6D">
        <w:t>llbolagen infördes upphörde möjligheterna till sanktioner då en kommun bryter mot gällande krav på skälig utdelning. Boverkets utredning är ofullständig i den del som berör skälig utdelning. Den bygger endast på bol</w:t>
      </w:r>
      <w:r w:rsidRPr="00B70B6D">
        <w:t>a</w:t>
      </w:r>
      <w:r w:rsidRPr="00B70B6D">
        <w:t>gens årsredovisningar och granskar inte aktieutdelning, koncernbidrag och aktieägartillskott. Boverket nöjer sig med att konstatera att det förekommer transaktioner i stor omfattning, företrädesvis i form av koncernbidrag, men även i form av aktieägartillskott. Boverket konstaterar att om exempelvis utdelning och lämnat koncernbidrag läggs samman, torde utdelningsgränsen överskridas i flera fall. Boverket anser trots detta att det inte behöver vidtas några åtgärder.</w:t>
      </w:r>
    </w:p>
    <w:p w:rsidR="00AD2EBC" w:rsidRPr="00B70B6D" w:rsidRDefault="00AD2EBC">
      <w:pPr>
        <w:pStyle w:val="Normaltindrag"/>
        <w:shd w:val="clear" w:color="000000" w:fill="auto"/>
      </w:pPr>
      <w:r w:rsidRPr="00B70B6D">
        <w:t>Vänsterpartiet menar att Boverket har fel och befarar att detta leder till la</w:t>
      </w:r>
      <w:r w:rsidRPr="00B70B6D">
        <w:t>g</w:t>
      </w:r>
      <w:r w:rsidRPr="00B70B6D">
        <w:t xml:space="preserve">trots mot lagstiftningen. Vi har erfarit att det finns exempel på att en kommun som brutit mot den s.k. stopplagen (föregångaren till </w:t>
      </w:r>
      <w:r w:rsidR="00A320E7" w:rsidRPr="00B70B6D">
        <w:t>a</w:t>
      </w:r>
      <w:r w:rsidRPr="00B70B6D">
        <w:t>llbolagen) och ålagts sanktioner i form av indragna statsbidrag, kommer att upprepa samma lagtrots men klarar sig då undan detta utan åtgärder från statens sida. Hyresgästför</w:t>
      </w:r>
      <w:r w:rsidRPr="00B70B6D">
        <w:t>e</w:t>
      </w:r>
      <w:r w:rsidRPr="00B70B6D">
        <w:t>ningen har kartlagt problematiken och lyfter fram exempel från Gävle och Linköping. Med anledning av ovanstående bör sanktioner återinföras mot de kommuner som bryter mot gällande utdelningsregler.</w:t>
      </w:r>
      <w:r w:rsidR="00A94188" w:rsidRPr="00B70B6D">
        <w:t xml:space="preserve"> </w:t>
      </w:r>
      <w:r w:rsidRPr="00B70B6D">
        <w:t>Detta bör riksdagen som sin mening ge regeringen till känna.</w:t>
      </w:r>
    </w:p>
    <w:p w:rsidR="00AD2EBC" w:rsidRPr="00B70B6D" w:rsidRDefault="00AD2EBC">
      <w:pPr>
        <w:pStyle w:val="Normaltindrag"/>
        <w:shd w:val="clear" w:color="000000" w:fill="auto"/>
      </w:pPr>
      <w:r w:rsidRPr="00B70B6D">
        <w:t>För att få en ökad kontroll av att kommunerna följer reglerna om skälig u</w:t>
      </w:r>
      <w:r w:rsidRPr="00B70B6D">
        <w:t>t</w:t>
      </w:r>
      <w:r w:rsidRPr="00B70B6D">
        <w:t xml:space="preserve">delning, bör ytterligare åtgärder införas i </w:t>
      </w:r>
      <w:r w:rsidR="00A320E7" w:rsidRPr="00B70B6D">
        <w:t>a</w:t>
      </w:r>
      <w:r w:rsidRPr="00B70B6D">
        <w:t>llbolagen. Krav bör ställas på att allmännyttan senast i oktober varje år till länsstyrelsen lämnar uppgift om beslutad utdelning och hur denna har beräknats samt att revisorerna i rev</w:t>
      </w:r>
      <w:r w:rsidRPr="00B70B6D">
        <w:t>i</w:t>
      </w:r>
      <w:r w:rsidRPr="00B70B6D">
        <w:t xml:space="preserve">sionsberättelsen intygar att </w:t>
      </w:r>
      <w:r w:rsidR="00A320E7" w:rsidRPr="00B70B6D">
        <w:t>a</w:t>
      </w:r>
      <w:r w:rsidRPr="00B70B6D">
        <w:t xml:space="preserve">llbolagens regler i fråga om skälig utdelning och överföring har följts. Rapporten bör sedan förmedlas vidare till Boverket för att en fortlöpande utvärdering </w:t>
      </w:r>
      <w:r w:rsidR="000765A4" w:rsidRPr="00B70B6D">
        <w:t>ska</w:t>
      </w:r>
      <w:r w:rsidRPr="00B70B6D">
        <w:t xml:space="preserve"> ske.</w:t>
      </w:r>
      <w:r w:rsidR="00A320E7" w:rsidRPr="00B70B6D">
        <w:t xml:space="preserve"> Detta bör riksdagen som sin mening ge regeringen till känna.</w:t>
      </w:r>
    </w:p>
    <w:p w:rsidR="00AD2EBC" w:rsidRPr="00B70B6D" w:rsidRDefault="00AD2EBC">
      <w:pPr>
        <w:pStyle w:val="Rubrik1"/>
        <w:shd w:val="clear" w:color="000000" w:fill="auto"/>
      </w:pPr>
      <w:bookmarkStart w:id="65" w:name="_Toc115245881"/>
      <w:bookmarkStart w:id="66" w:name="_Toc115691166"/>
      <w:bookmarkStart w:id="67" w:name="_Toc115691180"/>
      <w:bookmarkStart w:id="68" w:name="_Toc115691193"/>
      <w:bookmarkStart w:id="69" w:name="_Toc116019590"/>
      <w:bookmarkStart w:id="70" w:name="_Toc149132730"/>
      <w:bookmarkStart w:id="71" w:name="_Toc149132742"/>
      <w:bookmarkStart w:id="72" w:name="_Toc149132913"/>
      <w:bookmarkStart w:id="73" w:name="_Toc149644445"/>
      <w:bookmarkStart w:id="74" w:name="_Toc149647103"/>
      <w:bookmarkStart w:id="75" w:name="_Toc149900994"/>
      <w:bookmarkStart w:id="76" w:name="_Toc149901083"/>
      <w:bookmarkStart w:id="77" w:name="_Toc149901153"/>
      <w:bookmarkStart w:id="78" w:name="_Toc151511537"/>
      <w:bookmarkEnd w:id="65"/>
      <w:bookmarkEnd w:id="66"/>
      <w:bookmarkEnd w:id="67"/>
      <w:bookmarkEnd w:id="68"/>
      <w:bookmarkEnd w:id="69"/>
      <w:r w:rsidRPr="00B70B6D">
        <w:t>Utförsäljning av allmännyttan</w:t>
      </w:r>
      <w:bookmarkEnd w:id="70"/>
      <w:bookmarkEnd w:id="71"/>
      <w:bookmarkEnd w:id="72"/>
      <w:bookmarkEnd w:id="73"/>
      <w:bookmarkEnd w:id="74"/>
      <w:bookmarkEnd w:id="75"/>
      <w:bookmarkEnd w:id="76"/>
      <w:bookmarkEnd w:id="77"/>
      <w:bookmarkEnd w:id="78"/>
    </w:p>
    <w:p w:rsidR="00AD2EBC" w:rsidRPr="00B70B6D" w:rsidRDefault="00AD2EBC">
      <w:pPr>
        <w:shd w:val="clear" w:color="000000" w:fill="auto"/>
      </w:pPr>
      <w:r w:rsidRPr="00B70B6D">
        <w:t>Vänsterpartiet vill utveckla ett samhälle där de olika boendeformerna finns representerade i alla stadsdelar och bostadsområden. Boendesegregationen är omfattande särskilt i våra storstadsområden, med stora komplex av hyresrätter i våra miljonprogramsområden och villamattor i andra. Villaområden best</w:t>
      </w:r>
      <w:r w:rsidRPr="00B70B6D">
        <w:t>å</w:t>
      </w:r>
      <w:r w:rsidRPr="00B70B6D">
        <w:t>ende av en majoritet vit medelklass är betydligt mer segregerande än miljo</w:t>
      </w:r>
      <w:r w:rsidRPr="00B70B6D">
        <w:t>n</w:t>
      </w:r>
      <w:r w:rsidRPr="00B70B6D">
        <w:t>programsområden med en majoritet av invandrade.</w:t>
      </w:r>
    </w:p>
    <w:p w:rsidR="00AD2EBC" w:rsidRPr="00B70B6D" w:rsidRDefault="00AD2EBC">
      <w:pPr>
        <w:pStyle w:val="Normaltindrag"/>
        <w:shd w:val="clear" w:color="000000" w:fill="auto"/>
      </w:pPr>
      <w:r w:rsidRPr="00B70B6D">
        <w:t>Bostadsrätten finns som ett komplement till villor och hyreslägenheter och är en växande boendeform. En stor del hyresrätter omvandlas dock årligen till bostadsrätter, samtidigt som mycket få hyresrätter produceras. I Stockholm</w:t>
      </w:r>
      <w:r w:rsidRPr="00B70B6D">
        <w:t>s</w:t>
      </w:r>
      <w:r w:rsidRPr="00B70B6D">
        <w:t>regionen har mer än 30 000 hyresrätter omvandlats till bostadsrätter sedan millennieskiftet. Två av tre omvandlingar var privatägda och en av tre ko</w:t>
      </w:r>
      <w:r w:rsidRPr="00B70B6D">
        <w:t>m</w:t>
      </w:r>
      <w:r w:rsidRPr="00B70B6D">
        <w:t xml:space="preserve">munal. Denna omvandling verkar inte upphöra utan </w:t>
      </w:r>
      <w:r w:rsidR="008F5BE7" w:rsidRPr="00B70B6D">
        <w:t>snarare öka i takt</w:t>
      </w:r>
      <w:r w:rsidRPr="00B70B6D">
        <w:t>. Uppr</w:t>
      </w:r>
      <w:r w:rsidRPr="00B70B6D">
        <w:t>ö</w:t>
      </w:r>
      <w:r w:rsidRPr="00B70B6D">
        <w:t>rande är att utförsäljningen av allmännyttan i Stockholmsregionen gjorde att skattebetalarna förlorade närmare 30</w:t>
      </w:r>
      <w:r w:rsidR="00A320E7" w:rsidRPr="00B70B6D">
        <w:t> </w:t>
      </w:r>
      <w:r w:rsidRPr="00B70B6D">
        <w:t>miljarder kronor av den kommunala förmögenheten. Den som hade turen i den stora utförsäljningskarusellen tj</w:t>
      </w:r>
      <w:r w:rsidRPr="00B70B6D">
        <w:t>ä</w:t>
      </w:r>
      <w:r w:rsidRPr="00B70B6D">
        <w:t xml:space="preserve">nade i genomsnitt </w:t>
      </w:r>
      <w:r w:rsidR="00A71F5C" w:rsidRPr="00B70B6D">
        <w:t xml:space="preserve">över </w:t>
      </w:r>
      <w:r w:rsidRPr="00B70B6D">
        <w:t>700 000 kr på sitt köp, då utförsäljningspriset motsv</w:t>
      </w:r>
      <w:r w:rsidRPr="00B70B6D">
        <w:t>a</w:t>
      </w:r>
      <w:r w:rsidRPr="00B70B6D">
        <w:t>rade endast hälften av marknadsvärdet.</w:t>
      </w:r>
      <w:r w:rsidR="008F5BE7" w:rsidRPr="00B70B6D">
        <w:t xml:space="preserve"> Enligt en undersökning som Stoc</w:t>
      </w:r>
      <w:r w:rsidR="008F5BE7" w:rsidRPr="00B70B6D">
        <w:t>k</w:t>
      </w:r>
      <w:r w:rsidR="008F5BE7" w:rsidRPr="00B70B6D">
        <w:t>holms utredningskontor (USK) gjort</w:t>
      </w:r>
      <w:r w:rsidR="00A71F5C" w:rsidRPr="00B70B6D">
        <w:t xml:space="preserve"> av utförsäljn</w:t>
      </w:r>
      <w:r w:rsidR="005A1CBC" w:rsidRPr="00B70B6D">
        <w:t>ingarna i Stockholm 1999–</w:t>
      </w:r>
      <w:r w:rsidR="00A71F5C" w:rsidRPr="00B70B6D">
        <w:t>2004,</w:t>
      </w:r>
      <w:r w:rsidR="008F5BE7" w:rsidRPr="00B70B6D">
        <w:t xml:space="preserve"> sålde </w:t>
      </w:r>
      <w:r w:rsidR="00A71F5C" w:rsidRPr="00B70B6D">
        <w:t xml:space="preserve">ungefär </w:t>
      </w:r>
      <w:r w:rsidR="008F5BE7" w:rsidRPr="00B70B6D">
        <w:t>hälften vidare sin ”nyförvärvade bostad” inom ett år</w:t>
      </w:r>
      <w:r w:rsidR="00A71F5C" w:rsidRPr="00B70B6D">
        <w:t xml:space="preserve">. Av dessa bor nu </w:t>
      </w:r>
      <w:r w:rsidR="008F5BE7" w:rsidRPr="00B70B6D">
        <w:t xml:space="preserve">25 % </w:t>
      </w:r>
      <w:r w:rsidR="00A71F5C" w:rsidRPr="00B70B6D">
        <w:t xml:space="preserve">åter </w:t>
      </w:r>
      <w:r w:rsidR="008F5BE7" w:rsidRPr="00B70B6D">
        <w:t>i hyresrätt. Man kan därför fråga sig om det var kap</w:t>
      </w:r>
      <w:r w:rsidR="008F5BE7" w:rsidRPr="00B70B6D">
        <w:t>i</w:t>
      </w:r>
      <w:r w:rsidR="008F5BE7" w:rsidRPr="00B70B6D">
        <w:t>talet eller själva upplåtelseformen som lockade.</w:t>
      </w:r>
    </w:p>
    <w:p w:rsidR="00A71F5C" w:rsidRPr="00B70B6D" w:rsidRDefault="00AD2EBC">
      <w:pPr>
        <w:pStyle w:val="Normaltindrag"/>
        <w:shd w:val="clear" w:color="000000" w:fill="auto"/>
      </w:pPr>
      <w:r w:rsidRPr="00B70B6D">
        <w:t xml:space="preserve">Vänsterpartiet har inga invändningar mot bostadsrätten som boendeform men motsätter sig </w:t>
      </w:r>
      <w:r w:rsidR="008F5BE7" w:rsidRPr="00B70B6D">
        <w:t xml:space="preserve">å det starkaste </w:t>
      </w:r>
      <w:r w:rsidRPr="00B70B6D">
        <w:t xml:space="preserve">denna omvandlingsutveckling och det sätt den gått till på. Den ökar boendesegregationen och minskar valfriheten för människor som vill bo i allmännyttans bostäder. </w:t>
      </w:r>
      <w:r w:rsidR="008F5BE7" w:rsidRPr="00B70B6D">
        <w:t>USK</w:t>
      </w:r>
      <w:r w:rsidR="00A320E7" w:rsidRPr="00B70B6D">
        <w:t>:</w:t>
      </w:r>
      <w:r w:rsidR="008F5BE7" w:rsidRPr="00B70B6D">
        <w:t>s rapport visar hur segregationen ökat i de områden där utförsäljningarna genomförts</w:t>
      </w:r>
      <w:r w:rsidR="005A1CBC" w:rsidRPr="00B70B6D">
        <w:t>, dvs.</w:t>
      </w:r>
      <w:r w:rsidR="008F5BE7" w:rsidRPr="00B70B6D">
        <w:t xml:space="preserve"> såväl medelinkomst som utbildningsnivån har höjts. För alla som vid utförsäl</w:t>
      </w:r>
      <w:r w:rsidR="008F5BE7" w:rsidRPr="00B70B6D">
        <w:t>j</w:t>
      </w:r>
      <w:r w:rsidR="008F5BE7" w:rsidRPr="00B70B6D">
        <w:t xml:space="preserve">ningstillfället inte hade någon ekonomisk möjlighet eller vilja att friköpa våra gemensamma tillgångar blir utvägen ofta att byta bort sin lägenhet mot en annan hyresrätt– </w:t>
      </w:r>
      <w:r w:rsidR="00A71F5C" w:rsidRPr="00B70B6D">
        <w:t xml:space="preserve">detta </w:t>
      </w:r>
      <w:r w:rsidR="008F5BE7" w:rsidRPr="00B70B6D">
        <w:t>för att slippa bli hyresgäst hos sina grannar.</w:t>
      </w:r>
      <w:r w:rsidR="00A71F5C" w:rsidRPr="00B70B6D">
        <w:t xml:space="preserve"> Av de</w:t>
      </w:r>
      <w:r w:rsidR="00A320E7" w:rsidRPr="00B70B6D">
        <w:t>m</w:t>
      </w:r>
      <w:r w:rsidR="00A71F5C" w:rsidRPr="00B70B6D">
        <w:t xml:space="preserve"> som ändå valde att stanna kvar som hyresgäst hos grannarna uppger så många som 40 % att de inte trivs i den situationen.</w:t>
      </w:r>
    </w:p>
    <w:p w:rsidR="00AD2EBC" w:rsidRPr="00B70B6D" w:rsidRDefault="00AD2EBC">
      <w:pPr>
        <w:pStyle w:val="Normaltindrag"/>
        <w:shd w:val="clear" w:color="000000" w:fill="auto"/>
      </w:pPr>
      <w:r w:rsidRPr="00B70B6D">
        <w:t>Tillskottet i form av nyproducerade hyresrätter når inte alls den takt som minskningen orsakar i samband med omvandlingen. Vi menar att det behövs en lagstiftning som reglerar turordningen vid försäljning av allmännyttiga bostäder. Vänsterpartiet förespråkar en turordning där allmännyttan i första hand säljs till annan allmännytta, i andra hand till privatägda fastighetsbolag och i tredje hand för omvandling till bostadsrätter. Regeringen bör återkomma till riksdagen med ett förslag till lagstiftning som utgår från andemeningen i Vänsterpartiets syn på turordning vid eventuell försäljning av allmännyttiga bostäder.</w:t>
      </w:r>
      <w:r w:rsidR="00A320E7" w:rsidRPr="00B70B6D">
        <w:t xml:space="preserve"> </w:t>
      </w:r>
      <w:r w:rsidRPr="00B70B6D">
        <w:t>Detta bör riksdagen som sin mening ge regeringen till känna.</w:t>
      </w:r>
    </w:p>
    <w:p w:rsidR="00B2508D" w:rsidRPr="00B70B6D" w:rsidRDefault="00B2508D">
      <w:pPr>
        <w:pStyle w:val="Rubrik2"/>
        <w:shd w:val="clear" w:color="000000" w:fill="auto"/>
      </w:pPr>
      <w:bookmarkStart w:id="79" w:name="_Toc149647104"/>
      <w:bookmarkStart w:id="80" w:name="_Toc149900995"/>
      <w:bookmarkStart w:id="81" w:name="_Toc149901084"/>
      <w:bookmarkStart w:id="82" w:name="_Toc149901154"/>
      <w:bookmarkStart w:id="83" w:name="_Toc151511538"/>
      <w:r w:rsidRPr="00B70B6D">
        <w:t>Tillståndsprövning vid försäljningar</w:t>
      </w:r>
      <w:bookmarkEnd w:id="79"/>
      <w:bookmarkEnd w:id="80"/>
      <w:bookmarkEnd w:id="81"/>
      <w:bookmarkEnd w:id="82"/>
      <w:bookmarkEnd w:id="83"/>
    </w:p>
    <w:p w:rsidR="00B2508D" w:rsidRPr="00B70B6D" w:rsidRDefault="00B2508D">
      <w:pPr>
        <w:shd w:val="clear" w:color="000000" w:fill="auto"/>
      </w:pPr>
      <w:r w:rsidRPr="00B70B6D">
        <w:t>Allbolagen reglerar även utförsäljning av allmännyttiga bostäder. Försäljning är möjlig, men utförsäljningen får inte äventyra möjligheterna att bruksvärd</w:t>
      </w:r>
      <w:r w:rsidRPr="00B70B6D">
        <w:t>e</w:t>
      </w:r>
      <w:r w:rsidRPr="00B70B6D">
        <w:t>spröva hyran. Länsstyrelsen sköter tillståndsprövningen för förvärvet</w:t>
      </w:r>
      <w:r w:rsidR="005A1CBC" w:rsidRPr="00B70B6D">
        <w:t>,</w:t>
      </w:r>
      <w:r w:rsidRPr="00B70B6D">
        <w:t xml:space="preserve"> och beslut kan överklagas till Boverket som är sista instans. Boverkets utvärd</w:t>
      </w:r>
      <w:r w:rsidRPr="00B70B6D">
        <w:t>e</w:t>
      </w:r>
      <w:r w:rsidRPr="00B70B6D">
        <w:t xml:space="preserve">ring av hur detta fungerar bygger på statistik från april 2002 till mars 2004. Boverket konstaterar </w:t>
      </w:r>
      <w:r w:rsidR="00A320E7" w:rsidRPr="00B70B6D">
        <w:t>att i 90 % av besluten och i 70 </w:t>
      </w:r>
      <w:r w:rsidRPr="00B70B6D">
        <w:t>% av det totala antalet lägenheter har tillstånd lämnats.</w:t>
      </w:r>
    </w:p>
    <w:p w:rsidR="00B2508D" w:rsidRPr="00B70B6D" w:rsidRDefault="00B2508D">
      <w:pPr>
        <w:pStyle w:val="Normaltindrag"/>
        <w:shd w:val="clear" w:color="000000" w:fill="auto"/>
      </w:pPr>
      <w:r w:rsidRPr="00B70B6D">
        <w:t>I förarbetena till lagen förutsatte bostadsutskottet en restriktiv tolkning i samband med tillståndsprövningen. En genomgång av tillståndsbeslut tyder dock på att länsstyrelserna inte alltid varit restriktiva i sin bedömning. Det verkar som om de många gånger har handlat på ett pragmatiskt sätt och lagt större vikt vid skälen för försäljningen än vid bruksvärdesprövning och hyre</w:t>
      </w:r>
      <w:r w:rsidRPr="00B70B6D">
        <w:t>s</w:t>
      </w:r>
      <w:r w:rsidRPr="00B70B6D">
        <w:t>förhandlingar. Regeringen bör utreda hur lagstiftningen kan skärpas i sa</w:t>
      </w:r>
      <w:r w:rsidRPr="00B70B6D">
        <w:t>m</w:t>
      </w:r>
      <w:r w:rsidRPr="00B70B6D">
        <w:t>band med tillståndsprövning vid utförsäljning av allmännyttiga bostäder.</w:t>
      </w:r>
      <w:r w:rsidR="00A320E7" w:rsidRPr="00B70B6D">
        <w:t xml:space="preserve"> </w:t>
      </w:r>
      <w:r w:rsidRPr="00B70B6D">
        <w:t>Detta bör riksdagen som sin mening ge regeringen till känna.</w:t>
      </w:r>
    </w:p>
    <w:p w:rsidR="00A71F5C" w:rsidRPr="00B70B6D" w:rsidRDefault="00A71F5C">
      <w:pPr>
        <w:pStyle w:val="Rubrik2"/>
        <w:shd w:val="clear" w:color="000000" w:fill="auto"/>
      </w:pPr>
      <w:bookmarkStart w:id="84" w:name="_Toc149132733"/>
      <w:bookmarkStart w:id="85" w:name="_Toc149132745"/>
      <w:bookmarkStart w:id="86" w:name="_Toc149132916"/>
      <w:bookmarkStart w:id="87" w:name="_Toc149644446"/>
      <w:bookmarkStart w:id="88" w:name="_Toc149647105"/>
      <w:bookmarkStart w:id="89" w:name="_Toc149900996"/>
      <w:bookmarkStart w:id="90" w:name="_Toc149901085"/>
      <w:bookmarkStart w:id="91" w:name="_Toc149901155"/>
      <w:bookmarkStart w:id="92" w:name="_Toc151511539"/>
      <w:r w:rsidRPr="00B70B6D">
        <w:t>Hyresgästinflytandet vid försäljningar</w:t>
      </w:r>
      <w:bookmarkEnd w:id="84"/>
      <w:bookmarkEnd w:id="85"/>
      <w:bookmarkEnd w:id="86"/>
      <w:bookmarkEnd w:id="87"/>
      <w:bookmarkEnd w:id="88"/>
      <w:bookmarkEnd w:id="89"/>
      <w:bookmarkEnd w:id="90"/>
      <w:bookmarkEnd w:id="91"/>
      <w:bookmarkEnd w:id="92"/>
    </w:p>
    <w:p w:rsidR="00A320E7" w:rsidRPr="00B70B6D" w:rsidRDefault="00A71F5C">
      <w:pPr>
        <w:shd w:val="clear" w:color="000000" w:fill="auto"/>
      </w:pPr>
      <w:r w:rsidRPr="00B70B6D">
        <w:t>Många hyresgäster har valt allmännyttan som sitt boendealternativ av ideol</w:t>
      </w:r>
      <w:r w:rsidRPr="00B70B6D">
        <w:t>o</w:t>
      </w:r>
      <w:r w:rsidRPr="00B70B6D">
        <w:t>giska skäl. Vid en eventuell försäljning av allmännyttan ställs både hyresgä</w:t>
      </w:r>
      <w:r w:rsidRPr="00B70B6D">
        <w:t>s</w:t>
      </w:r>
      <w:r w:rsidRPr="00B70B6D">
        <w:t>terna och Hyresgästföreningen många gånger inför färdiga planer om försäl</w:t>
      </w:r>
      <w:r w:rsidRPr="00B70B6D">
        <w:t>j</w:t>
      </w:r>
      <w:r w:rsidRPr="00B70B6D">
        <w:t>ning, där det enda som återstår är ett beslut från kommunfullmäktige.</w:t>
      </w:r>
    </w:p>
    <w:p w:rsidR="00A71F5C" w:rsidRPr="00B70B6D" w:rsidRDefault="00A71F5C">
      <w:pPr>
        <w:pStyle w:val="Normaltindrag"/>
        <w:shd w:val="clear" w:color="000000" w:fill="auto"/>
      </w:pPr>
      <w:r w:rsidRPr="00B70B6D">
        <w:t>Vi menar att ett allmännyttigt kommunalt bostadsbolag i ett tidigt skede bör ha en underrättelseskyldighet till berörda hyresgäster om att ägaren (dvs. kommunen) har för avsikt att avyttra delar av sitt fastighetsbe</w:t>
      </w:r>
      <w:r w:rsidR="00A320E7" w:rsidRPr="00B70B6D">
        <w:t>stånd. Den prövning som finns i </w:t>
      </w:r>
      <w:r w:rsidRPr="00B70B6D">
        <w:t>dag (innan försäljningen kan godkännas och där Hyre</w:t>
      </w:r>
      <w:r w:rsidRPr="00B70B6D">
        <w:t>s</w:t>
      </w:r>
      <w:r w:rsidRPr="00B70B6D">
        <w:t>gästföreningen får yttra sig) behandlar endast frågan om försäljningen är förenlig med bruksvärdesprincipen eller ej. Den förhåller sig inte på något sätt till vad hyresgästerna tycker om försäljningen eller om det finns andra alte</w:t>
      </w:r>
      <w:r w:rsidRPr="00B70B6D">
        <w:t>r</w:t>
      </w:r>
      <w:r w:rsidRPr="00B70B6D">
        <w:t>nativ. Det är rimligt att hyresgästerna ges möjlighet att ifrågasätta en försäl</w:t>
      </w:r>
      <w:r w:rsidRPr="00B70B6D">
        <w:t>j</w:t>
      </w:r>
      <w:r w:rsidRPr="00B70B6D">
        <w:t>ning och eventuellt redovisa alternativa lösningar. Regeringen bör återkomma till riksdagen med förslag om införande av ett slags ”MBL-inflytande” i sa</w:t>
      </w:r>
      <w:r w:rsidRPr="00B70B6D">
        <w:t>m</w:t>
      </w:r>
      <w:r w:rsidRPr="00B70B6D">
        <w:t>band med utförsäljning av allmännyttiga bostäder.</w:t>
      </w:r>
      <w:r w:rsidR="00A320E7" w:rsidRPr="00B70B6D">
        <w:t xml:space="preserve"> </w:t>
      </w:r>
      <w:r w:rsidRPr="00B70B6D">
        <w:t>Detta bör riksdagen som sin mening ge regeringen till känna.</w:t>
      </w:r>
    </w:p>
    <w:p w:rsidR="00AD2EBC" w:rsidRPr="00B70B6D" w:rsidRDefault="00AD2EBC">
      <w:pPr>
        <w:pStyle w:val="Rubrik1"/>
        <w:shd w:val="clear" w:color="000000" w:fill="auto"/>
      </w:pPr>
      <w:bookmarkStart w:id="93" w:name="_Toc115245882"/>
      <w:bookmarkStart w:id="94" w:name="_Toc115691167"/>
      <w:bookmarkStart w:id="95" w:name="_Toc115691181"/>
      <w:bookmarkStart w:id="96" w:name="_Toc115691194"/>
      <w:bookmarkStart w:id="97" w:name="_Toc116019591"/>
      <w:bookmarkStart w:id="98" w:name="_Toc149132731"/>
      <w:bookmarkStart w:id="99" w:name="_Toc149132743"/>
      <w:bookmarkStart w:id="100" w:name="_Toc149132914"/>
      <w:bookmarkStart w:id="101" w:name="_Toc149644447"/>
      <w:bookmarkStart w:id="102" w:name="_Toc149647106"/>
      <w:bookmarkStart w:id="103" w:name="_Toc149900997"/>
      <w:bookmarkStart w:id="104" w:name="_Toc149901086"/>
      <w:bookmarkStart w:id="105" w:name="_Toc149901156"/>
      <w:bookmarkStart w:id="106" w:name="_Toc151511540"/>
      <w:bookmarkEnd w:id="93"/>
      <w:bookmarkEnd w:id="94"/>
      <w:bookmarkEnd w:id="95"/>
      <w:bookmarkEnd w:id="96"/>
      <w:bookmarkEnd w:id="97"/>
      <w:r w:rsidRPr="00B70B6D">
        <w:t>Påtaglighetsrekvisitet</w:t>
      </w:r>
      <w:bookmarkEnd w:id="98"/>
      <w:bookmarkEnd w:id="99"/>
      <w:bookmarkEnd w:id="100"/>
      <w:bookmarkEnd w:id="101"/>
      <w:bookmarkEnd w:id="102"/>
      <w:bookmarkEnd w:id="103"/>
      <w:bookmarkEnd w:id="104"/>
      <w:bookmarkEnd w:id="105"/>
      <w:bookmarkEnd w:id="106"/>
    </w:p>
    <w:p w:rsidR="00AD2EBC" w:rsidRPr="00B70B6D" w:rsidRDefault="00AD2EBC">
      <w:pPr>
        <w:shd w:val="clear" w:color="000000" w:fill="auto"/>
        <w:rPr>
          <w:szCs w:val="24"/>
        </w:rPr>
      </w:pPr>
      <w:r w:rsidRPr="00B70B6D">
        <w:rPr>
          <w:szCs w:val="24"/>
        </w:rPr>
        <w:t>I ekonomiskt avseende har allmännyttan inte längre några fördelar gentemot privata fastighetsägare</w:t>
      </w:r>
      <w:r w:rsidR="00BC24FF" w:rsidRPr="00B70B6D">
        <w:rPr>
          <w:szCs w:val="24"/>
        </w:rPr>
        <w:t>. S</w:t>
      </w:r>
      <w:r w:rsidRPr="00B70B6D">
        <w:rPr>
          <w:szCs w:val="24"/>
        </w:rPr>
        <w:t>killnader</w:t>
      </w:r>
      <w:r w:rsidR="00BC24FF" w:rsidRPr="00B70B6D">
        <w:rPr>
          <w:szCs w:val="24"/>
        </w:rPr>
        <w:t>na</w:t>
      </w:r>
      <w:r w:rsidRPr="00B70B6D">
        <w:rPr>
          <w:szCs w:val="24"/>
        </w:rPr>
        <w:t xml:space="preserve"> för kommunala bostadsbolag, som n</w:t>
      </w:r>
      <w:r w:rsidRPr="00B70B6D">
        <w:rPr>
          <w:szCs w:val="24"/>
        </w:rPr>
        <w:t>u</w:t>
      </w:r>
      <w:r w:rsidRPr="00B70B6D">
        <w:rPr>
          <w:szCs w:val="24"/>
        </w:rPr>
        <w:t>mera alla betraktas som allmännyttiga</w:t>
      </w:r>
      <w:r w:rsidR="00BC24FF" w:rsidRPr="00B70B6D">
        <w:rPr>
          <w:szCs w:val="24"/>
        </w:rPr>
        <w:t>,</w:t>
      </w:r>
      <w:r w:rsidRPr="00B70B6D">
        <w:rPr>
          <w:szCs w:val="24"/>
        </w:rPr>
        <w:t xml:space="preserve"> </w:t>
      </w:r>
      <w:r w:rsidR="00BC24FF" w:rsidRPr="00B70B6D">
        <w:rPr>
          <w:spacing w:val="-4"/>
          <w:szCs w:val="24"/>
        </w:rPr>
        <w:t>består främst i att</w:t>
      </w:r>
      <w:r w:rsidR="00BC24FF" w:rsidRPr="00B70B6D">
        <w:rPr>
          <w:spacing w:val="-2"/>
          <w:szCs w:val="24"/>
        </w:rPr>
        <w:t xml:space="preserve"> de är hyresledande </w:t>
      </w:r>
      <w:r w:rsidRPr="00B70B6D">
        <w:rPr>
          <w:szCs w:val="24"/>
        </w:rPr>
        <w:t>och måste följa lagen om offentlig upphandling.</w:t>
      </w:r>
      <w:r w:rsidR="00BC24FF" w:rsidRPr="00B70B6D">
        <w:rPr>
          <w:szCs w:val="24"/>
        </w:rPr>
        <w:t xml:space="preserve"> </w:t>
      </w:r>
      <w:r w:rsidR="00BC24FF" w:rsidRPr="00B70B6D">
        <w:rPr>
          <w:spacing w:val="-2"/>
          <w:szCs w:val="24"/>
        </w:rPr>
        <w:t>Det s.k. påtaglighets</w:t>
      </w:r>
      <w:r w:rsidR="00BC24FF" w:rsidRPr="00B70B6D">
        <w:rPr>
          <w:spacing w:val="-2"/>
          <w:szCs w:val="24"/>
        </w:rPr>
        <w:softHyphen/>
      </w:r>
      <w:r w:rsidR="00BC24FF" w:rsidRPr="00B70B6D">
        <w:rPr>
          <w:spacing w:val="-4"/>
          <w:szCs w:val="24"/>
        </w:rPr>
        <w:t>rekvisitet, som innebär att privata fastighetsägare kan</w:t>
      </w:r>
      <w:r w:rsidR="00BC24FF" w:rsidRPr="00B70B6D">
        <w:rPr>
          <w:szCs w:val="24"/>
        </w:rPr>
        <w:t xml:space="preserve"> </w:t>
      </w:r>
      <w:r w:rsidR="00BC24FF" w:rsidRPr="00B70B6D">
        <w:rPr>
          <w:spacing w:val="-2"/>
          <w:szCs w:val="24"/>
        </w:rPr>
        <w:t>ta ut en ca 10</w:t>
      </w:r>
      <w:r w:rsidR="00A320E7" w:rsidRPr="00B70B6D">
        <w:rPr>
          <w:spacing w:val="-2"/>
          <w:szCs w:val="24"/>
        </w:rPr>
        <w:t> </w:t>
      </w:r>
      <w:r w:rsidR="00BC24FF" w:rsidRPr="00B70B6D">
        <w:rPr>
          <w:spacing w:val="-2"/>
          <w:szCs w:val="24"/>
        </w:rPr>
        <w:t>% högre hyra än al</w:t>
      </w:r>
      <w:r w:rsidR="00BC24FF" w:rsidRPr="00B70B6D">
        <w:rPr>
          <w:spacing w:val="-2"/>
          <w:szCs w:val="24"/>
        </w:rPr>
        <w:t>l</w:t>
      </w:r>
      <w:r w:rsidR="00BC24FF" w:rsidRPr="00B70B6D">
        <w:rPr>
          <w:spacing w:val="-2"/>
          <w:szCs w:val="24"/>
        </w:rPr>
        <w:t>männyttan, har därför</w:t>
      </w:r>
      <w:r w:rsidR="00BC24FF" w:rsidRPr="00B70B6D">
        <w:rPr>
          <w:szCs w:val="24"/>
        </w:rPr>
        <w:t xml:space="preserve"> inte längre någon logisk giltighet och bör avskaffas.</w:t>
      </w:r>
      <w:r w:rsidR="00A320E7" w:rsidRPr="00B70B6D">
        <w:rPr>
          <w:szCs w:val="24"/>
        </w:rPr>
        <w:t xml:space="preserve"> </w:t>
      </w:r>
      <w:r w:rsidRPr="00B70B6D">
        <w:rPr>
          <w:szCs w:val="24"/>
        </w:rPr>
        <w:t>Detta bör riksdagen som sin mening ge regeringen till känna.</w:t>
      </w:r>
    </w:p>
    <w:p w:rsidR="00AD2EBC" w:rsidRPr="00B70B6D" w:rsidRDefault="00AD2EBC">
      <w:pPr>
        <w:pStyle w:val="Rubrik1"/>
        <w:shd w:val="clear" w:color="000000" w:fill="auto"/>
      </w:pPr>
      <w:bookmarkStart w:id="107" w:name="_Toc115245883"/>
      <w:bookmarkStart w:id="108" w:name="_Toc115691168"/>
      <w:bookmarkStart w:id="109" w:name="_Toc115691182"/>
      <w:bookmarkStart w:id="110" w:name="_Toc115691195"/>
      <w:bookmarkStart w:id="111" w:name="_Toc116019592"/>
      <w:bookmarkStart w:id="112" w:name="_Toc149132732"/>
      <w:bookmarkStart w:id="113" w:name="_Toc149132744"/>
      <w:bookmarkStart w:id="114" w:name="_Toc149132915"/>
      <w:bookmarkStart w:id="115" w:name="_Toc149644448"/>
      <w:bookmarkStart w:id="116" w:name="_Toc149647107"/>
      <w:bookmarkStart w:id="117" w:name="_Toc149900998"/>
      <w:bookmarkStart w:id="118" w:name="_Toc149901087"/>
      <w:bookmarkStart w:id="119" w:name="_Toc149901157"/>
      <w:bookmarkStart w:id="120" w:name="_Toc151511541"/>
      <w:bookmarkEnd w:id="107"/>
      <w:bookmarkEnd w:id="108"/>
      <w:bookmarkEnd w:id="109"/>
      <w:bookmarkEnd w:id="110"/>
      <w:bookmarkEnd w:id="111"/>
      <w:r w:rsidRPr="00B70B6D">
        <w:t>Självkostnadsprincipen</w:t>
      </w:r>
      <w:bookmarkEnd w:id="112"/>
      <w:bookmarkEnd w:id="113"/>
      <w:bookmarkEnd w:id="114"/>
      <w:bookmarkEnd w:id="115"/>
      <w:bookmarkEnd w:id="116"/>
      <w:bookmarkEnd w:id="117"/>
      <w:bookmarkEnd w:id="118"/>
      <w:bookmarkEnd w:id="119"/>
      <w:bookmarkEnd w:id="120"/>
    </w:p>
    <w:p w:rsidR="00AD2EBC" w:rsidRPr="00B70B6D" w:rsidRDefault="00AD2EBC">
      <w:pPr>
        <w:shd w:val="clear" w:color="000000" w:fill="auto"/>
      </w:pPr>
      <w:r w:rsidRPr="00B70B6D">
        <w:t>Självkostnadsprincipen innebär att kommuner inte får ta ut högre avgifter än vad som svarar mot kommunens kostnader för just den speciella verksamh</w:t>
      </w:r>
      <w:r w:rsidRPr="00B70B6D">
        <w:t>e</w:t>
      </w:r>
      <w:r w:rsidRPr="00B70B6D">
        <w:t xml:space="preserve">ten. Den innebär också att eventuella överskott som genereras </w:t>
      </w:r>
      <w:r w:rsidR="000765A4" w:rsidRPr="00B70B6D">
        <w:t>ska</w:t>
      </w:r>
      <w:r w:rsidRPr="00B70B6D">
        <w:t xml:space="preserve"> stanna kvar i verksamheten. Det råder förvirring om huruvida allmännyttiga bostadsbolag drivs enligt självkostnadsprincipen eller inte. Det framstår som obegripligt att en lagstiftning – hyres- och hyresförhandlingslagen – bygger på att de al</w:t>
      </w:r>
      <w:r w:rsidRPr="00B70B6D">
        <w:t>l</w:t>
      </w:r>
      <w:r w:rsidRPr="00B70B6D">
        <w:t xml:space="preserve">männyttiga kommunala bostadsföretagen </w:t>
      </w:r>
      <w:r w:rsidR="000765A4" w:rsidRPr="00B70B6D">
        <w:t>ska</w:t>
      </w:r>
      <w:r w:rsidRPr="00B70B6D">
        <w:t xml:space="preserve"> verka enligt självkostnadspri</w:t>
      </w:r>
      <w:r w:rsidRPr="00B70B6D">
        <w:t>n</w:t>
      </w:r>
      <w:r w:rsidRPr="00B70B6D">
        <w:t xml:space="preserve">cipen och att kommunallagen samtidigt säger att de inte </w:t>
      </w:r>
      <w:r w:rsidR="000765A4" w:rsidRPr="00B70B6D">
        <w:t>ska</w:t>
      </w:r>
      <w:r w:rsidRPr="00B70B6D">
        <w:t xml:space="preserve"> göra detta.</w:t>
      </w:r>
    </w:p>
    <w:p w:rsidR="00A320E7" w:rsidRPr="00B70B6D" w:rsidRDefault="00AD2EBC">
      <w:pPr>
        <w:pStyle w:val="Normaltindrag"/>
        <w:shd w:val="clear" w:color="000000" w:fill="auto"/>
      </w:pPr>
      <w:r w:rsidRPr="00B70B6D">
        <w:t>I samband med bruksvärdets införande uttalades i förarbetena till propos</w:t>
      </w:r>
      <w:r w:rsidRPr="00B70B6D">
        <w:t>i</w:t>
      </w:r>
      <w:r w:rsidRPr="00B70B6D">
        <w:t xml:space="preserve">tion </w:t>
      </w:r>
      <w:r w:rsidR="00A320E7" w:rsidRPr="00B70B6D">
        <w:t>(prop. </w:t>
      </w:r>
      <w:r w:rsidRPr="00B70B6D">
        <w:t>1968:91</w:t>
      </w:r>
      <w:r w:rsidR="00A320E7" w:rsidRPr="00B70B6D">
        <w:t>)</w:t>
      </w:r>
      <w:r w:rsidRPr="00B70B6D">
        <w:t xml:space="preserve"> att de allmännyttiga företagen </w:t>
      </w:r>
      <w:r w:rsidR="000765A4" w:rsidRPr="00B70B6D">
        <w:t>ska</w:t>
      </w:r>
      <w:r w:rsidRPr="00B70B6D">
        <w:t xml:space="preserve"> tillämpa självkos</w:t>
      </w:r>
      <w:r w:rsidRPr="00B70B6D">
        <w:t>t</w:t>
      </w:r>
      <w:r w:rsidRPr="00B70B6D">
        <w:t>nadsprincipen, vilket innebär att hyrorna sätts så att de på lång sikt täcker de faktiska kostnaderna. Härigenom garanteras att det inte förekommer oskäliga hyror</w:t>
      </w:r>
      <w:r w:rsidR="00C8122E" w:rsidRPr="00B70B6D">
        <w:t>.</w:t>
      </w:r>
    </w:p>
    <w:p w:rsidR="00AD2EBC" w:rsidRPr="00B70B6D" w:rsidRDefault="00AD2EBC">
      <w:pPr>
        <w:pStyle w:val="Normaltindrag"/>
        <w:shd w:val="clear" w:color="000000" w:fill="auto"/>
      </w:pPr>
      <w:r w:rsidRPr="00B70B6D">
        <w:t>På den allmännyttiga sektorn används en annan förhandlingsmetod. Hyre</w:t>
      </w:r>
      <w:r w:rsidRPr="00B70B6D">
        <w:t>s</w:t>
      </w:r>
      <w:r w:rsidRPr="00B70B6D">
        <w:t>läget för det allmännyttiga lägenhetsbeståndet fastställs med utgångspunkt i respektive bostadsföretags självkostnad. Till grund för hyresförhandlingarna ligger en av bostadsföretaget upprättad hyreskalkyl, som innehåller uppgifter om företagets självkostnader för kapital, underhåll och drift. På grundval av kalkylen försöker parterna komma överens om hur stora företagets samma</w:t>
      </w:r>
      <w:r w:rsidRPr="00B70B6D">
        <w:t>n</w:t>
      </w:r>
      <w:r w:rsidRPr="00B70B6D">
        <w:t xml:space="preserve">lagda kostnader för bostäder </w:t>
      </w:r>
      <w:r w:rsidR="000765A4" w:rsidRPr="00B70B6D">
        <w:t>ska</w:t>
      </w:r>
      <w:r w:rsidRPr="00B70B6D">
        <w:t xml:space="preserve"> anses vara under den tid, vanligen ett år, som de nya hyrorna </w:t>
      </w:r>
      <w:r w:rsidR="000765A4" w:rsidRPr="00B70B6D">
        <w:t>ska</w:t>
      </w:r>
      <w:r w:rsidRPr="00B70B6D">
        <w:t xml:space="preserve"> gälla.</w:t>
      </w:r>
    </w:p>
    <w:p w:rsidR="00AD2EBC" w:rsidRPr="00B70B6D" w:rsidRDefault="00AD2EBC">
      <w:pPr>
        <w:pStyle w:val="Normaltindrag"/>
        <w:shd w:val="clear" w:color="000000" w:fill="auto"/>
      </w:pPr>
      <w:r w:rsidRPr="00B70B6D">
        <w:t>Många kommuner frångår på olika sätt dessa regler och använder bostad</w:t>
      </w:r>
      <w:r w:rsidRPr="00B70B6D">
        <w:t>s</w:t>
      </w:r>
      <w:r w:rsidRPr="00B70B6D">
        <w:t>bolagen till annan verksamhet. Hyresgästerna får på så sätt betala skatt två gånger, dels genom kommunalskatten, dels genom hyran.</w:t>
      </w:r>
    </w:p>
    <w:p w:rsidR="00AD2EBC" w:rsidRPr="00B70B6D" w:rsidRDefault="00AD2EBC">
      <w:pPr>
        <w:pStyle w:val="Normaltindrag"/>
        <w:shd w:val="clear" w:color="000000" w:fill="auto"/>
      </w:pPr>
      <w:r w:rsidRPr="00B70B6D">
        <w:t>De vanligaste sätten att kringgå sjä</w:t>
      </w:r>
      <w:r w:rsidR="005A1CBC" w:rsidRPr="00B70B6D">
        <w:t>lvkostnadsprincipen är följande.</w:t>
      </w:r>
    </w:p>
    <w:p w:rsidR="00AD2EBC" w:rsidRPr="00B70B6D" w:rsidRDefault="00AD2EBC">
      <w:pPr>
        <w:pStyle w:val="PunktlistaBomb"/>
        <w:shd w:val="clear" w:color="000000" w:fill="auto"/>
        <w:tabs>
          <w:tab w:val="clear" w:pos="360"/>
        </w:tabs>
      </w:pPr>
      <w:r w:rsidRPr="00B70B6D">
        <w:t xml:space="preserve">Kommuner ålägger i ägardirektiv bolag orimliga </w:t>
      </w:r>
      <w:r w:rsidR="00A320E7" w:rsidRPr="00B70B6D">
        <w:t>avkastnings- och utde</w:t>
      </w:r>
      <w:r w:rsidR="00A320E7" w:rsidRPr="00B70B6D">
        <w:t>l</w:t>
      </w:r>
      <w:r w:rsidR="00A320E7" w:rsidRPr="00B70B6D">
        <w:t>ningskrav</w:t>
      </w:r>
      <w:r w:rsidR="00A330C0" w:rsidRPr="00B70B6D">
        <w:t>.</w:t>
      </w:r>
    </w:p>
    <w:p w:rsidR="00AD2EBC" w:rsidRPr="00B70B6D" w:rsidRDefault="00AD2EBC">
      <w:pPr>
        <w:pStyle w:val="PunktlistaBomb"/>
        <w:shd w:val="clear" w:color="000000" w:fill="auto"/>
        <w:tabs>
          <w:tab w:val="clear" w:pos="360"/>
        </w:tabs>
        <w:spacing w:before="0"/>
      </w:pPr>
      <w:r w:rsidRPr="00B70B6D">
        <w:t>Kommuner beslu</w:t>
      </w:r>
      <w:r w:rsidR="00A320E7" w:rsidRPr="00B70B6D">
        <w:t>tar om orimliga borgensavgifter</w:t>
      </w:r>
      <w:r w:rsidR="005A1CBC" w:rsidRPr="00B70B6D">
        <w:t>.</w:t>
      </w:r>
    </w:p>
    <w:p w:rsidR="00AD2EBC" w:rsidRPr="00B70B6D" w:rsidRDefault="00AD2EBC">
      <w:pPr>
        <w:pStyle w:val="PunktlistaBomb"/>
        <w:shd w:val="clear" w:color="000000" w:fill="auto"/>
        <w:tabs>
          <w:tab w:val="clear" w:pos="360"/>
        </w:tabs>
        <w:spacing w:before="0"/>
      </w:pPr>
      <w:r w:rsidRPr="00B70B6D">
        <w:t>Kommuner överlåter bostadsföretag till ett annat kommunalt bolag som finansierar förvärvet med</w:t>
      </w:r>
      <w:r w:rsidR="00A320E7" w:rsidRPr="00B70B6D">
        <w:t xml:space="preserve"> räntebärande lån från kommunen</w:t>
      </w:r>
      <w:r w:rsidR="005A1CBC" w:rsidRPr="00B70B6D">
        <w:t>.</w:t>
      </w:r>
    </w:p>
    <w:p w:rsidR="00AD2EBC" w:rsidRPr="00B70B6D" w:rsidRDefault="00AD2EBC">
      <w:pPr>
        <w:pStyle w:val="PunktlistaBomb"/>
        <w:shd w:val="clear" w:color="000000" w:fill="auto"/>
        <w:tabs>
          <w:tab w:val="clear" w:pos="360"/>
        </w:tabs>
        <w:spacing w:before="0"/>
      </w:pPr>
      <w:r w:rsidRPr="00B70B6D">
        <w:t>Utökning av bolagets aktiekapital på felaktig grund sker i det uppenbara syftet att tillförsäkra kommunen en högre utdelning på insatt kapital.</w:t>
      </w:r>
    </w:p>
    <w:p w:rsidR="00AD2EBC" w:rsidRPr="00B70B6D" w:rsidRDefault="00AD2EBC">
      <w:pPr>
        <w:shd w:val="clear" w:color="000000" w:fill="auto"/>
      </w:pPr>
      <w:r w:rsidRPr="00B70B6D">
        <w:t xml:space="preserve">Hyresförhandlingar </w:t>
      </w:r>
      <w:r w:rsidR="000765A4" w:rsidRPr="00B70B6D">
        <w:t>ska</w:t>
      </w:r>
      <w:r w:rsidRPr="00B70B6D">
        <w:t xml:space="preserve"> inte leda till hyreshöjningar för hyresgästerna som kan härledas till kommunens önskemål om ekonomisk avkastning. Utgång</w:t>
      </w:r>
      <w:r w:rsidRPr="00B70B6D">
        <w:t>s</w:t>
      </w:r>
      <w:r w:rsidRPr="00B70B6D">
        <w:t xml:space="preserve">punkten för förhandlingarna </w:t>
      </w:r>
      <w:r w:rsidR="000765A4" w:rsidRPr="00B70B6D">
        <w:t>ska</w:t>
      </w:r>
      <w:r w:rsidR="00A320E7" w:rsidRPr="00B70B6D">
        <w:t xml:space="preserve"> i </w:t>
      </w:r>
      <w:r w:rsidRPr="00B70B6D">
        <w:t>stället vara att nå en överenskommelse utifrån varje bostadsföretags självkostnader. Om ingenting görs</w:t>
      </w:r>
      <w:r w:rsidR="005A1CBC" w:rsidRPr="00B70B6D">
        <w:t xml:space="preserve"> </w:t>
      </w:r>
      <w:r w:rsidRPr="00B70B6D">
        <w:t>är risken stor att alltfler förhandlingar kommer att stranda och att hyresnämnderna i större utsträckning kommer att belastas med hyrestvister. De kommunala bostadsb</w:t>
      </w:r>
      <w:r w:rsidRPr="00B70B6D">
        <w:t>o</w:t>
      </w:r>
      <w:r w:rsidRPr="00B70B6D">
        <w:t>lagens roll på många orter kommer att ifrågasättas och därmed ifrågasätts hela bruksvärdessystemets legitimitet.</w:t>
      </w:r>
    </w:p>
    <w:p w:rsidR="00F41898" w:rsidRPr="00B70B6D" w:rsidRDefault="00AD2EBC">
      <w:pPr>
        <w:pStyle w:val="Normaltindrag"/>
        <w:shd w:val="clear" w:color="000000" w:fill="auto"/>
      </w:pPr>
      <w:r w:rsidRPr="00B70B6D">
        <w:t xml:space="preserve">Självkostnadsprincipen bör därför skrivas in i </w:t>
      </w:r>
      <w:r w:rsidR="005A1CBC" w:rsidRPr="00B70B6D">
        <w:t xml:space="preserve">allbolagen </w:t>
      </w:r>
      <w:r w:rsidRPr="00B70B6D">
        <w:t>som en princip för allmännyttiga kommunala bostadsbolag. Regeringen bör därför snabbt tillsätta en utredning i frågan om självkostnadsprincipen och återkomma till riksdagen med ett lagstiftningsförslag som även förhåller sig till hyreslagen och hyresförhandlingslagen.</w:t>
      </w:r>
      <w:r w:rsidR="00A320E7" w:rsidRPr="00B70B6D">
        <w:t xml:space="preserve"> </w:t>
      </w:r>
      <w:r w:rsidRPr="00B70B6D">
        <w:t>Detta bör riksdagen som sin mening ge regerin</w:t>
      </w:r>
      <w:r w:rsidRPr="00B70B6D">
        <w:t>g</w:t>
      </w:r>
      <w:r w:rsidRPr="00B70B6D">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B6D">
        <w:trPr>
          <w:cantSplit/>
        </w:trPr>
        <w:tc>
          <w:tcPr>
            <w:tcW w:w="3046" w:type="dxa"/>
          </w:tcPr>
          <w:p w:rsidR="008241DF" w:rsidRPr="00B70B6D" w:rsidRDefault="008241DF">
            <w:pPr>
              <w:pStyle w:val="UnderskriftDatum"/>
              <w:shd w:val="clear" w:color="000000" w:fill="auto"/>
              <w:spacing w:before="240"/>
            </w:pPr>
            <w:r w:rsidRPr="00B70B6D">
              <w:t>Stockholm den 27 oktober 2006</w:t>
            </w:r>
          </w:p>
        </w:tc>
        <w:tc>
          <w:tcPr>
            <w:tcW w:w="3047" w:type="dxa"/>
          </w:tcPr>
          <w:p w:rsidR="008241DF" w:rsidRPr="00B70B6D" w:rsidRDefault="008241DF">
            <w:pPr>
              <w:pStyle w:val="Underskrifter"/>
              <w:shd w:val="clear" w:color="000000" w:fill="auto"/>
              <w:spacing w:before="240"/>
            </w:pPr>
          </w:p>
        </w:tc>
      </w:tr>
      <w:tr w:rsidR="00000000" w:rsidRPr="00B70B6D">
        <w:trPr>
          <w:cantSplit/>
        </w:trPr>
        <w:tc>
          <w:tcPr>
            <w:tcW w:w="3046" w:type="dxa"/>
          </w:tcPr>
          <w:p w:rsidR="008241DF" w:rsidRPr="00B70B6D" w:rsidRDefault="008241DF">
            <w:pPr>
              <w:pStyle w:val="Underskrifter"/>
              <w:shd w:val="clear" w:color="000000" w:fill="auto"/>
            </w:pPr>
            <w:r w:rsidRPr="00B70B6D">
              <w:t>Egon Frid (v)</w:t>
            </w:r>
          </w:p>
        </w:tc>
        <w:tc>
          <w:tcPr>
            <w:tcW w:w="3046" w:type="dxa"/>
          </w:tcPr>
          <w:p w:rsidR="008241DF" w:rsidRPr="00B70B6D" w:rsidRDefault="008241DF">
            <w:pPr>
              <w:pStyle w:val="Underskrifter"/>
              <w:shd w:val="clear" w:color="000000" w:fill="auto"/>
            </w:pPr>
          </w:p>
        </w:tc>
      </w:tr>
      <w:tr w:rsidR="00000000" w:rsidRPr="00B70B6D">
        <w:trPr>
          <w:cantSplit/>
        </w:trPr>
        <w:tc>
          <w:tcPr>
            <w:tcW w:w="3046" w:type="dxa"/>
          </w:tcPr>
          <w:p w:rsidR="008241DF" w:rsidRPr="00B70B6D" w:rsidRDefault="008241DF">
            <w:pPr>
              <w:pStyle w:val="Underskrifter"/>
              <w:shd w:val="clear" w:color="000000" w:fill="auto"/>
            </w:pPr>
            <w:r w:rsidRPr="00B70B6D">
              <w:t>Torbjörn Björlund (v)</w:t>
            </w:r>
          </w:p>
        </w:tc>
        <w:tc>
          <w:tcPr>
            <w:tcW w:w="3046" w:type="dxa"/>
          </w:tcPr>
          <w:p w:rsidR="008241DF" w:rsidRPr="00B70B6D" w:rsidRDefault="008241DF">
            <w:pPr>
              <w:pStyle w:val="Underskrifter"/>
              <w:shd w:val="clear" w:color="000000" w:fill="auto"/>
            </w:pPr>
            <w:r w:rsidRPr="00B70B6D">
              <w:t>Rossana Dinamarca (v)</w:t>
            </w:r>
          </w:p>
        </w:tc>
      </w:tr>
      <w:tr w:rsidR="00000000" w:rsidRPr="00B70B6D">
        <w:trPr>
          <w:cantSplit/>
        </w:trPr>
        <w:tc>
          <w:tcPr>
            <w:tcW w:w="3046" w:type="dxa"/>
          </w:tcPr>
          <w:p w:rsidR="008241DF" w:rsidRPr="00B70B6D" w:rsidRDefault="008241DF">
            <w:pPr>
              <w:pStyle w:val="Underskrifter"/>
              <w:shd w:val="clear" w:color="000000" w:fill="auto"/>
            </w:pPr>
            <w:r w:rsidRPr="00B70B6D">
              <w:t>Siv Holma (v)</w:t>
            </w:r>
          </w:p>
        </w:tc>
        <w:tc>
          <w:tcPr>
            <w:tcW w:w="3046" w:type="dxa"/>
          </w:tcPr>
          <w:p w:rsidR="008241DF" w:rsidRPr="00B70B6D" w:rsidRDefault="008241DF">
            <w:pPr>
              <w:pStyle w:val="Underskrifter"/>
              <w:shd w:val="clear" w:color="000000" w:fill="auto"/>
            </w:pPr>
            <w:r w:rsidRPr="00B70B6D">
              <w:t>Elina Linna (v)</w:t>
            </w:r>
          </w:p>
        </w:tc>
      </w:tr>
      <w:tr w:rsidR="00000000" w:rsidRPr="00B70B6D">
        <w:trPr>
          <w:cantSplit/>
        </w:trPr>
        <w:tc>
          <w:tcPr>
            <w:tcW w:w="3046" w:type="dxa"/>
          </w:tcPr>
          <w:p w:rsidR="008241DF" w:rsidRPr="00B70B6D" w:rsidRDefault="008241DF">
            <w:pPr>
              <w:pStyle w:val="Underskrifter"/>
              <w:shd w:val="clear" w:color="000000" w:fill="auto"/>
            </w:pPr>
            <w:r w:rsidRPr="00B70B6D">
              <w:t>Eva Olofsson (v)</w:t>
            </w:r>
          </w:p>
        </w:tc>
        <w:tc>
          <w:tcPr>
            <w:tcW w:w="3046" w:type="dxa"/>
          </w:tcPr>
          <w:p w:rsidR="008241DF" w:rsidRPr="00B70B6D" w:rsidRDefault="008241DF">
            <w:pPr>
              <w:pStyle w:val="Underskrifter"/>
              <w:shd w:val="clear" w:color="000000" w:fill="auto"/>
            </w:pPr>
            <w:r w:rsidRPr="00B70B6D">
              <w:t>LiseLotte Olsson (v)</w:t>
            </w:r>
          </w:p>
        </w:tc>
      </w:tr>
    </w:tbl>
    <w:p w:rsidR="00AD2EBC" w:rsidRPr="00B70B6D" w:rsidRDefault="00AD2EBC">
      <w:pPr>
        <w:pStyle w:val="Normaltindrag"/>
        <w:shd w:val="clear" w:color="000000" w:fill="auto"/>
      </w:pPr>
    </w:p>
    <w:sectPr w:rsidR="00AD2EBC" w:rsidRPr="00B70B6D" w:rsidSect="005A1C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1DF" w:rsidRPr="00B70B6D" w:rsidRDefault="008241DF">
      <w:r w:rsidRPr="00B70B6D">
        <w:separator/>
      </w:r>
    </w:p>
  </w:endnote>
  <w:endnote w:type="continuationSeparator" w:id="0">
    <w:p w:rsidR="008241DF" w:rsidRPr="00B70B6D" w:rsidRDefault="008241DF">
      <w:r w:rsidRPr="00B70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E" w:rsidRPr="00B70B6D" w:rsidRDefault="00B70B6D" w:rsidP="005A1CBC">
    <w:pPr>
      <w:pStyle w:val="Sidfot"/>
    </w:pPr>
    <w:r w:rsidRPr="00B70B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420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CBC" w:rsidRDefault="008241DF">
                          <w:pPr>
                            <w:pStyle w:val="NormalS5sidnrV"/>
                          </w:pPr>
                          <w:r>
                            <w:fldChar w:fldCharType="begin"/>
                          </w:r>
                          <w:r w:rsidR="005A1C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CBC" w:rsidRDefault="008241DF">
                    <w:pPr>
                      <w:pStyle w:val="NormalS5sidnrV"/>
                    </w:pPr>
                    <w:r>
                      <w:fldChar w:fldCharType="begin"/>
                    </w:r>
                    <w:r w:rsidR="005A1C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E" w:rsidRPr="00B70B6D" w:rsidRDefault="00B70B6D" w:rsidP="005A1CBC">
    <w:pPr>
      <w:pStyle w:val="Sidfot"/>
    </w:pPr>
    <w:r w:rsidRPr="00B70B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18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CBC" w:rsidRDefault="008241DF">
                          <w:pPr>
                            <w:pStyle w:val="NormalS5sidnrH"/>
                            <w:ind w:right="0"/>
                          </w:pPr>
                          <w:r>
                            <w:fldChar w:fldCharType="begin"/>
                          </w:r>
                          <w:r w:rsidR="005A1CBC">
                            <w:instrText xml:space="preserve"> PAGE *\charformat</w:instrText>
                          </w:r>
                          <w:r>
                            <w:fldChar w:fldCharType="separate"/>
                          </w:r>
                          <w:r w:rsidR="0099005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CBC" w:rsidRDefault="008241DF">
                    <w:pPr>
                      <w:pStyle w:val="NormalS5sidnrH"/>
                      <w:ind w:right="0"/>
                    </w:pPr>
                    <w:r>
                      <w:fldChar w:fldCharType="begin"/>
                    </w:r>
                    <w:r w:rsidR="005A1CBC">
                      <w:instrText xml:space="preserve"> PAGE *\charformat</w:instrText>
                    </w:r>
                    <w:r>
                      <w:fldChar w:fldCharType="separate"/>
                    </w:r>
                    <w:r w:rsidR="0099005D">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E" w:rsidRPr="00B70B6D" w:rsidRDefault="00B70B6D" w:rsidP="005A1CBC">
    <w:pPr>
      <w:pStyle w:val="Sidfot"/>
    </w:pPr>
    <w:r w:rsidRPr="00B70B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596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CBC" w:rsidRDefault="008241DF">
                          <w:pPr>
                            <w:pStyle w:val="NormalS5sidnrH"/>
                            <w:ind w:right="0"/>
                          </w:pPr>
                          <w:r>
                            <w:fldChar w:fldCharType="begin"/>
                          </w:r>
                          <w:r w:rsidR="005A1C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CBC" w:rsidRDefault="008241DF">
                    <w:pPr>
                      <w:pStyle w:val="NormalS5sidnrH"/>
                      <w:ind w:right="0"/>
                    </w:pPr>
                    <w:r>
                      <w:fldChar w:fldCharType="begin"/>
                    </w:r>
                    <w:r w:rsidR="005A1C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1DF" w:rsidRPr="00B70B6D" w:rsidRDefault="008241DF">
      <w:r w:rsidRPr="00B70B6D">
        <w:separator/>
      </w:r>
    </w:p>
  </w:footnote>
  <w:footnote w:type="continuationSeparator" w:id="0">
    <w:p w:rsidR="008241DF" w:rsidRPr="00B70B6D" w:rsidRDefault="008241DF">
      <w:r w:rsidRPr="00B70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E" w:rsidRPr="00B70B6D" w:rsidRDefault="00B70B6D" w:rsidP="005A1CBC">
    <w:pPr>
      <w:pStyle w:val="Sidhuvud"/>
    </w:pPr>
    <w:r w:rsidRPr="00B70B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832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CBC" w:rsidRDefault="008241DF">
                          <w:pPr>
                            <w:pStyle w:val="KantRubrikS5V"/>
                          </w:pPr>
                          <w:r>
                            <w:fldChar w:fldCharType="begin"/>
                          </w:r>
                          <w:r w:rsidR="005A1CBC">
                            <w:instrText xml:space="preserve"> DOCPROPERTY "YearUser" *\charformat </w:instrText>
                          </w:r>
                          <w:r>
                            <w:fldChar w:fldCharType="separate"/>
                          </w:r>
                          <w:r w:rsidR="005A1CBC">
                            <w:t>2006/07</w:t>
                          </w:r>
                          <w:r>
                            <w:fldChar w:fldCharType="end"/>
                          </w:r>
                          <w:r w:rsidR="005A1CBC">
                            <w:t>:</w:t>
                          </w:r>
                          <w:r>
                            <w:fldChar w:fldCharType="begin"/>
                          </w:r>
                          <w:r w:rsidR="005A1CBC">
                            <w:instrText xml:space="preserve"> DOCPROPERTY "Motionsnummer" *\charformat </w:instrText>
                          </w:r>
                          <w:r>
                            <w:fldChar w:fldCharType="separate"/>
                          </w:r>
                          <w:r w:rsidR="005A1CBC">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CBC" w:rsidRDefault="008241DF">
                    <w:pPr>
                      <w:pStyle w:val="KantRubrikS5V"/>
                    </w:pPr>
                    <w:r>
                      <w:fldChar w:fldCharType="begin"/>
                    </w:r>
                    <w:r w:rsidR="005A1CBC">
                      <w:instrText xml:space="preserve"> DOCPROPERTY "YearUser" *\charformat </w:instrText>
                    </w:r>
                    <w:r>
                      <w:fldChar w:fldCharType="separate"/>
                    </w:r>
                    <w:r w:rsidR="005A1CBC">
                      <w:t>2006/07</w:t>
                    </w:r>
                    <w:r>
                      <w:fldChar w:fldCharType="end"/>
                    </w:r>
                    <w:r w:rsidR="005A1CBC">
                      <w:t>:</w:t>
                    </w:r>
                    <w:r>
                      <w:fldChar w:fldCharType="begin"/>
                    </w:r>
                    <w:r w:rsidR="005A1CBC">
                      <w:instrText xml:space="preserve"> DOCPROPERTY "Motionsnummer" *\charformat </w:instrText>
                    </w:r>
                    <w:r>
                      <w:fldChar w:fldCharType="separate"/>
                    </w:r>
                    <w:r w:rsidR="005A1CBC">
                      <w:t>C286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F4E" w:rsidRPr="00B70B6D" w:rsidRDefault="00B70B6D" w:rsidP="005A1CBC">
    <w:pPr>
      <w:pStyle w:val="Sidhuvud"/>
    </w:pPr>
    <w:r w:rsidRPr="00B70B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300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CBC" w:rsidRDefault="008241DF">
                          <w:pPr>
                            <w:pStyle w:val="KantRubrikS5H"/>
                            <w:ind w:right="0"/>
                          </w:pPr>
                          <w:r>
                            <w:fldChar w:fldCharType="begin"/>
                          </w:r>
                          <w:r w:rsidR="005A1CBC">
                            <w:instrText xml:space="preserve"> DOCPROPERTY "YearUser" *\charformat </w:instrText>
                          </w:r>
                          <w:r>
                            <w:fldChar w:fldCharType="separate"/>
                          </w:r>
                          <w:r w:rsidR="005A1CBC">
                            <w:t>2006/07</w:t>
                          </w:r>
                          <w:r>
                            <w:fldChar w:fldCharType="end"/>
                          </w:r>
                          <w:r w:rsidR="005A1CBC">
                            <w:t>:</w:t>
                          </w:r>
                          <w:r>
                            <w:fldChar w:fldCharType="begin"/>
                          </w:r>
                          <w:r w:rsidR="005A1CBC">
                            <w:instrText xml:space="preserve"> DOCPROPERTY "Motionsnummer" *\charformat </w:instrText>
                          </w:r>
                          <w:r>
                            <w:fldChar w:fldCharType="separate"/>
                          </w:r>
                          <w:r w:rsidR="005A1CBC">
                            <w:t>C286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CBC" w:rsidRDefault="008241DF">
                    <w:pPr>
                      <w:pStyle w:val="KantRubrikS5H"/>
                      <w:ind w:right="0"/>
                    </w:pPr>
                    <w:r>
                      <w:fldChar w:fldCharType="begin"/>
                    </w:r>
                    <w:r w:rsidR="005A1CBC">
                      <w:instrText xml:space="preserve"> DOCPROPERTY "YearUser" *\charformat </w:instrText>
                    </w:r>
                    <w:r>
                      <w:fldChar w:fldCharType="separate"/>
                    </w:r>
                    <w:r w:rsidR="005A1CBC">
                      <w:t>2006/07</w:t>
                    </w:r>
                    <w:r>
                      <w:fldChar w:fldCharType="end"/>
                    </w:r>
                    <w:r w:rsidR="005A1CBC">
                      <w:t>:</w:t>
                    </w:r>
                    <w:r>
                      <w:fldChar w:fldCharType="begin"/>
                    </w:r>
                    <w:r w:rsidR="005A1CBC">
                      <w:instrText xml:space="preserve"> DOCPROPERTY "Motionsnummer" *\charformat </w:instrText>
                    </w:r>
                    <w:r>
                      <w:fldChar w:fldCharType="separate"/>
                    </w:r>
                    <w:r w:rsidR="005A1CBC">
                      <w:t>C286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1DF" w:rsidRPr="00B70B6D" w:rsidRDefault="008241DF">
    <w:pPr>
      <w:pStyle w:val="FSHNormal"/>
      <w:tabs>
        <w:tab w:val="right" w:pos="5840"/>
      </w:tabs>
    </w:pPr>
    <w:r w:rsidRPr="00B70B6D">
      <w:br/>
    </w:r>
    <w:r w:rsidRPr="00B70B6D">
      <w:fldChar w:fldCharType="begin" w:fldLock="1"/>
    </w:r>
    <w:r w:rsidRPr="00B70B6D">
      <w:instrText xml:space="preserve"> DOCPROPERTY</w:instrText>
    </w:r>
    <w:r w:rsidRPr="00B70B6D">
      <w:rPr>
        <w:sz w:val="18"/>
      </w:rPr>
      <w:instrText xml:space="preserve"> "YearUser" *\charformat </w:instrText>
    </w:r>
    <w:r w:rsidRPr="00B70B6D">
      <w:fldChar w:fldCharType="separate"/>
    </w:r>
    <w:r w:rsidRPr="00B70B6D">
      <w:t>2006/07</w:t>
    </w:r>
    <w:r w:rsidRPr="00B70B6D">
      <w:fldChar w:fldCharType="end"/>
    </w:r>
    <w:r w:rsidRPr="00B70B6D">
      <w:t xml:space="preserve"> </w:t>
    </w:r>
    <w:r w:rsidRPr="00B70B6D">
      <w:tab/>
      <w:t xml:space="preserve">mnr: </w:t>
    </w:r>
    <w:r w:rsidRPr="00B70B6D">
      <w:fldChar w:fldCharType="begin" w:fldLock="1"/>
    </w:r>
    <w:r w:rsidRPr="00B70B6D">
      <w:instrText xml:space="preserve"> DOCPROPERTY</w:instrText>
    </w:r>
    <w:r w:rsidRPr="00B70B6D">
      <w:rPr>
        <w:sz w:val="18"/>
      </w:rPr>
      <w:instrText xml:space="preserve"> "Motionsnummer" *\charformat </w:instrText>
    </w:r>
    <w:r w:rsidRPr="00B70B6D">
      <w:fldChar w:fldCharType="separate"/>
    </w:r>
    <w:r w:rsidRPr="00B70B6D">
      <w:t>C286</w:t>
    </w:r>
    <w:r w:rsidRPr="00B70B6D">
      <w:fldChar w:fldCharType="end"/>
    </w:r>
    <w:r w:rsidRPr="00B70B6D">
      <w:br/>
    </w:r>
    <w:r w:rsidRPr="00B70B6D">
      <w:fldChar w:fldCharType="begin" w:fldLock="1"/>
    </w:r>
    <w:r w:rsidRPr="00B70B6D">
      <w:instrText xml:space="preserve"> DOCPROPERTY</w:instrText>
    </w:r>
    <w:r w:rsidRPr="00B70B6D">
      <w:rPr>
        <w:sz w:val="18"/>
      </w:rPr>
      <w:instrText xml:space="preserve"> "Samling" *\charformat </w:instrText>
    </w:r>
    <w:r w:rsidRPr="00B70B6D">
      <w:fldChar w:fldCharType="end"/>
    </w:r>
    <w:r w:rsidRPr="00B70B6D">
      <w:tab/>
      <w:t xml:space="preserve">pnr: </w:t>
    </w:r>
    <w:r w:rsidRPr="00B70B6D">
      <w:fldChar w:fldCharType="begin" w:fldLock="1"/>
    </w:r>
    <w:r w:rsidRPr="00B70B6D">
      <w:instrText xml:space="preserve"> DOCPROPERTY</w:instrText>
    </w:r>
    <w:r w:rsidRPr="00B70B6D">
      <w:rPr>
        <w:sz w:val="18"/>
      </w:rPr>
      <w:instrText xml:space="preserve"> "Partinummer" *\charformat </w:instrText>
    </w:r>
    <w:r w:rsidRPr="00B70B6D">
      <w:fldChar w:fldCharType="separate"/>
    </w:r>
    <w:r w:rsidRPr="00B70B6D">
      <w:t>v810</w:t>
    </w:r>
    <w:r w:rsidRPr="00B70B6D">
      <w:fldChar w:fldCharType="end"/>
    </w:r>
  </w:p>
  <w:p w:rsidR="008241DF" w:rsidRPr="00B70B6D" w:rsidRDefault="008241DF">
    <w:pPr>
      <w:pStyle w:val="FSHRub1"/>
    </w:pPr>
    <w:r w:rsidRPr="00B70B6D">
      <w:t>Motion till riksdagen</w:t>
    </w:r>
    <w:r w:rsidRPr="00B70B6D">
      <w:br/>
    </w:r>
    <w:r w:rsidRPr="00B70B6D">
      <w:fldChar w:fldCharType="begin" w:fldLock="1"/>
    </w:r>
    <w:r w:rsidRPr="00B70B6D">
      <w:instrText xml:space="preserve"> DOCPROPERTY "YearUser" *\charformat </w:instrText>
    </w:r>
    <w:r w:rsidRPr="00B70B6D">
      <w:fldChar w:fldCharType="separate"/>
    </w:r>
    <w:r w:rsidRPr="00B70B6D">
      <w:t>2006/07</w:t>
    </w:r>
    <w:r w:rsidRPr="00B70B6D">
      <w:fldChar w:fldCharType="end"/>
    </w:r>
    <w:r w:rsidRPr="00B70B6D">
      <w:t>:</w:t>
    </w:r>
    <w:r w:rsidRPr="00B70B6D">
      <w:fldChar w:fldCharType="begin" w:fldLock="1"/>
    </w:r>
    <w:r w:rsidRPr="00B70B6D">
      <w:instrText xml:space="preserve"> DOCPROPERTY "Motionsnummer" *\charformat </w:instrText>
    </w:r>
    <w:r w:rsidRPr="00B70B6D">
      <w:fldChar w:fldCharType="separate"/>
    </w:r>
    <w:r w:rsidRPr="00B70B6D">
      <w:t>C286</w:t>
    </w:r>
    <w:r w:rsidRPr="00B70B6D">
      <w:fldChar w:fldCharType="end"/>
    </w:r>
  </w:p>
  <w:p w:rsidR="008241DF" w:rsidRPr="00B70B6D" w:rsidRDefault="008241DF">
    <w:pPr>
      <w:pStyle w:val="FSHNormalS5"/>
    </w:pPr>
    <w:r w:rsidRPr="00B70B6D">
      <w:fldChar w:fldCharType="begin" w:fldLock="1"/>
    </w:r>
    <w:r w:rsidRPr="00B70B6D">
      <w:instrText xml:space="preserve"> DOCPROPERTY "MotionarText" *\charformat </w:instrText>
    </w:r>
    <w:r w:rsidRPr="00B70B6D">
      <w:fldChar w:fldCharType="separate"/>
    </w:r>
    <w:r w:rsidRPr="00B70B6D">
      <w:t>av Egon Frid m.fl. (v)</w:t>
    </w:r>
    <w:r w:rsidRPr="00B70B6D">
      <w:fldChar w:fldCharType="end"/>
    </w:r>
    <w:r w:rsidRPr="00B70B6D">
      <w:br/>
    </w:r>
    <w:r w:rsidRPr="00B70B6D">
      <w:fldChar w:fldCharType="begin" w:fldLock="1"/>
    </w:r>
    <w:r w:rsidRPr="00B70B6D">
      <w:instrText xml:space="preserve"> DOCPROPERTY "SvarFrasKort" *\charformat </w:instrText>
    </w:r>
    <w:r w:rsidRPr="00B70B6D">
      <w:fldChar w:fldCharType="end"/>
    </w:r>
  </w:p>
  <w:p w:rsidR="008241DF" w:rsidRPr="00B70B6D" w:rsidRDefault="008241DF">
    <w:pPr>
      <w:pStyle w:val="FSHTitel"/>
    </w:pPr>
    <w:r w:rsidRPr="00B70B6D">
      <w:fldChar w:fldCharType="begin" w:fldLock="1"/>
    </w:r>
    <w:r w:rsidRPr="00B70B6D">
      <w:instrText xml:space="preserve"> DOCPROPERTY</w:instrText>
    </w:r>
    <w:r w:rsidRPr="00B70B6D">
      <w:rPr>
        <w:sz w:val="18"/>
      </w:rPr>
      <w:instrText xml:space="preserve"> "RubrikSvar" *\charformat </w:instrText>
    </w:r>
    <w:r w:rsidRPr="00B70B6D">
      <w:fldChar w:fldCharType="separate"/>
    </w:r>
    <w:r w:rsidRPr="00B70B6D">
      <w:t>Allmännyttan</w:t>
    </w:r>
    <w:r w:rsidRPr="00B70B6D">
      <w:fldChar w:fldCharType="end"/>
    </w:r>
  </w:p>
  <w:p w:rsidR="008241DF" w:rsidRPr="00B70B6D" w:rsidRDefault="008241DF">
    <w:pPr>
      <w:pStyle w:val="Normal00"/>
    </w:pPr>
  </w:p>
  <w:p w:rsidR="005A1CBC" w:rsidRPr="00B70B6D" w:rsidRDefault="005A1C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D51E73"/>
    <w:multiLevelType w:val="multilevel"/>
    <w:tmpl w:val="A698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103B7"/>
    <w:multiLevelType w:val="hybridMultilevel"/>
    <w:tmpl w:val="D6B68C3C"/>
    <w:lvl w:ilvl="0" w:tplc="93AE0F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519024D"/>
    <w:multiLevelType w:val="multilevel"/>
    <w:tmpl w:val="D0E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033B7F"/>
    <w:multiLevelType w:val="multilevel"/>
    <w:tmpl w:val="CA688D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86630541">
    <w:abstractNumId w:val="15"/>
  </w:num>
  <w:num w:numId="2" w16cid:durableId="478811562">
    <w:abstractNumId w:val="10"/>
  </w:num>
  <w:num w:numId="3" w16cid:durableId="1309555181">
    <w:abstractNumId w:val="13"/>
  </w:num>
  <w:num w:numId="4" w16cid:durableId="1868524350">
    <w:abstractNumId w:val="14"/>
  </w:num>
  <w:num w:numId="5" w16cid:durableId="2110201497">
    <w:abstractNumId w:val="8"/>
  </w:num>
  <w:num w:numId="6" w16cid:durableId="279384631">
    <w:abstractNumId w:val="3"/>
  </w:num>
  <w:num w:numId="7" w16cid:durableId="1955870064">
    <w:abstractNumId w:val="2"/>
  </w:num>
  <w:num w:numId="8" w16cid:durableId="1211309515">
    <w:abstractNumId w:val="1"/>
  </w:num>
  <w:num w:numId="9" w16cid:durableId="965309796">
    <w:abstractNumId w:val="0"/>
  </w:num>
  <w:num w:numId="10" w16cid:durableId="1227842802">
    <w:abstractNumId w:val="9"/>
  </w:num>
  <w:num w:numId="11" w16cid:durableId="1772820613">
    <w:abstractNumId w:val="7"/>
  </w:num>
  <w:num w:numId="12" w16cid:durableId="1331131517">
    <w:abstractNumId w:val="6"/>
  </w:num>
  <w:num w:numId="13" w16cid:durableId="747116213">
    <w:abstractNumId w:val="5"/>
  </w:num>
  <w:num w:numId="14" w16cid:durableId="1641227054">
    <w:abstractNumId w:val="4"/>
  </w:num>
  <w:num w:numId="15" w16cid:durableId="1600866192">
    <w:abstractNumId w:val="11"/>
  </w:num>
  <w:num w:numId="16" w16cid:durableId="458883596">
    <w:abstractNumId w:val="16"/>
  </w:num>
  <w:num w:numId="17" w16cid:durableId="1190602578">
    <w:abstractNumId w:val="12"/>
  </w:num>
  <w:num w:numId="18" w16cid:durableId="957415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EF5206F9-792B-484E-B593-829130B8A4A1},{CA6150FB-5665-40EF-A0D0-2FA22432C22C},{E342D5A8-46A1-48DE-8F45-AD50F7AFB7F8},{58872E4A-D687-4B23-B75B-D8E5DB75EE13},{8B923F15-4996-4696-A089-6A5BE8BF8E1B},{C8129375-7C65-4B2D-94A1-2D02B22B4ED0},{06478B68-C776-4FFD-96E4-23144F4B9796}"/>
  </w:docVars>
  <w:rsids>
    <w:rsidRoot w:val="00B70B6D"/>
    <w:rsid w:val="00002742"/>
    <w:rsid w:val="000220F8"/>
    <w:rsid w:val="00034058"/>
    <w:rsid w:val="00040D14"/>
    <w:rsid w:val="0004381F"/>
    <w:rsid w:val="00064BC3"/>
    <w:rsid w:val="00066474"/>
    <w:rsid w:val="000665E6"/>
    <w:rsid w:val="00066775"/>
    <w:rsid w:val="00072FB9"/>
    <w:rsid w:val="0007598F"/>
    <w:rsid w:val="000765A4"/>
    <w:rsid w:val="000803D1"/>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5DD"/>
    <w:rsid w:val="001E0043"/>
    <w:rsid w:val="00201DFB"/>
    <w:rsid w:val="00204A63"/>
    <w:rsid w:val="00212FF1"/>
    <w:rsid w:val="00224526"/>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4E"/>
    <w:rsid w:val="00342FB4"/>
    <w:rsid w:val="0036065A"/>
    <w:rsid w:val="003866EC"/>
    <w:rsid w:val="00391AF5"/>
    <w:rsid w:val="003B418B"/>
    <w:rsid w:val="003F100A"/>
    <w:rsid w:val="004105D2"/>
    <w:rsid w:val="00431246"/>
    <w:rsid w:val="00445271"/>
    <w:rsid w:val="00447A04"/>
    <w:rsid w:val="004527C3"/>
    <w:rsid w:val="0047606E"/>
    <w:rsid w:val="00487F7A"/>
    <w:rsid w:val="00494176"/>
    <w:rsid w:val="004971B2"/>
    <w:rsid w:val="004A02E3"/>
    <w:rsid w:val="004A0504"/>
    <w:rsid w:val="004B5278"/>
    <w:rsid w:val="004B792D"/>
    <w:rsid w:val="004C5A20"/>
    <w:rsid w:val="004E38D9"/>
    <w:rsid w:val="005000F2"/>
    <w:rsid w:val="005005B0"/>
    <w:rsid w:val="00531020"/>
    <w:rsid w:val="00545150"/>
    <w:rsid w:val="00545421"/>
    <w:rsid w:val="0055072A"/>
    <w:rsid w:val="005525A5"/>
    <w:rsid w:val="005544CE"/>
    <w:rsid w:val="005A1CBC"/>
    <w:rsid w:val="005A6F66"/>
    <w:rsid w:val="005B062A"/>
    <w:rsid w:val="005B145B"/>
    <w:rsid w:val="005B1AC9"/>
    <w:rsid w:val="005D3F50"/>
    <w:rsid w:val="00601C6D"/>
    <w:rsid w:val="00603CD4"/>
    <w:rsid w:val="0062272A"/>
    <w:rsid w:val="00625F85"/>
    <w:rsid w:val="006346C1"/>
    <w:rsid w:val="00653DD0"/>
    <w:rsid w:val="006B6262"/>
    <w:rsid w:val="006B7B91"/>
    <w:rsid w:val="00710310"/>
    <w:rsid w:val="00727C6F"/>
    <w:rsid w:val="00740D6D"/>
    <w:rsid w:val="00743F76"/>
    <w:rsid w:val="00770030"/>
    <w:rsid w:val="00774959"/>
    <w:rsid w:val="007852B2"/>
    <w:rsid w:val="00791D46"/>
    <w:rsid w:val="00794149"/>
    <w:rsid w:val="007A7154"/>
    <w:rsid w:val="007B67A7"/>
    <w:rsid w:val="007C6092"/>
    <w:rsid w:val="007E119E"/>
    <w:rsid w:val="00801837"/>
    <w:rsid w:val="00816BB8"/>
    <w:rsid w:val="008241DF"/>
    <w:rsid w:val="00846903"/>
    <w:rsid w:val="008A589C"/>
    <w:rsid w:val="008F0A96"/>
    <w:rsid w:val="008F5BE7"/>
    <w:rsid w:val="009057D3"/>
    <w:rsid w:val="009062A0"/>
    <w:rsid w:val="00935155"/>
    <w:rsid w:val="009363CD"/>
    <w:rsid w:val="009451E7"/>
    <w:rsid w:val="00956E7F"/>
    <w:rsid w:val="00970D4F"/>
    <w:rsid w:val="00971D70"/>
    <w:rsid w:val="0099005D"/>
    <w:rsid w:val="00993BF0"/>
    <w:rsid w:val="009A4377"/>
    <w:rsid w:val="009A6043"/>
    <w:rsid w:val="009D0673"/>
    <w:rsid w:val="00A053C6"/>
    <w:rsid w:val="00A055B3"/>
    <w:rsid w:val="00A15D71"/>
    <w:rsid w:val="00A21BC5"/>
    <w:rsid w:val="00A320E7"/>
    <w:rsid w:val="00A330C0"/>
    <w:rsid w:val="00A71F5C"/>
    <w:rsid w:val="00A736FF"/>
    <w:rsid w:val="00A94188"/>
    <w:rsid w:val="00AA1434"/>
    <w:rsid w:val="00AB5000"/>
    <w:rsid w:val="00AC4310"/>
    <w:rsid w:val="00AC63D9"/>
    <w:rsid w:val="00AD2EBC"/>
    <w:rsid w:val="00AE07AE"/>
    <w:rsid w:val="00AE2EF8"/>
    <w:rsid w:val="00AF5881"/>
    <w:rsid w:val="00B13BF0"/>
    <w:rsid w:val="00B2508D"/>
    <w:rsid w:val="00B33C81"/>
    <w:rsid w:val="00B34666"/>
    <w:rsid w:val="00B470F6"/>
    <w:rsid w:val="00B63DC8"/>
    <w:rsid w:val="00B67E5B"/>
    <w:rsid w:val="00B70B6D"/>
    <w:rsid w:val="00BA4894"/>
    <w:rsid w:val="00BA6BE0"/>
    <w:rsid w:val="00BB6D75"/>
    <w:rsid w:val="00BC24FF"/>
    <w:rsid w:val="00BD43A8"/>
    <w:rsid w:val="00C1285C"/>
    <w:rsid w:val="00C27B7D"/>
    <w:rsid w:val="00C32A06"/>
    <w:rsid w:val="00C44394"/>
    <w:rsid w:val="00C533BA"/>
    <w:rsid w:val="00C8122E"/>
    <w:rsid w:val="00C85E57"/>
    <w:rsid w:val="00C902E9"/>
    <w:rsid w:val="00C92208"/>
    <w:rsid w:val="00CB5B24"/>
    <w:rsid w:val="00CC61DE"/>
    <w:rsid w:val="00CD4B2B"/>
    <w:rsid w:val="00CE3037"/>
    <w:rsid w:val="00CF7A43"/>
    <w:rsid w:val="00D01775"/>
    <w:rsid w:val="00D07CFA"/>
    <w:rsid w:val="00D116BD"/>
    <w:rsid w:val="00D1174F"/>
    <w:rsid w:val="00D1289C"/>
    <w:rsid w:val="00D21AA1"/>
    <w:rsid w:val="00D25AB6"/>
    <w:rsid w:val="00D33DFD"/>
    <w:rsid w:val="00D44527"/>
    <w:rsid w:val="00D47909"/>
    <w:rsid w:val="00D52681"/>
    <w:rsid w:val="00D53D04"/>
    <w:rsid w:val="00D55EF7"/>
    <w:rsid w:val="00D7580A"/>
    <w:rsid w:val="00DC0DF0"/>
    <w:rsid w:val="00DC6C70"/>
    <w:rsid w:val="00DD6557"/>
    <w:rsid w:val="00DF5ACD"/>
    <w:rsid w:val="00E224E9"/>
    <w:rsid w:val="00E22893"/>
    <w:rsid w:val="00E349C2"/>
    <w:rsid w:val="00E35213"/>
    <w:rsid w:val="00E360DE"/>
    <w:rsid w:val="00E5074A"/>
    <w:rsid w:val="00E521CB"/>
    <w:rsid w:val="00E728F6"/>
    <w:rsid w:val="00E75D28"/>
    <w:rsid w:val="00E84F25"/>
    <w:rsid w:val="00EC007B"/>
    <w:rsid w:val="00F21B30"/>
    <w:rsid w:val="00F273EA"/>
    <w:rsid w:val="00F41898"/>
    <w:rsid w:val="00F42CB9"/>
    <w:rsid w:val="00F654BF"/>
    <w:rsid w:val="00F73E9E"/>
    <w:rsid w:val="00F87D14"/>
    <w:rsid w:val="00FA3374"/>
    <w:rsid w:val="00FB2435"/>
    <w:rsid w:val="00FB61E2"/>
    <w:rsid w:val="00FB6490"/>
    <w:rsid w:val="00FC53D4"/>
    <w:rsid w:val="00FC7246"/>
    <w:rsid w:val="00FC7E79"/>
    <w:rsid w:val="00FD2531"/>
    <w:rsid w:val="00FE7E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3FBB63-488A-43FA-B76D-0BBB4879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A1CBC"/>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A1CBC"/>
    <w:pPr>
      <w:numPr>
        <w:ilvl w:val="1"/>
      </w:numPr>
      <w:spacing w:before="500" w:line="250" w:lineRule="exact"/>
      <w:outlineLvl w:val="1"/>
    </w:pPr>
    <w:rPr>
      <w:sz w:val="27"/>
    </w:rPr>
  </w:style>
  <w:style w:type="paragraph" w:styleId="Rubrik3">
    <w:name w:val="heading 3"/>
    <w:aliases w:val="Mellanrubrik"/>
    <w:basedOn w:val="Rubrik2"/>
    <w:next w:val="Normal"/>
    <w:qFormat/>
    <w:rsid w:val="005A1CBC"/>
    <w:pPr>
      <w:numPr>
        <w:ilvl w:val="2"/>
      </w:numPr>
      <w:spacing w:before="250" w:after="0"/>
      <w:outlineLvl w:val="2"/>
    </w:pPr>
    <w:rPr>
      <w:b/>
      <w:sz w:val="21"/>
    </w:rPr>
  </w:style>
  <w:style w:type="paragraph" w:styleId="Rubrik4">
    <w:name w:val="heading 4"/>
    <w:aliases w:val="KursivRubrik"/>
    <w:basedOn w:val="Rubrik3"/>
    <w:next w:val="Normal"/>
    <w:qFormat/>
    <w:rsid w:val="005A1CBC"/>
    <w:pPr>
      <w:numPr>
        <w:ilvl w:val="3"/>
      </w:numPr>
      <w:outlineLvl w:val="3"/>
    </w:pPr>
    <w:rPr>
      <w:b w:val="0"/>
      <w:i/>
    </w:rPr>
  </w:style>
  <w:style w:type="paragraph" w:styleId="Rubrik5">
    <w:name w:val="heading 5"/>
    <w:aliases w:val="PackadFetRubrik,PackadKursivRubrik"/>
    <w:basedOn w:val="Rubrik4"/>
    <w:next w:val="Normal"/>
    <w:qFormat/>
    <w:rsid w:val="005A1CBC"/>
    <w:pPr>
      <w:numPr>
        <w:ilvl w:val="4"/>
      </w:numPr>
      <w:tabs>
        <w:tab w:val="clear" w:pos="1021"/>
      </w:tabs>
      <w:spacing w:before="125"/>
      <w:outlineLvl w:val="4"/>
    </w:pPr>
    <w:rPr>
      <w:i w:val="0"/>
      <w:sz w:val="19"/>
    </w:rPr>
  </w:style>
  <w:style w:type="paragraph" w:styleId="Rubrik6">
    <w:name w:val="heading 6"/>
    <w:basedOn w:val="Rubrik5"/>
    <w:next w:val="Normal"/>
    <w:qFormat/>
    <w:rsid w:val="005A1CBC"/>
    <w:pPr>
      <w:numPr>
        <w:ilvl w:val="5"/>
      </w:numPr>
      <w:spacing w:before="50" w:line="200" w:lineRule="exact"/>
      <w:outlineLvl w:val="5"/>
    </w:pPr>
    <w:rPr>
      <w:caps/>
      <w:sz w:val="14"/>
    </w:rPr>
  </w:style>
  <w:style w:type="paragraph" w:styleId="Rubrik7">
    <w:name w:val="heading 7"/>
    <w:basedOn w:val="Rubrik6"/>
    <w:next w:val="Normal"/>
    <w:qFormat/>
    <w:rsid w:val="005A1CBC"/>
    <w:pPr>
      <w:numPr>
        <w:ilvl w:val="6"/>
      </w:numPr>
      <w:spacing w:before="0"/>
      <w:outlineLvl w:val="6"/>
    </w:pPr>
  </w:style>
  <w:style w:type="paragraph" w:styleId="Rubrik8">
    <w:name w:val="heading 8"/>
    <w:basedOn w:val="Rubrik7"/>
    <w:next w:val="Normal"/>
    <w:qFormat/>
    <w:rsid w:val="005A1CBC"/>
    <w:pPr>
      <w:numPr>
        <w:ilvl w:val="7"/>
      </w:numPr>
      <w:outlineLvl w:val="7"/>
    </w:pPr>
  </w:style>
  <w:style w:type="paragraph" w:styleId="Rubrik9">
    <w:name w:val="heading 9"/>
    <w:basedOn w:val="Rubrik8"/>
    <w:next w:val="Normal"/>
    <w:qFormat/>
    <w:rsid w:val="005A1CB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rsid w:val="00B13BF0"/>
    <w:pPr>
      <w:tabs>
        <w:tab w:val="right" w:leader="dot" w:pos="5953"/>
      </w:tabs>
      <w:suppressAutoHyphens/>
      <w:spacing w:before="0"/>
      <w:ind w:right="567"/>
      <w:jc w:val="left"/>
    </w:pPr>
  </w:style>
  <w:style w:type="paragraph" w:styleId="Innehll2">
    <w:name w:val="toc 2"/>
    <w:basedOn w:val="Innehll1"/>
    <w:next w:val="Innehll3"/>
    <w:rsid w:val="00B13BF0"/>
    <w:pPr>
      <w:ind w:left="284"/>
    </w:pPr>
  </w:style>
  <w:style w:type="paragraph" w:styleId="Innehll3">
    <w:name w:val="toc 3"/>
    <w:basedOn w:val="Innehll2"/>
    <w:next w:val="Innehll4"/>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A1CBC"/>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AD2EBC"/>
    <w:pPr>
      <w:spacing w:after="20" w:line="240" w:lineRule="auto"/>
    </w:pPr>
    <w:rPr>
      <w:rFonts w:ascii="Verdana" w:hAnsi="Verdana"/>
      <w:sz w:val="20"/>
    </w:rPr>
  </w:style>
  <w:style w:type="paragraph" w:customStyle="1" w:styleId="toc1">
    <w:name w:val="toc 1"/>
    <w:basedOn w:val="Normal"/>
    <w:rsid w:val="00AD2EBC"/>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AD2EBC"/>
    <w:pPr>
      <w:spacing w:after="20" w:line="240" w:lineRule="auto"/>
    </w:pPr>
    <w:rPr>
      <w:rFonts w:ascii="Verdana" w:hAnsi="Verdana"/>
      <w:sz w:val="20"/>
    </w:rPr>
  </w:style>
  <w:style w:type="paragraph" w:customStyle="1" w:styleId="normalindent">
    <w:name w:val="normal indent"/>
    <w:aliases w:val="normal_indrag,normal indrag"/>
    <w:basedOn w:val="Normal"/>
    <w:rsid w:val="00AD2EBC"/>
    <w:pPr>
      <w:spacing w:after="20" w:line="240" w:lineRule="auto"/>
    </w:pPr>
    <w:rPr>
      <w:rFonts w:ascii="Verdana" w:hAnsi="Verdana"/>
      <w:sz w:val="20"/>
    </w:rPr>
  </w:style>
  <w:style w:type="paragraph" w:customStyle="1" w:styleId="punktlistabomb0">
    <w:name w:val="punktlista_bomb"/>
    <w:aliases w:val="bomb"/>
    <w:basedOn w:val="Normal"/>
    <w:rsid w:val="00AD2EBC"/>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2442</Words>
  <Characters>15387</Characters>
  <Application>Microsoft Office Word</Application>
  <DocSecurity>4</DocSecurity>
  <Lines>279</Lines>
  <Paragraphs>79</Paragraphs>
  <ScaleCrop>false</ScaleCrop>
  <HeadingPairs>
    <vt:vector size="2" baseType="variant">
      <vt:variant>
        <vt:lpstr>Rubrik</vt:lpstr>
      </vt:variant>
      <vt:variant>
        <vt:i4>1</vt:i4>
      </vt:variant>
    </vt:vector>
  </HeadingPairs>
  <TitlesOfParts>
    <vt:vector size="1" baseType="lpstr">
      <vt:lpstr>v810</vt:lpstr>
    </vt:vector>
  </TitlesOfParts>
  <Company>Riksdagen</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v810</dc:title>
  <dc:subject>v810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2006-10-29T15:09:00Z</cp:lastPrinted>
  <dcterms:created xsi:type="dcterms:W3CDTF">2025-12-16T23:40:00Z</dcterms:created>
  <dcterms:modified xsi:type="dcterms:W3CDTF">2025-12-16T23:40:00Z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Allmännyttan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Egon Frid m.fl. (v)</vt:lpwstr>
  </property>
  <property fmtid="{D5CDD505-2E9C-101B-9397-08002B2CF9AE}" pid="26" name="MotionarLista">
    <vt:lpwstr>Frid, Egon (v)\Björlund, Torbjörn (v)\Dinamarca, Rossana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C286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20062007000000000118000008100075</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20062007000000000118000008100075</vt:lpwstr>
  </property>
  <property fmtid="{D5CDD505-2E9C-101B-9397-08002B2CF9AE}" pid="50" name="nummer">
    <vt:lpwstr>286</vt:lpwstr>
  </property>
  <property fmtid="{D5CDD505-2E9C-101B-9397-08002B2CF9AE}" pid="51" name="utskottsbeteckning">
    <vt:lpwstr>C</vt:lpwstr>
  </property>
  <property fmtid="{D5CDD505-2E9C-101B-9397-08002B2CF9AE}" pid="52" name="GlobalUID">
    <vt:lpwstr>{6F38871E-11A6-4996-9C14-1A80F15DB6ED}</vt:lpwstr>
  </property>
  <property fmtid="{D5CDD505-2E9C-101B-9397-08002B2CF9AE}" pid="53" name="Överföringar">
    <vt:i4>1</vt:i4>
  </property>
  <property fmtid="{D5CDD505-2E9C-101B-9397-08002B2CF9AE}" pid="54" name="Checksum">
    <vt:lpwstr>*0019389178378*</vt:lpwstr>
  </property>
  <property fmtid="{D5CDD505-2E9C-101B-9397-08002B2CF9AE}" pid="55" name="IdNummer">
    <vt:lpwstr>189125</vt:lpwstr>
  </property>
  <property fmtid="{D5CDD505-2E9C-101B-9397-08002B2CF9AE}" pid="56" name="urixOrigin">
    <vt:lpwstr>070215 16:27:15.786</vt:lpwstr>
  </property>
  <property fmtid="{D5CDD505-2E9C-101B-9397-08002B2CF9AE}" pid="57" name="skuggnummer">
    <vt:lpwstr>797</vt:lpwstr>
  </property>
  <property fmtid="{D5CDD505-2E9C-101B-9397-08002B2CF9AE}" pid="58" name="urixVersion">
    <vt:lpwstr>3.1.4.4</vt:lpwstr>
  </property>
  <property fmtid="{D5CDD505-2E9C-101B-9397-08002B2CF9AE}" pid="59" name="urixGuid">
    <vt:lpwstr>{1F65A66B-6941-4C6E-A6F6-F05646CD5D48}</vt:lpwstr>
  </property>
</Properties>
</file>