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96DD1">
        <w:tblPrEx>
          <w:tblCellMar>
            <w:top w:w="0" w:type="dxa"/>
            <w:left w:w="0" w:type="dxa"/>
            <w:bottom w:w="0" w:type="dxa"/>
            <w:right w:w="0" w:type="dxa"/>
          </w:tblCellMar>
        </w:tblPrEx>
        <w:trPr>
          <w:gridAfter w:val="2"/>
          <w:wAfter w:w="1758" w:type="dxa"/>
          <w:cantSplit/>
          <w:trHeight w:val="1320"/>
        </w:trPr>
        <w:tc>
          <w:tcPr>
            <w:tcW w:w="5897" w:type="dxa"/>
          </w:tcPr>
          <w:p w:rsidR="00996DD1" w:rsidRPr="00996DD1" w:rsidRDefault="00996DD1">
            <w:pPr>
              <w:pStyle w:val="HuvudRubrik"/>
            </w:pPr>
            <w:r w:rsidRPr="00996DD1">
              <w:t>Regeringskansliet</w:t>
            </w:r>
          </w:p>
          <w:p w:rsidR="00996DD1" w:rsidRPr="00996DD1" w:rsidRDefault="00996DD1">
            <w:pPr>
              <w:pStyle w:val="HuvudRubrik"/>
            </w:pPr>
            <w:r w:rsidRPr="00996DD1">
              <w:t>Faktapromemoria  2008/09:FPM95</w:t>
            </w:r>
          </w:p>
        </w:tc>
      </w:tr>
      <w:tr w:rsidR="00000000" w:rsidRPr="00996DD1">
        <w:tblPrEx>
          <w:tblCellMar>
            <w:top w:w="0" w:type="dxa"/>
            <w:left w:w="0" w:type="dxa"/>
            <w:bottom w:w="0" w:type="dxa"/>
            <w:right w:w="0" w:type="dxa"/>
          </w:tblCellMar>
        </w:tblPrEx>
        <w:trPr>
          <w:gridAfter w:val="2"/>
          <w:wAfter w:w="1758" w:type="dxa"/>
          <w:cantSplit/>
          <w:trHeight w:val="240"/>
        </w:trPr>
        <w:tc>
          <w:tcPr>
            <w:tcW w:w="5897" w:type="dxa"/>
          </w:tcPr>
          <w:p w:rsidR="00996DD1" w:rsidRPr="00996DD1" w:rsidRDefault="00996DD1">
            <w:pPr>
              <w:pStyle w:val="HuvudRubrik"/>
              <w:rPr>
                <w:sz w:val="28"/>
              </w:rPr>
            </w:pPr>
            <w:r w:rsidRPr="00996DD1">
              <w:t>Gemenskapsprogram till stöd för finansiella tjänster, redovisning och revision</w:t>
            </w:r>
          </w:p>
        </w:tc>
      </w:tr>
      <w:tr w:rsidR="00000000" w:rsidRPr="00996DD1">
        <w:tblPrEx>
          <w:tblCellMar>
            <w:top w:w="0" w:type="dxa"/>
            <w:left w:w="0" w:type="dxa"/>
            <w:bottom w:w="0" w:type="dxa"/>
            <w:right w:w="0" w:type="dxa"/>
          </w:tblCellMar>
        </w:tblPrEx>
        <w:trPr>
          <w:cantSplit/>
          <w:trHeight w:val="285"/>
        </w:trPr>
        <w:tc>
          <w:tcPr>
            <w:tcW w:w="7655" w:type="dxa"/>
            <w:gridSpan w:val="3"/>
          </w:tcPr>
          <w:p w:rsidR="00996DD1" w:rsidRPr="00996DD1" w:rsidRDefault="00996DD1">
            <w:pPr>
              <w:pStyle w:val="Departement"/>
              <w:rPr>
                <w:sz w:val="28"/>
              </w:rPr>
            </w:pPr>
            <w:r w:rsidRPr="00996DD1">
              <w:t>Justitiedepartementet</w:t>
            </w:r>
          </w:p>
        </w:tc>
      </w:tr>
      <w:tr w:rsidR="00000000" w:rsidRPr="00996DD1">
        <w:tblPrEx>
          <w:tblCellMar>
            <w:top w:w="0" w:type="dxa"/>
            <w:left w:w="0" w:type="dxa"/>
            <w:bottom w:w="0" w:type="dxa"/>
            <w:right w:w="0" w:type="dxa"/>
          </w:tblCellMar>
        </w:tblPrEx>
        <w:trPr>
          <w:cantSplit/>
          <w:trHeight w:val="240"/>
        </w:trPr>
        <w:tc>
          <w:tcPr>
            <w:tcW w:w="7655" w:type="dxa"/>
            <w:gridSpan w:val="3"/>
          </w:tcPr>
          <w:p w:rsidR="00996DD1" w:rsidRPr="00996DD1" w:rsidRDefault="00996DD1">
            <w:pPr>
              <w:pStyle w:val="Dokumentdatum"/>
            </w:pPr>
            <w:r w:rsidRPr="00996DD1">
              <w:t>2009-03-17</w:t>
            </w:r>
          </w:p>
        </w:tc>
      </w:tr>
      <w:tr w:rsidR="00000000" w:rsidRPr="00996DD1">
        <w:tblPrEx>
          <w:tblCellMar>
            <w:top w:w="0" w:type="dxa"/>
            <w:left w:w="0" w:type="dxa"/>
            <w:bottom w:w="0" w:type="dxa"/>
            <w:right w:w="0" w:type="dxa"/>
          </w:tblCellMar>
        </w:tblPrEx>
        <w:trPr>
          <w:cantSplit/>
          <w:trHeight w:val="726"/>
        </w:trPr>
        <w:tc>
          <w:tcPr>
            <w:tcW w:w="7655" w:type="dxa"/>
            <w:gridSpan w:val="3"/>
            <w:vAlign w:val="bottom"/>
          </w:tcPr>
          <w:p w:rsidR="00996DD1" w:rsidRPr="00996DD1" w:rsidRDefault="00996DD1">
            <w:pPr>
              <w:pStyle w:val="Dokumentbeteckning"/>
            </w:pPr>
            <w:r w:rsidRPr="00996DD1">
              <w:t>Dokumentbeteckning</w:t>
            </w:r>
          </w:p>
        </w:tc>
      </w:tr>
      <w:tr w:rsidR="00000000" w:rsidRPr="00996DD1">
        <w:tblPrEx>
          <w:tblCellMar>
            <w:top w:w="0" w:type="dxa"/>
            <w:left w:w="0" w:type="dxa"/>
            <w:bottom w:w="0" w:type="dxa"/>
            <w:right w:w="0" w:type="dxa"/>
          </w:tblCellMar>
        </w:tblPrEx>
        <w:trPr>
          <w:gridAfter w:val="1"/>
          <w:wAfter w:w="1560" w:type="dxa"/>
          <w:trHeight w:val="120"/>
        </w:trPr>
        <w:tc>
          <w:tcPr>
            <w:tcW w:w="6095" w:type="dxa"/>
            <w:gridSpan w:val="2"/>
          </w:tcPr>
          <w:p w:rsidR="00996DD1" w:rsidRPr="00996DD1" w:rsidRDefault="00996DD1">
            <w:bookmarkStart w:id="0" w:name="KomNr"/>
            <w:bookmarkEnd w:id="0"/>
            <w:r w:rsidRPr="00996DD1">
              <w:t>KOM(2009) 14 slutlig</w:t>
            </w:r>
          </w:p>
        </w:tc>
      </w:tr>
      <w:tr w:rsidR="00000000" w:rsidRPr="00996DD1">
        <w:tblPrEx>
          <w:tblCellMar>
            <w:top w:w="0" w:type="dxa"/>
            <w:left w:w="0" w:type="dxa"/>
            <w:bottom w:w="0" w:type="dxa"/>
            <w:right w:w="0" w:type="dxa"/>
          </w:tblCellMar>
        </w:tblPrEx>
        <w:trPr>
          <w:gridAfter w:val="1"/>
          <w:wAfter w:w="1560" w:type="dxa"/>
          <w:trHeight w:val="120"/>
        </w:trPr>
        <w:tc>
          <w:tcPr>
            <w:tcW w:w="6095" w:type="dxa"/>
            <w:gridSpan w:val="2"/>
          </w:tcPr>
          <w:p w:rsidR="00996DD1" w:rsidRPr="00996DD1" w:rsidRDefault="00996DD1">
            <w:pPr>
              <w:pStyle w:val="Dokumentbeteckning-titel"/>
            </w:pPr>
            <w:r w:rsidRPr="00996DD1">
              <w:t>Förslag till Europaparlamentets och rådets beslut om inrättande av ett gemenskapsprogram till stöd för särskild verksamhet på området för finansiella tjänster, finansiell rapportering och revision</w:t>
            </w:r>
          </w:p>
        </w:tc>
      </w:tr>
    </w:tbl>
    <w:p w:rsidR="00996DD1" w:rsidRPr="00996DD1" w:rsidRDefault="00996DD1"/>
    <w:p w:rsidR="00996DD1" w:rsidRPr="00996DD1" w:rsidRDefault="00996DD1">
      <w:pPr>
        <w:pStyle w:val="Rubrik1"/>
        <w:numPr>
          <w:ilvl w:val="0"/>
          <w:numId w:val="0"/>
        </w:numPr>
      </w:pPr>
      <w:r w:rsidRPr="00996DD1">
        <w:t>Sammanfattning</w:t>
      </w:r>
    </w:p>
    <w:p w:rsidR="00996DD1" w:rsidRPr="00996DD1" w:rsidRDefault="00996DD1">
      <w:r w:rsidRPr="00996DD1">
        <w:t>Kommissionens förslag syftar till att säkerställa en effektiv gemenskapspolitik inom områdena finansiella tjänster, finansiell rapportering och lagstadgad revision. Förslaget innebär att ett gemenskapsprogram inrättas som möjliggör direkta bidrag till finansieringen av vissa organ inom ramen för gemenskapens budget. Programmet uppgår till 36,2 miljoner euro under fyra år (2010–2013).</w:t>
      </w:r>
    </w:p>
    <w:p w:rsidR="00996DD1" w:rsidRPr="00996DD1" w:rsidRDefault="00996DD1">
      <w:pPr>
        <w:pStyle w:val="normal0"/>
      </w:pPr>
      <w:r w:rsidRPr="00996DD1">
        <w:t>Regeringen är positiv till förslaget men kan ännu inte ta slutlig ställning till det.</w:t>
      </w:r>
    </w:p>
    <w:p w:rsidR="00996DD1" w:rsidRPr="00996DD1" w:rsidRDefault="00996DD1">
      <w:pPr>
        <w:pStyle w:val="Rubrik1"/>
      </w:pPr>
      <w:r w:rsidRPr="00996DD1">
        <w:t>Förslaget</w:t>
      </w:r>
    </w:p>
    <w:p w:rsidR="00996DD1" w:rsidRPr="00996DD1" w:rsidRDefault="00996DD1">
      <w:pPr>
        <w:pStyle w:val="Rubrik2"/>
      </w:pPr>
      <w:r w:rsidRPr="00996DD1">
        <w:t>Ärendets bakgrund</w:t>
      </w:r>
    </w:p>
    <w:p w:rsidR="00996DD1" w:rsidRPr="00996DD1" w:rsidRDefault="00996DD1">
      <w:r w:rsidRPr="00996DD1">
        <w:t xml:space="preserve">I sektorn för finansiella tjänster och på området för finansiell rapportering och lagstadgad revision finns ett antal europeiska och internationella tillsynskommittéer och organisationer som har fått erkännande från EU. Organen har en viktig roll för konkurrensen på den inre marknaden och för den inre marknadens funktion. </w:t>
      </w:r>
    </w:p>
    <w:p w:rsidR="00996DD1" w:rsidRPr="00996DD1" w:rsidRDefault="00996DD1">
      <w:pPr>
        <w:pStyle w:val="normal0"/>
      </w:pPr>
      <w:r w:rsidRPr="00996DD1">
        <w:lastRenderedPageBreak/>
        <w:t>Tillsynskommittéerna är oberoende organ som har inrättats av kommissionen och består av nationella tillsynsmyndigheter på värdepapp</w:t>
      </w:r>
      <w:r w:rsidRPr="00996DD1">
        <w:softHyphen/>
        <w:t>-ers-, bank- och försäkringsområdet i varje medlemsstat.</w:t>
      </w:r>
      <w:r w:rsidRPr="00996DD1">
        <w:rPr>
          <w:rStyle w:val="Fotnotsreferens"/>
        </w:rPr>
        <w:footnoteReference w:id="1"/>
      </w:r>
      <w:r w:rsidRPr="00996DD1">
        <w:t xml:space="preserve"> Kommittéerna fungerar som organ för utredningar, debatt och vägledning för kommissionen på nämnda området. De bidrar till ett konsekvent genomförande av gemenskaps</w:t>
      </w:r>
      <w:r w:rsidRPr="00996DD1">
        <w:softHyphen/>
        <w:t xml:space="preserve">lagstiftning och till en enhetlig tillsynspraxis. </w:t>
      </w:r>
    </w:p>
    <w:p w:rsidR="00996DD1" w:rsidRPr="00996DD1" w:rsidRDefault="00996DD1">
      <w:pPr>
        <w:pStyle w:val="normal0"/>
      </w:pPr>
      <w:r w:rsidRPr="00996DD1">
        <w:t xml:space="preserve">På redovisnings- och revisionsområdet finns ett antal organisationer som har fått erkännande genom olika lagstiftningsåtgärder inom gemenskapen. Det gäller </w:t>
      </w:r>
      <w:r w:rsidRPr="00996DD1">
        <w:rPr>
          <w:i/>
        </w:rPr>
        <w:t>International Accounting Standards Committee Foundation</w:t>
      </w:r>
      <w:r w:rsidRPr="00996DD1">
        <w:t xml:space="preserve"> </w:t>
      </w:r>
      <w:r w:rsidRPr="00996DD1">
        <w:rPr>
          <w:i/>
        </w:rPr>
        <w:t>(IASCF)</w:t>
      </w:r>
      <w:r w:rsidRPr="00996DD1">
        <w:t xml:space="preserve"> och </w:t>
      </w:r>
      <w:r w:rsidRPr="00996DD1">
        <w:rPr>
          <w:i/>
        </w:rPr>
        <w:t>European Financial Advisory Group (EFRAG)</w:t>
      </w:r>
      <w:r w:rsidRPr="00996DD1">
        <w:t xml:space="preserve"> på redovisningsområdet och </w:t>
      </w:r>
      <w:r w:rsidRPr="00996DD1">
        <w:rPr>
          <w:i/>
        </w:rPr>
        <w:t>Public Interest Oversight Board (PIOB)</w:t>
      </w:r>
      <w:r w:rsidRPr="00996DD1">
        <w:t xml:space="preserve"> på revisionsområdet.</w:t>
      </w:r>
    </w:p>
    <w:p w:rsidR="00996DD1" w:rsidRPr="00996DD1" w:rsidRDefault="00996DD1">
      <w:pPr>
        <w:pStyle w:val="normal0"/>
      </w:pPr>
      <w:r w:rsidRPr="00996DD1">
        <w:t>Kommissionen har konstaterat att genomförandet av gemenskapens politiska mål förutsätter att de kommittéer och organisationer som har fått sitt erkännande från EU kan fungera på ett oberoende och effektivt sätt. Samtidigt har kommissionen kommit fram till att genomförandet av de politiska målen riskerar att äventy</w:t>
      </w:r>
      <w:r w:rsidRPr="00996DD1">
        <w:t xml:space="preserve">ras till följd av otillräcklig finansiering av dessa organ. En sådan situation anses kunna uppkomma antingen genom otillräckliga finansiella resurser för att genomföra vissa projekt eller på grund av att finansieringen av organen inte är tillräckligt spridd för att garantera ett oberoende. </w:t>
      </w:r>
    </w:p>
    <w:p w:rsidR="00996DD1" w:rsidRPr="00996DD1" w:rsidRDefault="00996DD1">
      <w:pPr>
        <w:pStyle w:val="normal0"/>
      </w:pPr>
      <w:r w:rsidRPr="00996DD1">
        <w:t>Kommissionen har genomfört en omfattande analys för att komma fram till vilken policy man ska ha i frågan och slutit sig till att det är mest lämpligt att gemenskapen är med och samfinansierar organen antingen genom åtgä</w:t>
      </w:r>
      <w:r w:rsidRPr="00996DD1">
        <w:t>rdsbidrag (tillsynskommittéerna) eller i form av driftsbidrag (IASCF, EFRAG och PIOB).</w:t>
      </w:r>
    </w:p>
    <w:p w:rsidR="00996DD1" w:rsidRPr="00996DD1" w:rsidRDefault="00996DD1">
      <w:pPr>
        <w:pStyle w:val="normal0"/>
      </w:pPr>
      <w:r w:rsidRPr="00996DD1">
        <w:t>Förslaget har fått ökad tyngd genom den rådande finanskrisen.</w:t>
      </w:r>
    </w:p>
    <w:p w:rsidR="00996DD1" w:rsidRPr="00996DD1" w:rsidRDefault="00996DD1">
      <w:pPr>
        <w:pStyle w:val="normal0"/>
      </w:pPr>
      <w:r w:rsidRPr="00996DD1">
        <w:t>Kommissionen överlämnade sitt förslag den 23 januari 2009.</w:t>
      </w:r>
    </w:p>
    <w:p w:rsidR="00996DD1" w:rsidRPr="00996DD1" w:rsidRDefault="00996DD1"/>
    <w:p w:rsidR="00996DD1" w:rsidRPr="00996DD1" w:rsidRDefault="00996DD1">
      <w:pPr>
        <w:pStyle w:val="Rubrik2"/>
      </w:pPr>
      <w:r w:rsidRPr="00996DD1">
        <w:t>Förslagets innehåll</w:t>
      </w:r>
    </w:p>
    <w:p w:rsidR="00996DD1" w:rsidRPr="00996DD1" w:rsidRDefault="00996DD1">
      <w:r w:rsidRPr="00996DD1">
        <w:t>Kommissionens förslag syftar till att säkerställa en effektiv gemenskapspolitik inom områdena finansiella tjänster, finansiell rapportering och lagstadgad revision. Förslaget innebär att ett gemenskapsprogram inrättas som möjliggör direkta bidrag till finansieringen av vissa organ inom ramen för gemenskapens budget. Programmet uppgår till 36,2 miljoner euro under fyra år (2010–2013).</w:t>
      </w:r>
    </w:p>
    <w:p w:rsidR="00996DD1" w:rsidRPr="00996DD1" w:rsidRDefault="00996DD1">
      <w:pPr>
        <w:pStyle w:val="normal0"/>
      </w:pPr>
      <w:r w:rsidRPr="00996DD1">
        <w:t>En utgångspunkt för förslaget är att göra det möjligt för de aktuella organen att kunna genomföra vissa projekt och åstadkomma en finan</w:t>
      </w:r>
      <w:r w:rsidRPr="00996DD1">
        <w:softHyphen/>
        <w:t>sieringslösning som tryggar deras oberoende roll.</w:t>
      </w:r>
    </w:p>
    <w:p w:rsidR="00996DD1" w:rsidRPr="00996DD1" w:rsidRDefault="00996DD1">
      <w:pPr>
        <w:pStyle w:val="normal0"/>
      </w:pPr>
      <w:r w:rsidRPr="00996DD1">
        <w:t>En förutsättning för tillträde till programmet ska enligt förslaget vara att stödmottagaren är en juridisk person som bedriver verksamhet utan vinstsyfte. Finansiering ska kunna komma ifråga antigen genom driftsbidrag eller åtgärdsbidrag. Bidrag ska lämnas först efter det att ett lämpligt arbetsprogram och en total preliminär budget har överlämnats till kommissionen. Som exempel på aktiviteter som kan anses vara berättigade för åtgärdsbidrag nämns bl.a. ano</w:t>
      </w:r>
      <w:r w:rsidRPr="00996DD1">
        <w:t>rdnande av konferenser, fortbildningsaktiviteter, framtagande av publikationer och forsknings</w:t>
      </w:r>
      <w:r w:rsidRPr="00996DD1">
        <w:softHyphen/>
        <w:t xml:space="preserve">verksamhet. </w:t>
      </w:r>
    </w:p>
    <w:p w:rsidR="00996DD1" w:rsidRPr="00996DD1" w:rsidRDefault="00996DD1">
      <w:pPr>
        <w:pStyle w:val="normal0"/>
      </w:pPr>
      <w:r w:rsidRPr="00996DD1">
        <w:t xml:space="preserve">Till skydd för gemenskapens intressen finns ett antal bestämmelser som reglerar på vilket sätt en stödmottagare ska stå under övervakning och på vilka sätt gemenskapens ekonomiska intressen skyddas. </w:t>
      </w:r>
    </w:p>
    <w:p w:rsidR="00996DD1" w:rsidRPr="00996DD1" w:rsidRDefault="00996DD1">
      <w:pPr>
        <w:pStyle w:val="Rubrik2"/>
      </w:pPr>
      <w:r w:rsidRPr="00996DD1">
        <w:t>Gällande svenska regler och förslagets effekt på dessa</w:t>
      </w:r>
    </w:p>
    <w:p w:rsidR="00996DD1" w:rsidRPr="00996DD1" w:rsidRDefault="00996DD1">
      <w:r w:rsidRPr="00996DD1">
        <w:t>Det finns inte några svenska regler på det område som behandlas i förslaget.</w:t>
      </w:r>
    </w:p>
    <w:p w:rsidR="00996DD1" w:rsidRPr="00996DD1" w:rsidRDefault="00996DD1">
      <w:pPr>
        <w:pStyle w:val="Rubrik2"/>
      </w:pPr>
      <w:r w:rsidRPr="00996DD1">
        <w:t>Budgetära konsekvenser / konsekvensanalys</w:t>
      </w:r>
    </w:p>
    <w:p w:rsidR="00996DD1" w:rsidRPr="00996DD1" w:rsidRDefault="00996DD1">
      <w:r w:rsidRPr="00996DD1">
        <w:t>Kommissionen föreslår att gemenskapens budget kommer att belastas med 36,2 miljoner euro fördelat över fyra år (2010–2013).</w:t>
      </w:r>
    </w:p>
    <w:p w:rsidR="00996DD1" w:rsidRPr="00996DD1" w:rsidRDefault="00996DD1">
      <w:pPr>
        <w:pStyle w:val="normal0"/>
      </w:pPr>
      <w:r w:rsidRPr="00996DD1">
        <w:t>Kommissionen aviserar att finansiering ska ske genom omfördelningar under den berörda rubriken i budgetramen.</w:t>
      </w:r>
    </w:p>
    <w:p w:rsidR="00996DD1" w:rsidRPr="00996DD1" w:rsidRDefault="00996DD1">
      <w:pPr>
        <w:pStyle w:val="Rubrik1"/>
      </w:pPr>
      <w:r w:rsidRPr="00996DD1">
        <w:t>Ståndpunkter</w:t>
      </w:r>
    </w:p>
    <w:p w:rsidR="00996DD1" w:rsidRPr="00996DD1" w:rsidRDefault="00996DD1">
      <w:pPr>
        <w:pStyle w:val="Rubrik2"/>
      </w:pPr>
      <w:r w:rsidRPr="00996DD1">
        <w:t>Preliminär svensk ståndpunkt</w:t>
      </w:r>
    </w:p>
    <w:p w:rsidR="00996DD1" w:rsidRPr="00996DD1" w:rsidRDefault="00996DD1">
      <w:r w:rsidRPr="00996DD1">
        <w:t>Regeringen delar kommissionens bedömning att de aktuella organen har en nyckelroll för konkurrensen på den inre marknaden och för dess funktion. Otillräcklig finansiering innebär en risk för att vissa av dem inte kommer att ha tillräckliga finansiella resurser för att genomföra viktiga projekt. En finansiering som inte är tillräckligt diversifierad riskerar också att leda till ett beroende av finansiering från vissa intressenter på ett sätt som riskerar att äventyra oberoendet hos några av organen. För org</w:t>
      </w:r>
      <w:r w:rsidRPr="00996DD1">
        <w:t>anens trovärdighet är det samtidigt angeläget att de även fortsättningsvis kan agera på ett oberoende sätt i förhållande till EU.</w:t>
      </w:r>
    </w:p>
    <w:p w:rsidR="00996DD1" w:rsidRPr="00996DD1" w:rsidRDefault="00996DD1">
      <w:pPr>
        <w:pStyle w:val="normal0"/>
      </w:pPr>
      <w:r w:rsidRPr="00996DD1">
        <w:t>Regeringen är positiv till förslaget men kan ännu inte ta slutlig ställning till det. Mot bakgrund av Sveriges syn på budgetrestriktivitet bör programmets budgetram och dess konsekvenser på kommissionens behov av personalresurser analyseras ytterligare. Det behöver vidare klargöras att förslaget kommer att kunna finansieras genom omprioriteringar i EU:s befintliga budgetram under</w:t>
      </w:r>
      <w:r w:rsidRPr="00996DD1">
        <w:t xml:space="preserve"> hela programperioden och vilka konsekvenser den föreslagna finansieringen får för andra områden på EU-budgeten. Det bör vidare klargöras att ett finansiellt stöd över EU-budgeten inte reducerar andra finansiärers åtaganden.</w:t>
      </w:r>
    </w:p>
    <w:p w:rsidR="00996DD1" w:rsidRPr="00996DD1" w:rsidRDefault="00996DD1">
      <w:pPr>
        <w:pStyle w:val="Rubrik2"/>
      </w:pPr>
      <w:r w:rsidRPr="00996DD1">
        <w:t>Medlemsstaternas ståndpunkter</w:t>
      </w:r>
    </w:p>
    <w:p w:rsidR="00996DD1" w:rsidRPr="00996DD1" w:rsidRDefault="00996DD1">
      <w:r w:rsidRPr="00996DD1">
        <w:t xml:space="preserve">I de diskussionen som hittills förevarit har kommissionens förslag i huvudsak mottagits positivt. Några medlemsstater har haft synpunkter på hur förslaget finansieras och på några av organisationernas nuvarande arbetsformer. </w:t>
      </w:r>
    </w:p>
    <w:p w:rsidR="00996DD1" w:rsidRPr="00996DD1" w:rsidRDefault="00996DD1">
      <w:pPr>
        <w:pStyle w:val="Rubrik2"/>
      </w:pPr>
      <w:r w:rsidRPr="00996DD1">
        <w:t>Institutionernas ståndpunkter</w:t>
      </w:r>
    </w:p>
    <w:p w:rsidR="00996DD1" w:rsidRPr="00996DD1" w:rsidRDefault="00996DD1">
      <w:r w:rsidRPr="00996DD1">
        <w:t>Institutionernas ståndpunkter är ännu inte kända.</w:t>
      </w:r>
    </w:p>
    <w:p w:rsidR="00996DD1" w:rsidRPr="00996DD1" w:rsidRDefault="00996DD1">
      <w:pPr>
        <w:pStyle w:val="Rubrik2"/>
      </w:pPr>
      <w:r w:rsidRPr="00996DD1">
        <w:t>Remissinstansernas ståndpunkter</w:t>
      </w:r>
    </w:p>
    <w:p w:rsidR="00996DD1" w:rsidRPr="00996DD1" w:rsidRDefault="00996DD1">
      <w:r w:rsidRPr="00996DD1">
        <w:t>Finansinspektionen, Revisorsnämnden, Bokföringsnämnden, Svenskt När</w:t>
      </w:r>
      <w:r w:rsidRPr="00996DD1">
        <w:softHyphen/>
        <w:t>ingsliv, FAR SRS och Föreningen för god sed på värdepappersmarknaden har haft möjlighet att yttra sig över förslaget. Organisationerna har inte haft något att invända mot förslaget.</w:t>
      </w:r>
    </w:p>
    <w:p w:rsidR="00996DD1" w:rsidRPr="00996DD1" w:rsidRDefault="00996DD1">
      <w:pPr>
        <w:pStyle w:val="Rubrik1"/>
      </w:pPr>
      <w:r w:rsidRPr="00996DD1">
        <w:t>Förslagets förutsättningar</w:t>
      </w:r>
    </w:p>
    <w:p w:rsidR="00996DD1" w:rsidRPr="00996DD1" w:rsidRDefault="00996DD1">
      <w:pPr>
        <w:pStyle w:val="Rubrik2"/>
      </w:pPr>
      <w:r w:rsidRPr="00996DD1">
        <w:t>Rättslig grund och beslutsförfarande</w:t>
      </w:r>
    </w:p>
    <w:p w:rsidR="00996DD1" w:rsidRPr="00996DD1" w:rsidRDefault="00996DD1">
      <w:pPr>
        <w:rPr>
          <w:color w:val="000000"/>
          <w:szCs w:val="19"/>
        </w:rPr>
      </w:pPr>
      <w:r w:rsidRPr="00996DD1">
        <w:t xml:space="preserve">Som rättslig grund för beslutet har åberopats artikel 95 i EG-fördraget, som är den rättsliga grunden för antagande av åtgärder som syftar till att upprätta den inre marknaden och få den att fungera. Beslut fattas enligt artikel 251 i fördraget (medbeslutandeförfarandet). </w:t>
      </w:r>
      <w:r w:rsidRPr="00996DD1">
        <w:rPr>
          <w:color w:val="000000"/>
          <w:szCs w:val="19"/>
        </w:rPr>
        <w:t>Det innebär att rådet fattar beslut med kvalificerad majoritet och att Europa</w:t>
      </w:r>
      <w:r w:rsidRPr="00996DD1">
        <w:rPr>
          <w:color w:val="000000"/>
          <w:szCs w:val="19"/>
        </w:rPr>
        <w:softHyphen/>
        <w:t>parla</w:t>
      </w:r>
      <w:r w:rsidRPr="00996DD1">
        <w:rPr>
          <w:color w:val="000000"/>
          <w:szCs w:val="19"/>
        </w:rPr>
        <w:softHyphen/>
        <w:t>ment</w:t>
      </w:r>
      <w:r w:rsidRPr="00996DD1">
        <w:rPr>
          <w:color w:val="000000"/>
          <w:szCs w:val="19"/>
        </w:rPr>
        <w:softHyphen/>
        <w:t>et har medbeslutanderätt.</w:t>
      </w:r>
    </w:p>
    <w:p w:rsidR="00996DD1" w:rsidRPr="00996DD1" w:rsidRDefault="00996DD1">
      <w:pPr>
        <w:pStyle w:val="normal0"/>
      </w:pPr>
      <w:r w:rsidRPr="00996DD1">
        <w:t xml:space="preserve">Genom beslutet ges kommissionen rätt att ändra innehållet i beslutets bilaga. Denna innehåller uppgifter om programmets stödmottagare. Kommissionen ska biträdas av en kommitté. Kommissionen ska anta åtgärderna enligt det föreskrivande förfarandet i artikel 5 i beslut 1999/468/EG med beaktande av artiklarna 7 och 8 i det beslutet. </w:t>
      </w:r>
    </w:p>
    <w:p w:rsidR="00996DD1" w:rsidRPr="00996DD1" w:rsidRDefault="00996DD1">
      <w:pPr>
        <w:pStyle w:val="Rubrik2"/>
      </w:pPr>
      <w:r w:rsidRPr="00996DD1">
        <w:t>Subsidiaritets- och proportionalitetsprincipen</w:t>
      </w:r>
    </w:p>
    <w:p w:rsidR="00996DD1" w:rsidRPr="00996DD1" w:rsidRDefault="00996DD1">
      <w:r w:rsidRPr="00996DD1">
        <w:t>Förslaget anses överensstämma med subsidiaritetsprincipen eftersom målen med förslaget inte i tillräcklig utsträckning kan uppnås av medlemsstaterna och att de därför – på grund av ärendets omfattning och verkningar – bättre uppnås på gemenskapsnivå.</w:t>
      </w:r>
    </w:p>
    <w:p w:rsidR="00996DD1" w:rsidRPr="00996DD1" w:rsidRDefault="00996DD1">
      <w:pPr>
        <w:pStyle w:val="normal0"/>
      </w:pPr>
      <w:r w:rsidRPr="00996DD1">
        <w:t>I fråga om proportionalitetsprincipen anses förslaget inte gå utöver vad som är nödvändigt för att uppnå uppsatta mål. Den finansiering som föreslås anses väl definierad och begränsad till de viktigaste organen på området för finansiella tjänster. Finansieringslösningarna säkerställer en stabil, diversifierad, sund och tillfredställande finansiering så att de gemenskapsrelaterade uppdragen eller uppdragen i gemenskapens allmänna intressen kan ske på ett oberoende och effektivt sätt.</w:t>
      </w:r>
    </w:p>
    <w:p w:rsidR="00996DD1" w:rsidRPr="00996DD1" w:rsidRDefault="00996DD1">
      <w:pPr>
        <w:pStyle w:val="Rubrik1"/>
      </w:pPr>
      <w:r w:rsidRPr="00996DD1">
        <w:t>Övrigt</w:t>
      </w:r>
    </w:p>
    <w:p w:rsidR="00996DD1" w:rsidRPr="00996DD1" w:rsidRDefault="00996DD1">
      <w:pPr>
        <w:pStyle w:val="Rubrik2"/>
      </w:pPr>
      <w:r w:rsidRPr="00996DD1">
        <w:t>Fortsatt behandling av ärendet</w:t>
      </w:r>
    </w:p>
    <w:p w:rsidR="00996DD1" w:rsidRPr="00996DD1" w:rsidRDefault="00996DD1">
      <w:r w:rsidRPr="00996DD1">
        <w:t>Ärendet kommer att behandlas i rådet under våren 2009.</w:t>
      </w:r>
    </w:p>
    <w:p w:rsidR="00996DD1" w:rsidRPr="00996DD1" w:rsidRDefault="00996DD1"/>
    <w:p w:rsidR="00996DD1" w:rsidRPr="00996DD1" w:rsidRDefault="00996DD1">
      <w:pPr>
        <w:pStyle w:val="Rubrik2"/>
      </w:pPr>
      <w:r w:rsidRPr="00996DD1">
        <w:t>Fackuttryck/termer</w:t>
      </w:r>
    </w:p>
    <w:p w:rsidR="00996DD1" w:rsidRPr="00996DD1" w:rsidRDefault="00996DD1">
      <w:r w:rsidRPr="00996DD1">
        <w:t>---</w:t>
      </w:r>
    </w:p>
    <w:p w:rsidR="00996DD1" w:rsidRPr="00996DD1" w:rsidRDefault="00996DD1"/>
    <w:sectPr w:rsidR="00000000" w:rsidRPr="00996DD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6DD1" w:rsidRPr="00996DD1" w:rsidRDefault="00996DD1">
      <w:r w:rsidRPr="00996DD1">
        <w:separator/>
      </w:r>
    </w:p>
  </w:endnote>
  <w:endnote w:type="continuationSeparator" w:id="0">
    <w:p w:rsidR="00996DD1" w:rsidRPr="00996DD1" w:rsidRDefault="00996DD1">
      <w:r w:rsidRPr="00996D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DD1" w:rsidRPr="00996DD1" w:rsidRDefault="00996DD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DD1" w:rsidRPr="00996DD1" w:rsidRDefault="00996DD1">
    <w:pPr>
      <w:pStyle w:val="SidfotH"/>
      <w:framePr w:wrap="around"/>
    </w:pPr>
    <w:r w:rsidRPr="00996DD1">
      <w:t>6</w:t>
    </w:r>
  </w:p>
  <w:p w:rsidR="00996DD1" w:rsidRPr="00996DD1" w:rsidRDefault="00996DD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DD1" w:rsidRPr="00996DD1" w:rsidRDefault="00996DD1">
    <w:pPr>
      <w:pStyle w:val="SidfotH"/>
      <w:framePr w:wrap="around"/>
    </w:pPr>
    <w:r w:rsidRPr="00996DD1">
      <w:t>1</w:t>
    </w:r>
  </w:p>
  <w:p w:rsidR="00996DD1" w:rsidRPr="00996DD1" w:rsidRDefault="00996D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6DD1" w:rsidRPr="00996DD1" w:rsidRDefault="00996DD1">
      <w:r w:rsidRPr="00996DD1">
        <w:separator/>
      </w:r>
    </w:p>
  </w:footnote>
  <w:footnote w:type="continuationSeparator" w:id="0">
    <w:p w:rsidR="00996DD1" w:rsidRPr="00996DD1" w:rsidRDefault="00996DD1">
      <w:r w:rsidRPr="00996DD1">
        <w:continuationSeparator/>
      </w:r>
    </w:p>
  </w:footnote>
  <w:footnote w:id="1">
    <w:p w:rsidR="00996DD1" w:rsidRPr="00996DD1" w:rsidRDefault="00996DD1">
      <w:pPr>
        <w:pStyle w:val="Fotnotstext"/>
      </w:pPr>
      <w:r w:rsidRPr="00996DD1">
        <w:rPr>
          <w:rStyle w:val="Fotnotsreferens"/>
        </w:rPr>
        <w:footnoteRef/>
      </w:r>
      <w:r w:rsidRPr="00996DD1">
        <w:t xml:space="preserve"> Europeiska värdepapperstillsynskommittén (CESR), Kommittén för europeiska banktillsynsmyndigheter (CEBS) och Kommittén för europeiska myndigheter med tillsyn över försäkringar och tjänstepensioner (CEIOPS).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DD1" w:rsidRPr="00996DD1" w:rsidRDefault="00996DD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DD1" w:rsidRPr="00996DD1" w:rsidRDefault="00996DD1">
    <w:pPr>
      <w:pStyle w:val="Kantrubrik"/>
      <w:framePr w:h="1157" w:hRule="exact" w:wrap="around" w:y="738"/>
    </w:pPr>
    <w:r w:rsidRPr="00996DD1">
      <w:t>2008/09:FPM95</w:t>
    </w:r>
  </w:p>
  <w:p w:rsidR="00996DD1" w:rsidRPr="00996DD1" w:rsidRDefault="00996DD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DD1" w:rsidRPr="00996DD1" w:rsidRDefault="00996DD1">
    <w:pPr>
      <w:pStyle w:val="Sidhuvud"/>
    </w:pPr>
    <w:r w:rsidRPr="00996DD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603224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6DD1" w:rsidRDefault="00996DD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42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96DD1" w:rsidRDefault="00996DD1">
                    <w:pPr>
                      <w:pStyle w:val="Logo"/>
                    </w:pPr>
                    <w:r>
                      <w:object w:dxaOrig="840" w:dyaOrig="1545">
                        <v:shape id="_x0000_i1025" type="#_x0000_t75" style="width:42pt;height:77.5pt" filled="t">
                          <v:imagedata r:id="rId1" o:title=""/>
                        </v:shape>
                        <o:OLEObject Type="Embed" ProgID="Word.Picture.8" ShapeID="_x0000_i1025" DrawAspect="Content" ObjectID="_182751042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94340592">
    <w:abstractNumId w:val="4"/>
  </w:num>
  <w:num w:numId="2" w16cid:durableId="1556509247">
    <w:abstractNumId w:val="1"/>
  </w:num>
  <w:num w:numId="3" w16cid:durableId="1040662964">
    <w:abstractNumId w:val="2"/>
  </w:num>
  <w:num w:numId="4" w16cid:durableId="1450322156">
    <w:abstractNumId w:val="3"/>
  </w:num>
  <w:num w:numId="5" w16cid:durableId="820269032">
    <w:abstractNumId w:val="5"/>
  </w:num>
  <w:num w:numId="6" w16cid:durableId="1069841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3-17"/>
    <w:docVar w:name="Ar" w:val="2008/09"/>
    <w:docVar w:name="Dep" w:val="Justitiedepartementet"/>
    <w:docVar w:name="DepWeb" w:val="Justitiedepartementet"/>
    <w:docVar w:name="GDB1" w:val="KOM(2009) 1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inrättande av ett gemenskapsprogram till stöd för särskild verksamhet på området för finansiella tjänster, finansiell rapportering och revisi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14 slutlig"/>
    <w:docVar w:name="Nr" w:val="95"/>
    <w:docVar w:name="RD_APPVERSION" w:val="3.00"/>
    <w:docVar w:name="Rub" w:val="Gemenskapsprogram till stöd för finansiella tjänster, redovisning och revision"/>
    <w:docVar w:name="UppDat" w:val="2009-03-17"/>
    <w:docVar w:name="Utsk" w:val="Finansutskottet"/>
  </w:docVars>
  <w:rsids>
    <w:rsidRoot w:val="00FA69B2"/>
    <w:rsid w:val="00996DD1"/>
    <w:rsid w:val="00FA69B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39E7C9B-5816-4A31-ACAD-B7A850F6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100" w:beforeAutospacing="1" w:after="100" w:afterAutospacing="1" w:line="240" w:lineRule="auto"/>
      <w:jc w:val="left"/>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2716">
      <w:bodyDiv w:val="1"/>
      <w:marLeft w:val="0"/>
      <w:marRight w:val="0"/>
      <w:marTop w:val="0"/>
      <w:marBottom w:val="0"/>
      <w:divBdr>
        <w:top w:val="none" w:sz="0" w:space="0" w:color="auto"/>
        <w:left w:val="none" w:sz="0" w:space="0" w:color="auto"/>
        <w:bottom w:val="none" w:sz="0" w:space="0" w:color="auto"/>
        <w:right w:val="none" w:sz="0" w:space="0" w:color="auto"/>
      </w:divBdr>
      <w:divsChild>
        <w:div w:id="1167405153">
          <w:marLeft w:val="-10"/>
          <w:marRight w:val="-10"/>
          <w:marTop w:val="0"/>
          <w:marBottom w:val="0"/>
          <w:divBdr>
            <w:top w:val="none" w:sz="0" w:space="0" w:color="auto"/>
            <w:left w:val="single" w:sz="4" w:space="0" w:color="DADADA"/>
            <w:bottom w:val="none" w:sz="0" w:space="0" w:color="auto"/>
            <w:right w:val="single" w:sz="4" w:space="0" w:color="DADADA"/>
          </w:divBdr>
          <w:divsChild>
            <w:div w:id="1700739511">
              <w:marLeft w:val="0"/>
              <w:marRight w:val="0"/>
              <w:marTop w:val="0"/>
              <w:marBottom w:val="0"/>
              <w:divBdr>
                <w:top w:val="none" w:sz="0" w:space="0" w:color="auto"/>
                <w:left w:val="single" w:sz="48" w:space="0" w:color="FFFFFF"/>
                <w:bottom w:val="none" w:sz="0" w:space="0" w:color="auto"/>
                <w:right w:val="none" w:sz="0" w:space="0" w:color="auto"/>
              </w:divBdr>
              <w:divsChild>
                <w:div w:id="1328359413">
                  <w:marLeft w:val="-10"/>
                  <w:marRight w:val="-10"/>
                  <w:marTop w:val="0"/>
                  <w:marBottom w:val="0"/>
                  <w:divBdr>
                    <w:top w:val="none" w:sz="0" w:space="0" w:color="auto"/>
                    <w:left w:val="single" w:sz="4" w:space="0" w:color="F9C661"/>
                    <w:bottom w:val="none" w:sz="0" w:space="0" w:color="auto"/>
                    <w:right w:val="single" w:sz="4" w:space="0" w:color="DADADA"/>
                  </w:divBdr>
                  <w:divsChild>
                    <w:div w:id="326907790">
                      <w:marLeft w:val="-20"/>
                      <w:marRight w:val="-30"/>
                      <w:marTop w:val="0"/>
                      <w:marBottom w:val="0"/>
                      <w:divBdr>
                        <w:top w:val="none" w:sz="0" w:space="0" w:color="auto"/>
                        <w:left w:val="none" w:sz="0" w:space="0" w:color="auto"/>
                        <w:bottom w:val="none" w:sz="0" w:space="0" w:color="auto"/>
                        <w:right w:val="none" w:sz="0" w:space="0" w:color="auto"/>
                      </w:divBdr>
                      <w:divsChild>
                        <w:div w:id="67380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1117</Words>
  <Characters>7290</Characters>
  <Application>Microsoft Office Word</Application>
  <DocSecurity>4</DocSecurity>
  <Lines>186</Lines>
  <Paragraphs>59</Paragraphs>
  <ScaleCrop>false</ScaleCrop>
  <HeadingPairs>
    <vt:vector size="2" baseType="variant">
      <vt:variant>
        <vt:lpstr>Rubrik</vt:lpstr>
      </vt:variant>
      <vt:variant>
        <vt:i4>1</vt:i4>
      </vt:variant>
    </vt:vector>
  </HeadingPairs>
  <TitlesOfParts>
    <vt:vector size="1" baseType="lpstr">
      <vt:lpstr>FPM_200809__95</vt:lpstr>
    </vt:vector>
  </TitlesOfParts>
  <Company>RD-DTSL</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FPM_200809__95</dc:title>
  <dc:subject>FPM_200809__95</dc:subject>
  <dc:creator>Riksdagen</dc:creator>
  <cp:keywords>Riksdagen</cp:keywords>
  <dc:description>KP2004-version.  Ändringarna påverkar enbart användningen inom Riksdagen. 050429 nya departement DTSL.</dc:description>
  <cp:lastModifiedBy>Lars Brink</cp:lastModifiedBy>
  <cp:revision>2</cp:revision>
  <cp:lastPrinted>2009-03-17T12:36:00Z</cp:lastPrinted>
  <dcterms:created xsi:type="dcterms:W3CDTF">2025-12-17T19:12:00Z</dcterms:created>
  <dcterms:modified xsi:type="dcterms:W3CDTF">2025-12-17T19:12:00Z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95</vt:lpwstr></property><property fmtid="{D5CDD505-2E9C-101B-9397-08002B2CF9AE}" pid="4" name="GDB1"><vt:lpwstr>KOM(2009) 14 slutlig</vt:lpwstr></property><property fmtid="{D5CDD505-2E9C-101B-9397-08002B2CF9AE}" pid="5" name="GDT1"><vt:lpwstr> </vt:lpwstr></property><property fmtid="{D5CDD505-2E9C-101B-9397-08002B2CF9AE}" pid="6" name="Dep"><vt:lpwstr>Justitiedepartementet</vt:lpwstr></property><property fmtid="{D5CDD505-2E9C-101B-9397-08002B2CF9AE}" pid="7" name="Rub"><vt:lpwstr>Gemenskapsprogram till stöd för finansiella tjänster, redovisning och revision</vt:lpwstr></property><property fmtid="{D5CDD505-2E9C-101B-9397-08002B2CF9AE}" pid="8" name="UppDat"><vt:lpwstr>2009-03-17</vt:lpwstr></property><property fmtid="{D5CDD505-2E9C-101B-9397-08002B2CF9AE}" pid="9" name="AnkDat"><vt:lpwstr>2009-03-17</vt:lpwstr></property><property fmtid="{D5CDD505-2E9C-101B-9397-08002B2CF9AE}" pid="10" name="Utsk"><vt:lpwstr>Finansutskottet</vt:lpwstr></property><property fmtid="{D5CDD505-2E9C-101B-9397-08002B2CF9AE}" pid="11" name="Ar"><vt:lpwstr>2008/09</vt:lpwstr></property><property fmtid="{D5CDD505-2E9C-101B-9397-08002B2CF9AE}" pid="12" name="Dokumenttyp"><vt:lpwstr> FaktaPM</vt:lpwstr></property><property fmtid="{D5CDD505-2E9C-101B-9397-08002B2CF9AE}" pid="13" name="Epostadress"><vt:lpwstr>jb0203aa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JA</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2;0;0;198</vt:lpwstr></property><property fmtid="{D5CDD505-2E9C-101B-9397-08002B2CF9AE}" pid="42" name="Sprak"><vt:lpwstr>Svenska</vt:lpwstr></property><property fmtid="{D5CDD505-2E9C-101B-9397-08002B2CF9AE}" pid="43" name="DokID"><vt:i4>80</vt:i4></property><property fmtid="{D5CDD505-2E9C-101B-9397-08002B2CF9AE}" pid="44" name="켄rsvarsdepartem"><vt:lpwstr>NEJ</vt:lpwstr></property><property fmtid="{D5CDD505-2E9C-101B-9397-08002B2CF9AE}" pid="45" name="RKOrdnaDepartement"><vt:lpwstr>Statsrådsberedningen</vt:lpwstr></property><property fmtid="{D5CDD505-2E9C-101B-9397-08002B2CF9AE}" pid="46" name="RKOrdnaActivityCategory"><vt:lpwstr>4.1. Europeiska unionen</vt:lpwstr></property><property fmtid="{D5CDD505-2E9C-101B-9397-08002B2CF9AE}" pid="47" name="RKOrdnaDiarienummer"><vt:lpwstr></vt:lpwstr></property><property fmtid="{D5CDD505-2E9C-101B-9397-08002B2CF9AE}" pid="48" name="ContentType"><vt:lpwstr>Word</vt:lpwstr></property><property fmtid="{D5CDD505-2E9C-101B-9397-08002B2CF9AE}" pid="49" name="RKOrdnaSearchKeywords"><vt:lpwstr></vt:lpwstr></property><property fmtid="{D5CDD505-2E9C-101B-9397-08002B2CF9AE}" pid="50" name="RKOrdnaSarskildSkyddsvard"><vt:lpwstr>0</vt:lpwstr></property></Properties>
</file>