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F66E70" w:rsidRPr="0063262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F66E7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F66E7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F66E70" w:rsidRPr="00632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C81D7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32625">
              <w:rPr>
                <w:rFonts w:ascii="TradeGothic" w:hAnsi="TradeGothic"/>
                <w:b/>
                <w:sz w:val="22"/>
              </w:rPr>
              <w:t>Rådsp</w:t>
            </w:r>
            <w:r w:rsidR="00CE54EF" w:rsidRPr="00632625">
              <w:rPr>
                <w:rFonts w:ascii="TradeGothic" w:hAnsi="TradeGothic"/>
                <w:b/>
                <w:sz w:val="22"/>
              </w:rPr>
              <w:t>romemoria</w:t>
            </w:r>
          </w:p>
        </w:tc>
      </w:tr>
      <w:tr w:rsidR="00F66E70" w:rsidRPr="0063262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F66E70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F66E70">
            <w:pPr>
              <w:framePr w:w="4400" w:h="1644" w:wrap="notBeside" w:vAnchor="page" w:hAnchor="page" w:x="6573" w:y="721"/>
            </w:pPr>
          </w:p>
        </w:tc>
      </w:tr>
      <w:tr w:rsidR="00F66E70" w:rsidRPr="0063262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D56F59">
            <w:pPr>
              <w:framePr w:w="4400" w:h="1644" w:wrap="notBeside" w:vAnchor="page" w:hAnchor="page" w:x="6573" w:y="721"/>
            </w:pPr>
            <w:bookmarkStart w:id="0" w:name="Datum"/>
            <w:bookmarkEnd w:id="0"/>
            <w:r w:rsidRPr="00632625">
              <w:t>2010</w:t>
            </w:r>
            <w:r w:rsidR="000A6B2C" w:rsidRPr="00632625">
              <w:t>-</w:t>
            </w:r>
            <w:r w:rsidR="00062691" w:rsidRPr="00632625">
              <w:t>1</w:t>
            </w:r>
            <w:r w:rsidR="004D31EB" w:rsidRPr="00632625">
              <w:t>1</w:t>
            </w:r>
            <w:r w:rsidR="000A6B2C" w:rsidRPr="00632625">
              <w:t>-</w:t>
            </w:r>
            <w:r w:rsidR="00B16F83" w:rsidRPr="00632625">
              <w:t>19</w:t>
            </w:r>
          </w:p>
          <w:p w:rsidR="00431A2B" w:rsidRPr="00632625" w:rsidRDefault="00431A2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F66E70">
            <w:pPr>
              <w:framePr w:w="4400" w:h="1644" w:wrap="notBeside" w:vAnchor="page" w:hAnchor="page" w:x="6573" w:y="721"/>
            </w:pPr>
          </w:p>
        </w:tc>
      </w:tr>
      <w:tr w:rsidR="00F66E70" w:rsidRPr="00632625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F66E70">
            <w:pPr>
              <w:framePr w:w="4400" w:h="1644" w:wrap="notBeside" w:vAnchor="page" w:hAnchor="page" w:x="6573" w:y="721"/>
              <w:rPr>
                <w:b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F66E70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F66E70" w:rsidRPr="006326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F66E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32625">
              <w:rPr>
                <w:b/>
                <w:i w:val="0"/>
                <w:sz w:val="22"/>
              </w:rPr>
              <w:t>Justitiedepartementet</w:t>
            </w:r>
          </w:p>
        </w:tc>
      </w:tr>
      <w:tr w:rsidR="00F66E70" w:rsidRPr="006326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F66E70" w:rsidRPr="00632625" w:rsidRDefault="00F66E70">
            <w:pPr>
              <w:pStyle w:val="Avsndare"/>
              <w:framePr w:h="2483" w:wrap="notBeside" w:x="1504"/>
            </w:pPr>
          </w:p>
        </w:tc>
      </w:tr>
      <w:tr w:rsidR="00A03394" w:rsidRPr="006326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A03394" w:rsidRPr="00632625" w:rsidRDefault="00E21532" w:rsidP="00A03394">
            <w:pPr>
              <w:pStyle w:val="Avsndare"/>
              <w:framePr w:h="2483" w:wrap="notBeside" w:x="1504"/>
            </w:pPr>
            <w:bookmarkStart w:id="1" w:name="Enhet"/>
            <w:bookmarkEnd w:id="1"/>
            <w:r w:rsidRPr="00632625">
              <w:t>Polise</w:t>
            </w:r>
            <w:r w:rsidR="00A03394" w:rsidRPr="00632625">
              <w:t>nheten</w:t>
            </w:r>
          </w:p>
        </w:tc>
      </w:tr>
      <w:tr w:rsidR="00A03394" w:rsidRPr="006326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A03394" w:rsidRPr="00632625" w:rsidRDefault="00A03394" w:rsidP="00A03394">
            <w:pPr>
              <w:pStyle w:val="Avsndare"/>
              <w:framePr w:h="2483" w:wrap="notBeside" w:x="1504"/>
            </w:pPr>
          </w:p>
        </w:tc>
      </w:tr>
      <w:tr w:rsidR="00A03394" w:rsidRPr="006326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A03394" w:rsidRPr="00632625" w:rsidRDefault="00A03394" w:rsidP="00A03394">
            <w:pPr>
              <w:pStyle w:val="Avsndare"/>
              <w:framePr w:h="2483" w:wrap="notBeside" w:x="1504"/>
            </w:pPr>
          </w:p>
        </w:tc>
      </w:tr>
      <w:tr w:rsidR="00A03394" w:rsidRPr="006326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A03394" w:rsidRPr="00632625" w:rsidRDefault="00A03394" w:rsidP="00A03394">
            <w:pPr>
              <w:pStyle w:val="Avsndare"/>
              <w:framePr w:h="2483" w:wrap="notBeside" w:x="1504"/>
            </w:pPr>
          </w:p>
        </w:tc>
      </w:tr>
      <w:tr w:rsidR="00A03394" w:rsidRPr="006326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A03394" w:rsidRPr="00632625" w:rsidRDefault="00A03394" w:rsidP="00A03394">
            <w:pPr>
              <w:pStyle w:val="Avsndare"/>
              <w:framePr w:h="2483" w:wrap="notBeside" w:x="1504"/>
            </w:pPr>
          </w:p>
        </w:tc>
      </w:tr>
    </w:tbl>
    <w:p w:rsidR="00C84483" w:rsidRPr="00632625" w:rsidRDefault="009F06CB" w:rsidP="000A6B2C">
      <w:pPr>
        <w:pStyle w:val="RKrubrik"/>
        <w:pBdr>
          <w:bottom w:val="single" w:sz="6" w:space="1" w:color="auto"/>
        </w:pBdr>
        <w:rPr>
          <w:b w:val="0"/>
        </w:rPr>
      </w:pPr>
      <w:r w:rsidRPr="00632625">
        <w:t>Rådets möte (rättsliga och inrikes frågor)</w:t>
      </w:r>
      <w:r w:rsidR="00C81D7C" w:rsidRPr="00632625">
        <w:t xml:space="preserve"> den 2-3 d</w:t>
      </w:r>
      <w:r w:rsidR="00C81D7C" w:rsidRPr="00632625">
        <w:t>e</w:t>
      </w:r>
      <w:r w:rsidR="00C81D7C" w:rsidRPr="00632625">
        <w:t>cember 2010</w:t>
      </w:r>
    </w:p>
    <w:p w:rsidR="00C81D7C" w:rsidRPr="00632625" w:rsidRDefault="00C81D7C" w:rsidP="00C81D7C">
      <w:pPr>
        <w:pStyle w:val="RKnormal"/>
      </w:pPr>
    </w:p>
    <w:p w:rsidR="00C81D7C" w:rsidRPr="00632625" w:rsidRDefault="00C81D7C" w:rsidP="00C81D7C">
      <w:pPr>
        <w:pStyle w:val="RKnormal"/>
      </w:pPr>
      <w:r w:rsidRPr="00632625">
        <w:t>Dagordningspunkt: 14</w:t>
      </w:r>
    </w:p>
    <w:p w:rsidR="00C81D7C" w:rsidRPr="00632625" w:rsidRDefault="00C81D7C" w:rsidP="00C81D7C">
      <w:pPr>
        <w:pStyle w:val="RKnormal"/>
      </w:pPr>
    </w:p>
    <w:p w:rsidR="00C81D7C" w:rsidRPr="00632625" w:rsidRDefault="00C81D7C" w:rsidP="00C81D7C">
      <w:pPr>
        <w:pStyle w:val="RKnormal"/>
      </w:pPr>
      <w:r w:rsidRPr="00632625">
        <w:t>Rubrik: Förslag till EU-handlingsplan om bekämpning av illegal ha</w:t>
      </w:r>
      <w:r w:rsidRPr="00632625">
        <w:t>n</w:t>
      </w:r>
      <w:r w:rsidRPr="00632625">
        <w:t>del med tunga vapen.</w:t>
      </w:r>
    </w:p>
    <w:p w:rsidR="00C81D7C" w:rsidRPr="00632625" w:rsidRDefault="00C81D7C" w:rsidP="00C81D7C">
      <w:pPr>
        <w:pStyle w:val="RKnormal"/>
      </w:pPr>
    </w:p>
    <w:p w:rsidR="00C81D7C" w:rsidRPr="00632625" w:rsidRDefault="00C81D7C" w:rsidP="00C81D7C">
      <w:pPr>
        <w:pStyle w:val="RKnormal"/>
      </w:pPr>
      <w:r w:rsidRPr="00632625">
        <w:t xml:space="preserve">Dokument: </w:t>
      </w:r>
      <w:r w:rsidR="009F06CB" w:rsidRPr="00632625">
        <w:t>d</w:t>
      </w:r>
      <w:r w:rsidR="00B16F83" w:rsidRPr="00632625">
        <w:t>et</w:t>
      </w:r>
      <w:r w:rsidR="009F06CB" w:rsidRPr="00632625">
        <w:t xml:space="preserve"> har ännu inte presenterats något </w:t>
      </w:r>
      <w:r w:rsidR="00262AAC" w:rsidRPr="00632625">
        <w:t>dokument för b</w:t>
      </w:r>
      <w:r w:rsidR="00262AAC" w:rsidRPr="00632625">
        <w:t>e</w:t>
      </w:r>
      <w:r w:rsidR="00262AAC" w:rsidRPr="00632625">
        <w:t>handlingen i rådet.</w:t>
      </w:r>
    </w:p>
    <w:p w:rsidR="00C81D7C" w:rsidRPr="00632625" w:rsidRDefault="00C81D7C" w:rsidP="00C81D7C">
      <w:pPr>
        <w:pStyle w:val="RKnormal"/>
      </w:pPr>
    </w:p>
    <w:p w:rsidR="00C81D7C" w:rsidRPr="00632625" w:rsidRDefault="00C81D7C" w:rsidP="00C81D7C">
      <w:pPr>
        <w:pStyle w:val="RKnormal"/>
      </w:pPr>
      <w:r w:rsidRPr="00632625">
        <w:t xml:space="preserve">Tidigare dokument:  </w:t>
      </w:r>
      <w:r w:rsidR="00262AAC" w:rsidRPr="00632625">
        <w:t>14076/2 /10 REV 2 ENFOPOL 262 (bifogas)</w:t>
      </w:r>
    </w:p>
    <w:p w:rsidR="00306B7E" w:rsidRPr="00632625" w:rsidRDefault="00306B7E" w:rsidP="00C81D7C">
      <w:pPr>
        <w:pStyle w:val="RKnormal"/>
      </w:pPr>
    </w:p>
    <w:p w:rsidR="00C81D7C" w:rsidRPr="00632625" w:rsidRDefault="00C81D7C" w:rsidP="00C81D7C">
      <w:pPr>
        <w:pStyle w:val="RKnormal"/>
      </w:pPr>
      <w:r w:rsidRPr="00632625">
        <w:t>Tidigare behandlad vid samråd med EU-nämnden: -</w:t>
      </w:r>
    </w:p>
    <w:p w:rsidR="00C81D7C" w:rsidRPr="00632625" w:rsidRDefault="00C81D7C" w:rsidP="00C81D7C">
      <w:pPr>
        <w:pStyle w:val="RKnormal"/>
      </w:pPr>
    </w:p>
    <w:p w:rsidR="00C81D7C" w:rsidRPr="00632625" w:rsidRDefault="00C81D7C" w:rsidP="00C81D7C">
      <w:pPr>
        <w:pStyle w:val="RKrubrik"/>
      </w:pPr>
      <w:r w:rsidRPr="00632625">
        <w:t>Bakgrund (inkl. syftet med behandlingen i rådet)</w:t>
      </w:r>
    </w:p>
    <w:p w:rsidR="00C81D7C" w:rsidRPr="00632625" w:rsidRDefault="00C81D7C" w:rsidP="00B16F83">
      <w:r w:rsidRPr="00632625">
        <w:t xml:space="preserve">Det </w:t>
      </w:r>
      <w:r w:rsidR="00B16F83" w:rsidRPr="00632625">
        <w:t>belgiska</w:t>
      </w:r>
      <w:r w:rsidRPr="00632625">
        <w:t xml:space="preserve"> ordförandeskapet </w:t>
      </w:r>
      <w:r w:rsidR="00B16F83" w:rsidRPr="00632625">
        <w:t xml:space="preserve">i EU </w:t>
      </w:r>
      <w:r w:rsidRPr="00632625">
        <w:t>presenterade i somras ett förslag till EU-handlingsplan för bekämpning av handel med tunga vapen. Vid de europeiska vapenexperternas möte den 29 september 2010 diskut</w:t>
      </w:r>
      <w:r w:rsidRPr="00632625">
        <w:t>e</w:t>
      </w:r>
      <w:r w:rsidRPr="00632625">
        <w:t>rades ett första utkast till handlingsplan (ENFOPOL 262). I h</w:t>
      </w:r>
      <w:r w:rsidRPr="00632625">
        <w:t>u</w:t>
      </w:r>
      <w:r w:rsidRPr="00632625">
        <w:t xml:space="preserve">vudsak rådde det enighet om </w:t>
      </w:r>
      <w:r w:rsidR="00262AAC" w:rsidRPr="00632625">
        <w:t xml:space="preserve">handlingsplanen </w:t>
      </w:r>
      <w:r w:rsidRPr="00632625">
        <w:t xml:space="preserve">bland experterna. </w:t>
      </w:r>
    </w:p>
    <w:p w:rsidR="00C81D7C" w:rsidRPr="00632625" w:rsidRDefault="00C81D7C" w:rsidP="00B16F83"/>
    <w:p w:rsidR="00C81D7C" w:rsidRPr="00632625" w:rsidRDefault="008C62A5" w:rsidP="00B16F83">
      <w:r w:rsidRPr="00632625">
        <w:t>En</w:t>
      </w:r>
      <w:r w:rsidR="00C81D7C" w:rsidRPr="00632625">
        <w:t xml:space="preserve"> fråga som orsaka</w:t>
      </w:r>
      <w:r w:rsidRPr="00632625">
        <w:t>t</w:t>
      </w:r>
      <w:r w:rsidR="00C81D7C" w:rsidRPr="00632625">
        <w:t xml:space="preserve"> diskussion </w:t>
      </w:r>
      <w:r w:rsidR="00B16F83" w:rsidRPr="00632625">
        <w:t>är</w:t>
      </w:r>
      <w:r w:rsidR="00C81D7C" w:rsidRPr="00632625">
        <w:t xml:space="preserve"> definitionen av </w:t>
      </w:r>
      <w:r w:rsidR="00262AAC" w:rsidRPr="00632625">
        <w:t>tunga vapen (</w:t>
      </w:r>
      <w:r w:rsidR="00C81D7C" w:rsidRPr="00632625">
        <w:rPr>
          <w:i/>
        </w:rPr>
        <w:t>heavy firearms</w:t>
      </w:r>
      <w:r w:rsidR="00262AAC" w:rsidRPr="00632625">
        <w:rPr>
          <w:i/>
        </w:rPr>
        <w:t>)</w:t>
      </w:r>
      <w:r w:rsidR="00C81D7C" w:rsidRPr="00632625">
        <w:t>, vilken bland an</w:t>
      </w:r>
      <w:r w:rsidRPr="00632625">
        <w:t>dra</w:t>
      </w:r>
      <w:r w:rsidR="00C81D7C" w:rsidRPr="00632625">
        <w:t xml:space="preserve"> S</w:t>
      </w:r>
      <w:r w:rsidRPr="00632625">
        <w:t xml:space="preserve">verige </w:t>
      </w:r>
      <w:r w:rsidR="00C81D7C" w:rsidRPr="00632625">
        <w:t>ansåg vara mindre bra. S</w:t>
      </w:r>
      <w:r w:rsidRPr="00632625">
        <w:t>verige l</w:t>
      </w:r>
      <w:r w:rsidR="00C81D7C" w:rsidRPr="00632625">
        <w:t xml:space="preserve">ämnade också </w:t>
      </w:r>
      <w:r w:rsidR="003F6740" w:rsidRPr="00632625">
        <w:t>förslag</w:t>
      </w:r>
      <w:r w:rsidRPr="00632625">
        <w:t xml:space="preserve">et </w:t>
      </w:r>
      <w:r w:rsidR="003F6740" w:rsidRPr="00632625">
        <w:t>att använda kategoriseringen i EU:s vapend</w:t>
      </w:r>
      <w:r w:rsidR="003F6740" w:rsidRPr="00632625">
        <w:t>i</w:t>
      </w:r>
      <w:r w:rsidR="003F6740" w:rsidRPr="00632625">
        <w:t xml:space="preserve">rektiv </w:t>
      </w:r>
      <w:r w:rsidR="00F8290B" w:rsidRPr="00632625">
        <w:rPr>
          <w:rFonts w:cs="Helv"/>
          <w:color w:val="000000"/>
          <w:szCs w:val="24"/>
        </w:rPr>
        <w:t xml:space="preserve">91/477/EEG </w:t>
      </w:r>
      <w:r w:rsidR="003F6740" w:rsidRPr="00632625">
        <w:t>som en mall för definition</w:t>
      </w:r>
      <w:r w:rsidRPr="00632625">
        <w:t>en av ”tunga vapen”</w:t>
      </w:r>
      <w:r w:rsidR="003F6740" w:rsidRPr="00632625">
        <w:t xml:space="preserve">. Vid diskussioner i </w:t>
      </w:r>
      <w:r w:rsidR="00B16F83" w:rsidRPr="00632625">
        <w:t>behörig råds</w:t>
      </w:r>
      <w:r w:rsidR="003F6740" w:rsidRPr="00632625">
        <w:t>arbetsgrup</w:t>
      </w:r>
      <w:r w:rsidR="00B16F83" w:rsidRPr="00632625">
        <w:t>p</w:t>
      </w:r>
      <w:r w:rsidR="003F6740" w:rsidRPr="00632625">
        <w:t xml:space="preserve"> enades </w:t>
      </w:r>
      <w:r w:rsidR="00B16F83" w:rsidRPr="00632625">
        <w:t>man</w:t>
      </w:r>
      <w:r w:rsidR="003F6740" w:rsidRPr="00632625">
        <w:t xml:space="preserve"> </w:t>
      </w:r>
      <w:r w:rsidRPr="00632625">
        <w:t xml:space="preserve">dock </w:t>
      </w:r>
      <w:r w:rsidR="003F6740" w:rsidRPr="00632625">
        <w:t>om en bety</w:t>
      </w:r>
      <w:r w:rsidR="003F6740" w:rsidRPr="00632625">
        <w:t>d</w:t>
      </w:r>
      <w:r w:rsidR="003F6740" w:rsidRPr="00632625">
        <w:t>ligt vid</w:t>
      </w:r>
      <w:r w:rsidR="003F6740" w:rsidRPr="00632625">
        <w:t>a</w:t>
      </w:r>
      <w:r w:rsidR="003F6740" w:rsidRPr="00632625">
        <w:t>re</w:t>
      </w:r>
      <w:r w:rsidRPr="00632625">
        <w:t xml:space="preserve"> definition, nämligen ”så kallade tunga vapen som används eller kan komma att användas vid grova brott”. Som exempel på såd</w:t>
      </w:r>
      <w:r w:rsidRPr="00632625">
        <w:t>a</w:t>
      </w:r>
      <w:r w:rsidRPr="00632625">
        <w:t>na tunga vapen angavs automatvapen, kulsprutor och bärbara pansa</w:t>
      </w:r>
      <w:r w:rsidRPr="00632625">
        <w:t>r</w:t>
      </w:r>
      <w:r w:rsidRPr="00632625">
        <w:t xml:space="preserve">brytande vapen. </w:t>
      </w:r>
      <w:r w:rsidR="00C81D7C" w:rsidRPr="00632625">
        <w:t xml:space="preserve"> </w:t>
      </w:r>
    </w:p>
    <w:p w:rsidR="00C81D7C" w:rsidRPr="00632625" w:rsidRDefault="00C81D7C" w:rsidP="00B16F83"/>
    <w:p w:rsidR="008C62A5" w:rsidRPr="00632625" w:rsidRDefault="008C62A5" w:rsidP="00B16F83">
      <w:r w:rsidRPr="00632625">
        <w:lastRenderedPageBreak/>
        <w:t xml:space="preserve">Avsikten vid RIF-rådet är att </w:t>
      </w:r>
      <w:r w:rsidR="00262AAC" w:rsidRPr="00632625">
        <w:t>som en s.k. falsk B-punkt godkänna EU-handlingsplanen för bekämpning av handel med tunga v</w:t>
      </w:r>
      <w:r w:rsidR="00262AAC" w:rsidRPr="00632625">
        <w:t>a</w:t>
      </w:r>
      <w:r w:rsidR="00262AAC" w:rsidRPr="00632625">
        <w:t>pen</w:t>
      </w:r>
      <w:r w:rsidRPr="00632625">
        <w:t>.</w:t>
      </w:r>
    </w:p>
    <w:p w:rsidR="008C62A5" w:rsidRPr="00632625" w:rsidRDefault="008C62A5" w:rsidP="00C81D7C">
      <w:pPr>
        <w:jc w:val="both"/>
      </w:pPr>
    </w:p>
    <w:p w:rsidR="00C81D7C" w:rsidRPr="00632625" w:rsidRDefault="00C81D7C" w:rsidP="00C81D7C">
      <w:pPr>
        <w:pStyle w:val="RKrubrik"/>
      </w:pPr>
      <w:r w:rsidRPr="00632625">
        <w:t>Rättslig grund och beslutsförfarande</w:t>
      </w:r>
    </w:p>
    <w:p w:rsidR="00C81D7C" w:rsidRPr="00632625" w:rsidRDefault="003F6740" w:rsidP="00C81D7C">
      <w:r w:rsidRPr="00632625">
        <w:t>-</w:t>
      </w:r>
    </w:p>
    <w:p w:rsidR="00C81D7C" w:rsidRPr="00632625" w:rsidRDefault="00C81D7C" w:rsidP="00C81D7C">
      <w:pPr>
        <w:pStyle w:val="RKrubrik"/>
        <w:rPr>
          <w:i/>
          <w:iCs/>
        </w:rPr>
      </w:pPr>
      <w:r w:rsidRPr="00632625">
        <w:rPr>
          <w:i/>
          <w:iCs/>
        </w:rPr>
        <w:t>Svensk ståndpunkt</w:t>
      </w:r>
    </w:p>
    <w:p w:rsidR="00C81D7C" w:rsidRPr="00632625" w:rsidRDefault="008C62A5" w:rsidP="008C62A5">
      <w:pPr>
        <w:pStyle w:val="RKnormal"/>
      </w:pPr>
      <w:r w:rsidRPr="00632625">
        <w:t xml:space="preserve">Sverige kan </w:t>
      </w:r>
      <w:r w:rsidR="00306B7E" w:rsidRPr="00632625">
        <w:t>godkänna</w:t>
      </w:r>
      <w:r w:rsidRPr="00632625">
        <w:t xml:space="preserve"> den föreslagna handlingsplanen. </w:t>
      </w:r>
    </w:p>
    <w:p w:rsidR="00C81D7C" w:rsidRPr="00632625" w:rsidRDefault="00C81D7C" w:rsidP="00C81D7C">
      <w:pPr>
        <w:pStyle w:val="RKrubrik"/>
      </w:pPr>
      <w:r w:rsidRPr="00632625">
        <w:t>Europaparlamentets inställning</w:t>
      </w:r>
    </w:p>
    <w:p w:rsidR="00C81D7C" w:rsidRPr="00632625" w:rsidRDefault="00C81D7C" w:rsidP="00C81D7C">
      <w:pPr>
        <w:pStyle w:val="RKnormal"/>
      </w:pPr>
      <w:r w:rsidRPr="00632625">
        <w:t xml:space="preserve">Europaparlamentet </w:t>
      </w:r>
      <w:r w:rsidR="000A054B" w:rsidRPr="00632625">
        <w:t>berörs inte av förslaget.</w:t>
      </w:r>
      <w:r w:rsidRPr="00632625">
        <w:t xml:space="preserve">  </w:t>
      </w:r>
    </w:p>
    <w:p w:rsidR="00C81D7C" w:rsidRPr="00632625" w:rsidRDefault="00C81D7C" w:rsidP="00C81D7C">
      <w:pPr>
        <w:pStyle w:val="RKrubrik"/>
        <w:rPr>
          <w:i/>
          <w:iCs/>
        </w:rPr>
      </w:pPr>
      <w:r w:rsidRPr="00632625">
        <w:rPr>
          <w:i/>
          <w:iCs/>
        </w:rPr>
        <w:t>Förslaget</w:t>
      </w:r>
    </w:p>
    <w:p w:rsidR="008C62A5" w:rsidRPr="00632625" w:rsidRDefault="00C81D7C" w:rsidP="00C81D7C">
      <w:r w:rsidRPr="00632625">
        <w:t xml:space="preserve">Förslaget innebär i korthet att </w:t>
      </w:r>
      <w:r w:rsidR="000A054B" w:rsidRPr="00632625">
        <w:t>medlemsstaterna uppmanas att förbät</w:t>
      </w:r>
      <w:r w:rsidR="000A054B" w:rsidRPr="00632625">
        <w:t>t</w:t>
      </w:r>
      <w:r w:rsidR="000A054B" w:rsidRPr="00632625">
        <w:t>ra sina kapaciteter att bekämpa spridning och användning av s.k. tunga vapen</w:t>
      </w:r>
      <w:r w:rsidR="008C62A5" w:rsidRPr="00632625">
        <w:t xml:space="preserve"> i brottssammanhang</w:t>
      </w:r>
      <w:r w:rsidR="000A054B" w:rsidRPr="00632625">
        <w:t xml:space="preserve"> (t.ex. automatvapen, bärbara pa</w:t>
      </w:r>
      <w:r w:rsidR="000A054B" w:rsidRPr="00632625">
        <w:t>n</w:t>
      </w:r>
      <w:r w:rsidR="000A054B" w:rsidRPr="00632625">
        <w:t>sarbrytande vapen och kulsprutor) genom ett bättre utnyttjande av redan befintliga rättsliga system och det gränsöverskridande rättsliga och polisiära sa</w:t>
      </w:r>
      <w:r w:rsidR="000A054B" w:rsidRPr="00632625">
        <w:t>m</w:t>
      </w:r>
      <w:r w:rsidR="000A054B" w:rsidRPr="00632625">
        <w:t xml:space="preserve">arbetet. Andra åtgärder som föreslås är förbättrad utbildning, </w:t>
      </w:r>
      <w:r w:rsidR="008C62A5" w:rsidRPr="00632625">
        <w:t>förbättrad finansiell kontroll</w:t>
      </w:r>
      <w:r w:rsidR="000A054B" w:rsidRPr="00632625">
        <w:t xml:space="preserve"> och </w:t>
      </w:r>
      <w:r w:rsidR="008C62A5" w:rsidRPr="00632625">
        <w:t>ett förstärkt samarbete med länderna i Balkanregionen, varifrån många av dessa vapen ko</w:t>
      </w:r>
      <w:r w:rsidR="008C62A5" w:rsidRPr="00632625">
        <w:t>m</w:t>
      </w:r>
      <w:r w:rsidR="008C62A5" w:rsidRPr="00632625">
        <w:t xml:space="preserve">mer. Ytterligare en åtgärd vore att i högre utsträckning använda sig av redan befintliga system </w:t>
      </w:r>
      <w:r w:rsidR="004229DB" w:rsidRPr="00632625">
        <w:t xml:space="preserve">för informationsutbyte </w:t>
      </w:r>
      <w:r w:rsidR="008C62A5" w:rsidRPr="00632625">
        <w:t>hos Europol</w:t>
      </w:r>
      <w:r w:rsidR="004229DB" w:rsidRPr="00632625">
        <w:t xml:space="preserve">, inklusive Europols samarbete med EU:s civila krishanteringsmissioner i Västra Balkan, </w:t>
      </w:r>
      <w:r w:rsidR="008C62A5" w:rsidRPr="00632625">
        <w:t>för att spåra vapen, kriminella organisationer och pengar som har koppling till dessa typer av vapen.</w:t>
      </w:r>
    </w:p>
    <w:p w:rsidR="00C81D7C" w:rsidRPr="00632625" w:rsidRDefault="00C81D7C" w:rsidP="00C81D7C"/>
    <w:p w:rsidR="008C62A5" w:rsidRPr="00632625" w:rsidRDefault="008C62A5" w:rsidP="00C81D7C">
      <w:pPr>
        <w:pStyle w:val="RKnormal"/>
      </w:pPr>
      <w:r w:rsidRPr="00632625">
        <w:t>Förslaget är inte av rättsligt bindande karaktär</w:t>
      </w:r>
      <w:r w:rsidR="004229DB" w:rsidRPr="00632625">
        <w:t xml:space="preserve"> för medlemsstaterna</w:t>
      </w:r>
      <w:r w:rsidRPr="00632625">
        <w:t>.</w:t>
      </w:r>
      <w:r w:rsidR="00262AAC" w:rsidRPr="00632625">
        <w:t xml:space="preserve"> </w:t>
      </w:r>
    </w:p>
    <w:p w:rsidR="00C81D7C" w:rsidRPr="00632625" w:rsidRDefault="00C81D7C" w:rsidP="00C81D7C">
      <w:pPr>
        <w:pStyle w:val="RKrubrik"/>
        <w:rPr>
          <w:i/>
          <w:iCs/>
        </w:rPr>
      </w:pPr>
      <w:r w:rsidRPr="00632625">
        <w:rPr>
          <w:i/>
          <w:iCs/>
        </w:rPr>
        <w:t>Gällande svenska regler och förslagets effekter på de</w:t>
      </w:r>
      <w:r w:rsidRPr="00632625">
        <w:rPr>
          <w:i/>
          <w:iCs/>
        </w:rPr>
        <w:t>s</w:t>
      </w:r>
      <w:r w:rsidRPr="00632625">
        <w:rPr>
          <w:i/>
          <w:iCs/>
        </w:rPr>
        <w:t>sa</w:t>
      </w:r>
    </w:p>
    <w:p w:rsidR="00C81D7C" w:rsidRPr="00632625" w:rsidRDefault="00C81D7C" w:rsidP="00C81D7C">
      <w:pPr>
        <w:pStyle w:val="RKnormal"/>
      </w:pPr>
      <w:r w:rsidRPr="00632625">
        <w:t>Förslaget bedöms inte påverka några svenska regler.</w:t>
      </w:r>
    </w:p>
    <w:p w:rsidR="00C81D7C" w:rsidRPr="00632625" w:rsidRDefault="00C81D7C" w:rsidP="00C81D7C">
      <w:pPr>
        <w:pStyle w:val="RKrubrik"/>
      </w:pPr>
      <w:r w:rsidRPr="00632625">
        <w:t>Ekonomiska konsekvenser</w:t>
      </w:r>
    </w:p>
    <w:p w:rsidR="00C81D7C" w:rsidRPr="00632625" w:rsidRDefault="000A054B" w:rsidP="00C81D7C">
      <w:pPr>
        <w:pStyle w:val="RKnormal"/>
      </w:pPr>
      <w:r w:rsidRPr="00632625">
        <w:t>Förslaget bedöms inte medföra några ekonomiska konsekvenser för Sv</w:t>
      </w:r>
      <w:r w:rsidRPr="00632625">
        <w:t>e</w:t>
      </w:r>
      <w:r w:rsidRPr="00632625">
        <w:t>rige</w:t>
      </w:r>
      <w:r w:rsidR="00262AAC" w:rsidRPr="00632625">
        <w:t xml:space="preserve"> eller EU</w:t>
      </w:r>
      <w:r w:rsidRPr="00632625">
        <w:t xml:space="preserve">. </w:t>
      </w:r>
    </w:p>
    <w:p w:rsidR="00C81D7C" w:rsidRPr="00632625" w:rsidRDefault="00C81D7C" w:rsidP="00C81D7C">
      <w:pPr>
        <w:pStyle w:val="RKrubrik"/>
      </w:pPr>
      <w:r w:rsidRPr="00632625">
        <w:t>Övrigt</w:t>
      </w:r>
    </w:p>
    <w:p w:rsidR="001E728D" w:rsidRPr="00632625" w:rsidRDefault="001E728D" w:rsidP="00C81D7C">
      <w:pPr>
        <w:pStyle w:val="RKrubrik"/>
      </w:pPr>
    </w:p>
    <w:sectPr w:rsidR="001E728D" w:rsidRPr="0063262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20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715" w:rsidRPr="00632625" w:rsidRDefault="00323715">
      <w:r w:rsidRPr="00632625">
        <w:separator/>
      </w:r>
    </w:p>
  </w:endnote>
  <w:endnote w:type="continuationSeparator" w:id="0">
    <w:p w:rsidR="00323715" w:rsidRPr="00632625" w:rsidRDefault="00323715">
      <w:r w:rsidRPr="006326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715" w:rsidRPr="00632625" w:rsidRDefault="00323715">
      <w:r w:rsidRPr="00632625">
        <w:separator/>
      </w:r>
    </w:p>
  </w:footnote>
  <w:footnote w:type="continuationSeparator" w:id="0">
    <w:p w:rsidR="00323715" w:rsidRPr="00632625" w:rsidRDefault="00323715">
      <w:r w:rsidRPr="006326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715" w:rsidRPr="00632625" w:rsidRDefault="00323715">
    <w:pPr>
      <w:pStyle w:val="Sidhuvud"/>
      <w:framePr w:wrap="auto" w:vAnchor="text" w:hAnchor="margin" w:xAlign="right" w:y="1"/>
      <w:rPr>
        <w:rStyle w:val="Sidnummer"/>
      </w:rPr>
    </w:pPr>
    <w:r w:rsidRPr="00632625">
      <w:rPr>
        <w:rStyle w:val="Sidnummer"/>
      </w:rPr>
      <w:fldChar w:fldCharType="begin" w:fldLock="1"/>
    </w:r>
    <w:r w:rsidRPr="00632625">
      <w:rPr>
        <w:rStyle w:val="Sidnummer"/>
      </w:rPr>
      <w:instrText xml:space="preserve">PAGE  </w:instrText>
    </w:r>
    <w:r w:rsidRPr="00632625">
      <w:rPr>
        <w:rStyle w:val="Sidnummer"/>
      </w:rPr>
      <w:fldChar w:fldCharType="separate"/>
    </w:r>
    <w:r w:rsidR="003E5302" w:rsidRPr="00632625">
      <w:rPr>
        <w:rStyle w:val="Sidnummer"/>
      </w:rPr>
      <w:t>2</w:t>
    </w:r>
    <w:r w:rsidRPr="00632625">
      <w:rPr>
        <w:rStyle w:val="Sidnummer"/>
      </w:rPr>
      <w:fldChar w:fldCharType="end"/>
    </w:r>
  </w:p>
  <w:p w:rsidR="00323715" w:rsidRPr="00632625" w:rsidRDefault="00323715">
    <w:pPr>
      <w:pStyle w:val="Sidhuvud"/>
      <w:ind w:right="360"/>
      <w:rPr>
        <w:rStyle w:val="Sidnummer"/>
        <w:sz w:val="20"/>
      </w:rPr>
    </w:pPr>
  </w:p>
  <w:p w:rsidR="00323715" w:rsidRPr="00632625" w:rsidRDefault="003237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715" w:rsidRPr="00632625" w:rsidRDefault="00323715">
    <w:pPr>
      <w:pStyle w:val="Sidhuvud"/>
      <w:framePr w:wrap="auto" w:vAnchor="text" w:hAnchor="margin" w:xAlign="right" w:y="1"/>
      <w:rPr>
        <w:rStyle w:val="Sidnummer"/>
      </w:rPr>
    </w:pPr>
    <w:r w:rsidRPr="00632625">
      <w:rPr>
        <w:rStyle w:val="Sidnummer"/>
      </w:rPr>
      <w:fldChar w:fldCharType="begin" w:fldLock="1"/>
    </w:r>
    <w:r w:rsidRPr="00632625">
      <w:rPr>
        <w:rStyle w:val="Sidnummer"/>
      </w:rPr>
      <w:instrText xml:space="preserve">PAGE  </w:instrText>
    </w:r>
    <w:r w:rsidRPr="00632625">
      <w:rPr>
        <w:rStyle w:val="Sidnummer"/>
      </w:rPr>
      <w:fldChar w:fldCharType="separate"/>
    </w:r>
    <w:r w:rsidRPr="00632625">
      <w:rPr>
        <w:rStyle w:val="Sidnummer"/>
      </w:rPr>
      <w:t>3</w:t>
    </w:r>
    <w:r w:rsidRPr="00632625">
      <w:rPr>
        <w:rStyle w:val="Sidnummer"/>
      </w:rPr>
      <w:fldChar w:fldCharType="end"/>
    </w:r>
  </w:p>
  <w:p w:rsidR="00323715" w:rsidRPr="00632625" w:rsidRDefault="00323715">
    <w:pPr>
      <w:pStyle w:val="Sidhuvud"/>
      <w:ind w:right="360"/>
      <w:rPr>
        <w:rStyle w:val="Sidnummer"/>
        <w:sz w:val="20"/>
      </w:rPr>
    </w:pPr>
  </w:p>
  <w:p w:rsidR="00323715" w:rsidRPr="00632625" w:rsidRDefault="0032371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715" w:rsidRPr="00632625" w:rsidRDefault="00632625">
    <w:pPr>
      <w:framePr w:w="2948" w:h="1321" w:hRule="exact" w:wrap="notBeside" w:vAnchor="page" w:hAnchor="page" w:x="1362" w:y="653"/>
    </w:pPr>
    <w:r w:rsidRPr="00632625">
      <w:rPr>
        <w:noProof/>
        <w:sz w:val="20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3715" w:rsidRPr="00632625" w:rsidRDefault="003237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</w:pPr>
  </w:p>
  <w:p w:rsidR="00323715" w:rsidRPr="00632625" w:rsidRDefault="00323715">
    <w:pPr>
      <w:rPr>
        <w:rFonts w:ascii="TradeGothic" w:hAnsi="TradeGothic"/>
        <w:b/>
        <w:spacing w:val="12"/>
        <w:sz w:val="22"/>
      </w:rPr>
    </w:pPr>
  </w:p>
  <w:p w:rsidR="00323715" w:rsidRPr="00632625" w:rsidRDefault="003237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</w:pPr>
  </w:p>
  <w:p w:rsidR="00323715" w:rsidRPr="00632625" w:rsidRDefault="00323715">
    <w:pPr>
      <w:rPr>
        <w:rFonts w:ascii="TradeGothic" w:hAnsi="TradeGothic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5FE"/>
    <w:multiLevelType w:val="hybridMultilevel"/>
    <w:tmpl w:val="4E46682E"/>
    <w:lvl w:ilvl="0" w:tplc="F76ED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E5F65"/>
    <w:multiLevelType w:val="multilevel"/>
    <w:tmpl w:val="673602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92A62"/>
    <w:multiLevelType w:val="multilevel"/>
    <w:tmpl w:val="3D56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7C8F"/>
    <w:multiLevelType w:val="hybridMultilevel"/>
    <w:tmpl w:val="BBA4F606"/>
    <w:lvl w:ilvl="0" w:tplc="D5CEC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12602"/>
    <w:multiLevelType w:val="hybridMultilevel"/>
    <w:tmpl w:val="BD561438"/>
    <w:lvl w:ilvl="0" w:tplc="3ACE3C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7788"/>
    <w:multiLevelType w:val="hybridMultilevel"/>
    <w:tmpl w:val="1DBE53C4"/>
    <w:lvl w:ilvl="0" w:tplc="D5CEC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E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23522"/>
    <w:multiLevelType w:val="hybridMultilevel"/>
    <w:tmpl w:val="ED2E7CCA"/>
    <w:lvl w:ilvl="0" w:tplc="1034E5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D722E"/>
    <w:multiLevelType w:val="multilevel"/>
    <w:tmpl w:val="C400BF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106DC"/>
    <w:multiLevelType w:val="hybridMultilevel"/>
    <w:tmpl w:val="961C37AE"/>
    <w:lvl w:ilvl="0" w:tplc="D5CEC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B3BAA"/>
    <w:multiLevelType w:val="hybridMultilevel"/>
    <w:tmpl w:val="35A8CE62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232BC"/>
    <w:multiLevelType w:val="hybridMultilevel"/>
    <w:tmpl w:val="2D2C41D0"/>
    <w:lvl w:ilvl="0" w:tplc="B12EDF5A">
      <w:numFmt w:val="bullet"/>
      <w:lvlText w:val=""/>
      <w:lvlJc w:val="left"/>
      <w:pPr>
        <w:tabs>
          <w:tab w:val="num" w:pos="3195"/>
        </w:tabs>
        <w:ind w:left="3195" w:hanging="28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2063"/>
    <w:multiLevelType w:val="hybridMultilevel"/>
    <w:tmpl w:val="3D56762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B0807"/>
    <w:multiLevelType w:val="hybridMultilevel"/>
    <w:tmpl w:val="44061D82"/>
    <w:lvl w:ilvl="0" w:tplc="B12EDF5A">
      <w:numFmt w:val="bullet"/>
      <w:lvlText w:val=""/>
      <w:lvlJc w:val="left"/>
      <w:pPr>
        <w:tabs>
          <w:tab w:val="num" w:pos="3195"/>
        </w:tabs>
        <w:ind w:left="3195" w:hanging="2835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130F7"/>
    <w:multiLevelType w:val="hybridMultilevel"/>
    <w:tmpl w:val="3F18C9A8"/>
    <w:lvl w:ilvl="0" w:tplc="D5CEC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03093"/>
    <w:multiLevelType w:val="hybridMultilevel"/>
    <w:tmpl w:val="8ADC92B8"/>
    <w:lvl w:ilvl="0" w:tplc="FA4A7E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7C49"/>
    <w:multiLevelType w:val="hybridMultilevel"/>
    <w:tmpl w:val="ACF020D8"/>
    <w:lvl w:ilvl="0" w:tplc="1034E5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F0651"/>
    <w:multiLevelType w:val="hybridMultilevel"/>
    <w:tmpl w:val="FE743C0A"/>
    <w:lvl w:ilvl="0" w:tplc="3ACE3C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F0B92"/>
    <w:multiLevelType w:val="hybridMultilevel"/>
    <w:tmpl w:val="079AFC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AF0157"/>
    <w:multiLevelType w:val="hybridMultilevel"/>
    <w:tmpl w:val="2120254C"/>
    <w:lvl w:ilvl="0" w:tplc="3ACE3C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218C0"/>
    <w:multiLevelType w:val="multilevel"/>
    <w:tmpl w:val="3F18C9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37E6F"/>
    <w:multiLevelType w:val="hybridMultilevel"/>
    <w:tmpl w:val="C400BF6A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CECC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236D8"/>
    <w:multiLevelType w:val="hybridMultilevel"/>
    <w:tmpl w:val="D3BC4BDC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67A2E37"/>
    <w:multiLevelType w:val="multilevel"/>
    <w:tmpl w:val="2D2C41D0"/>
    <w:lvl w:ilvl="0">
      <w:numFmt w:val="bullet"/>
      <w:lvlText w:val=""/>
      <w:lvlJc w:val="left"/>
      <w:pPr>
        <w:tabs>
          <w:tab w:val="num" w:pos="3195"/>
        </w:tabs>
        <w:ind w:left="3195" w:hanging="283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3CA9"/>
    <w:multiLevelType w:val="hybridMultilevel"/>
    <w:tmpl w:val="9C3ACBA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AA5130"/>
    <w:multiLevelType w:val="hybridMultilevel"/>
    <w:tmpl w:val="F04C4BE0"/>
    <w:lvl w:ilvl="0" w:tplc="D5CECC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450A21"/>
    <w:multiLevelType w:val="hybridMultilevel"/>
    <w:tmpl w:val="A406267C"/>
    <w:lvl w:ilvl="0" w:tplc="D5CECC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6D03F3"/>
    <w:multiLevelType w:val="hybridMultilevel"/>
    <w:tmpl w:val="7A50C2E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292CB4"/>
    <w:multiLevelType w:val="hybridMultilevel"/>
    <w:tmpl w:val="67360206"/>
    <w:lvl w:ilvl="0" w:tplc="D5CEC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433482">
    <w:abstractNumId w:val="17"/>
  </w:num>
  <w:num w:numId="2" w16cid:durableId="845025332">
    <w:abstractNumId w:val="0"/>
  </w:num>
  <w:num w:numId="3" w16cid:durableId="1122774082">
    <w:abstractNumId w:val="26"/>
  </w:num>
  <w:num w:numId="4" w16cid:durableId="347492563">
    <w:abstractNumId w:val="13"/>
  </w:num>
  <w:num w:numId="5" w16cid:durableId="1947300080">
    <w:abstractNumId w:val="19"/>
  </w:num>
  <w:num w:numId="6" w16cid:durableId="1833257755">
    <w:abstractNumId w:val="9"/>
  </w:num>
  <w:num w:numId="7" w16cid:durableId="475144078">
    <w:abstractNumId w:val="27"/>
  </w:num>
  <w:num w:numId="8" w16cid:durableId="872156325">
    <w:abstractNumId w:val="1"/>
  </w:num>
  <w:num w:numId="9" w16cid:durableId="999114405">
    <w:abstractNumId w:val="20"/>
  </w:num>
  <w:num w:numId="10" w16cid:durableId="1616868756">
    <w:abstractNumId w:val="7"/>
  </w:num>
  <w:num w:numId="11" w16cid:durableId="1953970040">
    <w:abstractNumId w:val="5"/>
  </w:num>
  <w:num w:numId="12" w16cid:durableId="851457355">
    <w:abstractNumId w:val="8"/>
  </w:num>
  <w:num w:numId="13" w16cid:durableId="1158498966">
    <w:abstractNumId w:val="25"/>
  </w:num>
  <w:num w:numId="14" w16cid:durableId="352390779">
    <w:abstractNumId w:val="24"/>
  </w:num>
  <w:num w:numId="15" w16cid:durableId="1126705114">
    <w:abstractNumId w:val="3"/>
  </w:num>
  <w:num w:numId="16" w16cid:durableId="589504397">
    <w:abstractNumId w:val="11"/>
  </w:num>
  <w:num w:numId="17" w16cid:durableId="493296813">
    <w:abstractNumId w:val="2"/>
  </w:num>
  <w:num w:numId="18" w16cid:durableId="1254704090">
    <w:abstractNumId w:val="12"/>
  </w:num>
  <w:num w:numId="19" w16cid:durableId="1112626825">
    <w:abstractNumId w:val="10"/>
  </w:num>
  <w:num w:numId="20" w16cid:durableId="162205239">
    <w:abstractNumId w:val="22"/>
  </w:num>
  <w:num w:numId="21" w16cid:durableId="35784526">
    <w:abstractNumId w:val="14"/>
  </w:num>
  <w:num w:numId="22" w16cid:durableId="1661888572">
    <w:abstractNumId w:val="16"/>
  </w:num>
  <w:num w:numId="23" w16cid:durableId="314574398">
    <w:abstractNumId w:val="18"/>
  </w:num>
  <w:num w:numId="24" w16cid:durableId="915942695">
    <w:abstractNumId w:val="6"/>
  </w:num>
  <w:num w:numId="25" w16cid:durableId="1871066639">
    <w:abstractNumId w:val="15"/>
  </w:num>
  <w:num w:numId="26" w16cid:durableId="764106706">
    <w:abstractNumId w:val="4"/>
  </w:num>
  <w:num w:numId="27" w16cid:durableId="1347099359">
    <w:abstractNumId w:val="21"/>
  </w:num>
  <w:num w:numId="28" w16cid:durableId="5014368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F\'5c'5c'5c'5c'5c'5c'5c'f6rvaltningsavdelningen"/>
    <w:docVar w:name="Regering" w:val="N"/>
  </w:docVars>
  <w:rsids>
    <w:rsidRoot w:val="004C488A"/>
    <w:rsid w:val="00004A3C"/>
    <w:rsid w:val="00041181"/>
    <w:rsid w:val="0004239B"/>
    <w:rsid w:val="00047635"/>
    <w:rsid w:val="00052372"/>
    <w:rsid w:val="00062691"/>
    <w:rsid w:val="00084627"/>
    <w:rsid w:val="000A054B"/>
    <w:rsid w:val="000A0880"/>
    <w:rsid w:val="000A6B2C"/>
    <w:rsid w:val="000B5241"/>
    <w:rsid w:val="000B73BE"/>
    <w:rsid w:val="000F1389"/>
    <w:rsid w:val="00101959"/>
    <w:rsid w:val="00101C9A"/>
    <w:rsid w:val="00117505"/>
    <w:rsid w:val="0012411F"/>
    <w:rsid w:val="00137D18"/>
    <w:rsid w:val="00150D0A"/>
    <w:rsid w:val="001677BC"/>
    <w:rsid w:val="0017397E"/>
    <w:rsid w:val="001B41B6"/>
    <w:rsid w:val="001C41F6"/>
    <w:rsid w:val="001D410F"/>
    <w:rsid w:val="001E728D"/>
    <w:rsid w:val="001F1FBE"/>
    <w:rsid w:val="00201BDF"/>
    <w:rsid w:val="00214AA0"/>
    <w:rsid w:val="00216337"/>
    <w:rsid w:val="00216C0C"/>
    <w:rsid w:val="002243E8"/>
    <w:rsid w:val="00240A02"/>
    <w:rsid w:val="0024459B"/>
    <w:rsid w:val="00247464"/>
    <w:rsid w:val="002509ED"/>
    <w:rsid w:val="00262AAC"/>
    <w:rsid w:val="002672CF"/>
    <w:rsid w:val="00272212"/>
    <w:rsid w:val="002942F8"/>
    <w:rsid w:val="002A0316"/>
    <w:rsid w:val="002B7229"/>
    <w:rsid w:val="002C3879"/>
    <w:rsid w:val="002C4286"/>
    <w:rsid w:val="002D0D8F"/>
    <w:rsid w:val="002F275F"/>
    <w:rsid w:val="002F6DD9"/>
    <w:rsid w:val="00306B7E"/>
    <w:rsid w:val="00310EE2"/>
    <w:rsid w:val="00323715"/>
    <w:rsid w:val="0033451E"/>
    <w:rsid w:val="00337B6B"/>
    <w:rsid w:val="00356D35"/>
    <w:rsid w:val="00357F26"/>
    <w:rsid w:val="003626EB"/>
    <w:rsid w:val="003645D7"/>
    <w:rsid w:val="003650B0"/>
    <w:rsid w:val="003778AA"/>
    <w:rsid w:val="00381963"/>
    <w:rsid w:val="003824AB"/>
    <w:rsid w:val="003945F4"/>
    <w:rsid w:val="003A2A27"/>
    <w:rsid w:val="003A3273"/>
    <w:rsid w:val="003A3811"/>
    <w:rsid w:val="003C7FB7"/>
    <w:rsid w:val="003D0CEA"/>
    <w:rsid w:val="003E1DDB"/>
    <w:rsid w:val="003E322D"/>
    <w:rsid w:val="003E5302"/>
    <w:rsid w:val="003F6740"/>
    <w:rsid w:val="004117E9"/>
    <w:rsid w:val="00421593"/>
    <w:rsid w:val="004229DB"/>
    <w:rsid w:val="004244BD"/>
    <w:rsid w:val="00431A2B"/>
    <w:rsid w:val="00460FD0"/>
    <w:rsid w:val="004906FC"/>
    <w:rsid w:val="004B4F63"/>
    <w:rsid w:val="004B7F8C"/>
    <w:rsid w:val="004C488A"/>
    <w:rsid w:val="004C5EE4"/>
    <w:rsid w:val="004C64E1"/>
    <w:rsid w:val="004D31EB"/>
    <w:rsid w:val="004E7CF4"/>
    <w:rsid w:val="004F6842"/>
    <w:rsid w:val="00505D52"/>
    <w:rsid w:val="00525E88"/>
    <w:rsid w:val="00536F43"/>
    <w:rsid w:val="00553708"/>
    <w:rsid w:val="00564D94"/>
    <w:rsid w:val="00573257"/>
    <w:rsid w:val="00592187"/>
    <w:rsid w:val="005A1BE8"/>
    <w:rsid w:val="005C64E9"/>
    <w:rsid w:val="005F25DB"/>
    <w:rsid w:val="005F4A66"/>
    <w:rsid w:val="00603017"/>
    <w:rsid w:val="00606FF4"/>
    <w:rsid w:val="00632625"/>
    <w:rsid w:val="00640220"/>
    <w:rsid w:val="00661592"/>
    <w:rsid w:val="00665859"/>
    <w:rsid w:val="00683232"/>
    <w:rsid w:val="00694307"/>
    <w:rsid w:val="006B758F"/>
    <w:rsid w:val="006C4094"/>
    <w:rsid w:val="006D21E3"/>
    <w:rsid w:val="006E71A2"/>
    <w:rsid w:val="00713190"/>
    <w:rsid w:val="007153A0"/>
    <w:rsid w:val="007244C0"/>
    <w:rsid w:val="00726BF0"/>
    <w:rsid w:val="00753C23"/>
    <w:rsid w:val="00761771"/>
    <w:rsid w:val="007618CA"/>
    <w:rsid w:val="00764F9D"/>
    <w:rsid w:val="00782B2E"/>
    <w:rsid w:val="00785199"/>
    <w:rsid w:val="0078625C"/>
    <w:rsid w:val="00792D99"/>
    <w:rsid w:val="007B2716"/>
    <w:rsid w:val="007B2AD5"/>
    <w:rsid w:val="007B7BEB"/>
    <w:rsid w:val="007C0465"/>
    <w:rsid w:val="007C0CEA"/>
    <w:rsid w:val="007D0B66"/>
    <w:rsid w:val="007D2FD9"/>
    <w:rsid w:val="007E1245"/>
    <w:rsid w:val="007E470A"/>
    <w:rsid w:val="008163B7"/>
    <w:rsid w:val="00831C01"/>
    <w:rsid w:val="00835431"/>
    <w:rsid w:val="008519CF"/>
    <w:rsid w:val="0087662F"/>
    <w:rsid w:val="00886209"/>
    <w:rsid w:val="0089299F"/>
    <w:rsid w:val="00897DCC"/>
    <w:rsid w:val="008C62A5"/>
    <w:rsid w:val="008E5EC7"/>
    <w:rsid w:val="008F2144"/>
    <w:rsid w:val="008F6A53"/>
    <w:rsid w:val="00900FA0"/>
    <w:rsid w:val="0090319D"/>
    <w:rsid w:val="00926A50"/>
    <w:rsid w:val="009317BF"/>
    <w:rsid w:val="0093237B"/>
    <w:rsid w:val="00941EDA"/>
    <w:rsid w:val="00945685"/>
    <w:rsid w:val="00946129"/>
    <w:rsid w:val="009A26FA"/>
    <w:rsid w:val="009A5524"/>
    <w:rsid w:val="009D47ED"/>
    <w:rsid w:val="009E4A6B"/>
    <w:rsid w:val="009F06CB"/>
    <w:rsid w:val="00A03394"/>
    <w:rsid w:val="00A20B45"/>
    <w:rsid w:val="00A46017"/>
    <w:rsid w:val="00A77BA0"/>
    <w:rsid w:val="00A97664"/>
    <w:rsid w:val="00AA7D95"/>
    <w:rsid w:val="00AB26E4"/>
    <w:rsid w:val="00AB5635"/>
    <w:rsid w:val="00AC3C3F"/>
    <w:rsid w:val="00AC6C4B"/>
    <w:rsid w:val="00AF48A0"/>
    <w:rsid w:val="00B0268A"/>
    <w:rsid w:val="00B03E0C"/>
    <w:rsid w:val="00B113F0"/>
    <w:rsid w:val="00B14195"/>
    <w:rsid w:val="00B16F83"/>
    <w:rsid w:val="00B56259"/>
    <w:rsid w:val="00B565B3"/>
    <w:rsid w:val="00B6393A"/>
    <w:rsid w:val="00B71BD4"/>
    <w:rsid w:val="00B74931"/>
    <w:rsid w:val="00B918B1"/>
    <w:rsid w:val="00B94183"/>
    <w:rsid w:val="00BB215F"/>
    <w:rsid w:val="00BD529B"/>
    <w:rsid w:val="00BE7746"/>
    <w:rsid w:val="00BF0BAB"/>
    <w:rsid w:val="00BF761A"/>
    <w:rsid w:val="00C00E02"/>
    <w:rsid w:val="00C0589C"/>
    <w:rsid w:val="00C15A0B"/>
    <w:rsid w:val="00C24738"/>
    <w:rsid w:val="00C37ADC"/>
    <w:rsid w:val="00C463A7"/>
    <w:rsid w:val="00C5306F"/>
    <w:rsid w:val="00C532A6"/>
    <w:rsid w:val="00C54A82"/>
    <w:rsid w:val="00C6472D"/>
    <w:rsid w:val="00C71347"/>
    <w:rsid w:val="00C77DBD"/>
    <w:rsid w:val="00C81D7C"/>
    <w:rsid w:val="00C84483"/>
    <w:rsid w:val="00C9000E"/>
    <w:rsid w:val="00CA6EE5"/>
    <w:rsid w:val="00CE54EF"/>
    <w:rsid w:val="00CE55E4"/>
    <w:rsid w:val="00D01A5A"/>
    <w:rsid w:val="00D116BB"/>
    <w:rsid w:val="00D123DA"/>
    <w:rsid w:val="00D207E4"/>
    <w:rsid w:val="00D30882"/>
    <w:rsid w:val="00D33333"/>
    <w:rsid w:val="00D445D4"/>
    <w:rsid w:val="00D56F59"/>
    <w:rsid w:val="00D65745"/>
    <w:rsid w:val="00D65E6C"/>
    <w:rsid w:val="00D84CE8"/>
    <w:rsid w:val="00D91904"/>
    <w:rsid w:val="00D91B68"/>
    <w:rsid w:val="00DA3D4A"/>
    <w:rsid w:val="00DB7D4D"/>
    <w:rsid w:val="00DC1E4B"/>
    <w:rsid w:val="00DD53C0"/>
    <w:rsid w:val="00DE0BFD"/>
    <w:rsid w:val="00DF094B"/>
    <w:rsid w:val="00DF37CE"/>
    <w:rsid w:val="00DF67E3"/>
    <w:rsid w:val="00E10643"/>
    <w:rsid w:val="00E208D8"/>
    <w:rsid w:val="00E21532"/>
    <w:rsid w:val="00E41FC5"/>
    <w:rsid w:val="00E47369"/>
    <w:rsid w:val="00E560A9"/>
    <w:rsid w:val="00E63C64"/>
    <w:rsid w:val="00E72319"/>
    <w:rsid w:val="00E72B18"/>
    <w:rsid w:val="00E735F9"/>
    <w:rsid w:val="00E75680"/>
    <w:rsid w:val="00E84B67"/>
    <w:rsid w:val="00E84DF7"/>
    <w:rsid w:val="00E97972"/>
    <w:rsid w:val="00EA4374"/>
    <w:rsid w:val="00EA4406"/>
    <w:rsid w:val="00EB59D7"/>
    <w:rsid w:val="00F06F29"/>
    <w:rsid w:val="00F10284"/>
    <w:rsid w:val="00F150CE"/>
    <w:rsid w:val="00F268CF"/>
    <w:rsid w:val="00F320F0"/>
    <w:rsid w:val="00F35170"/>
    <w:rsid w:val="00F462AC"/>
    <w:rsid w:val="00F57785"/>
    <w:rsid w:val="00F66E70"/>
    <w:rsid w:val="00F8290B"/>
    <w:rsid w:val="00F90413"/>
    <w:rsid w:val="00F9635A"/>
    <w:rsid w:val="00F971FE"/>
    <w:rsid w:val="00FD0632"/>
    <w:rsid w:val="00FD2B4F"/>
    <w:rsid w:val="00FD4A51"/>
    <w:rsid w:val="00FF414C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F82D93-3A9D-4B10-B4E8-B3818B48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sv-SE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Char">
    <w:name w:val=" Char Char"/>
    <w:basedOn w:val="Normal"/>
    <w:rsid w:val="00900FA0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character" w:customStyle="1" w:styleId="RKnormalChar">
    <w:name w:val="RKnormal Char"/>
    <w:basedOn w:val="Standardstycketeckensnitt"/>
    <w:link w:val="RKnormal"/>
    <w:rsid w:val="00900FA0"/>
    <w:rPr>
      <w:rFonts w:ascii="OrigGarmnd BT" w:hAnsi="OrigGarmnd BT"/>
      <w:sz w:val="24"/>
      <w:lang w:val="sv-SE" w:eastAsia="sv-SE" w:bidi="ar-SA"/>
    </w:rPr>
  </w:style>
  <w:style w:type="paragraph" w:customStyle="1" w:styleId="CharChar1Char">
    <w:name w:val=" Char Char1 Char"/>
    <w:basedOn w:val="Normal"/>
    <w:rsid w:val="00E21532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styleId="Fotnotstext">
    <w:name w:val="footnote text"/>
    <w:basedOn w:val="Normal"/>
    <w:semiHidden/>
    <w:rsid w:val="005F25DB"/>
    <w:rPr>
      <w:sz w:val="20"/>
    </w:rPr>
  </w:style>
  <w:style w:type="character" w:styleId="Fotnotsreferens">
    <w:name w:val="footnote reference"/>
    <w:basedOn w:val="Standardstycketeckensnitt"/>
    <w:semiHidden/>
    <w:rsid w:val="005F25DB"/>
    <w:rPr>
      <w:vertAlign w:val="superscript"/>
    </w:rPr>
  </w:style>
  <w:style w:type="paragraph" w:styleId="Ballongtext">
    <w:name w:val="Balloon Text"/>
    <w:basedOn w:val="Normal"/>
    <w:semiHidden/>
    <w:rsid w:val="008E5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97\Template\Instruktio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Instruktion</Template>
  <TotalTime>0</TotalTime>
  <Pages>2</Pages>
  <Words>385</Words>
  <Characters>2484</Characters>
  <Application>Microsoft Office Word</Application>
  <DocSecurity>4</DocSecurity>
  <Lines>82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2000-01-21_</vt:lpstr>
    </vt:vector>
  </TitlesOfParts>
  <Company>Regeringskansliet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2000-01-21_</dc:title>
  <dc:subject>2000-01-21_</dc:subject>
  <dc:creator>Riksdagen</dc:creator>
  <cp:keywords>Riksdagen</cp:keywords>
  <dc:description/>
  <cp:lastModifiedBy>Lars Brink</cp:lastModifiedBy>
  <cp:revision>2</cp:revision>
  <cp:lastPrinted>2010-11-22T12:29:00Z</cp:lastPrinted>
  <dcterms:created xsi:type="dcterms:W3CDTF">2025-12-18T03:51:00Z</dcterms:created>
  <dcterms:modified xsi:type="dcterms:W3CDTF">2025-12-18T03:51:00Z</dcterms:modified>
  <cp:category>Instruktion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12;0;0;325</vt:lpwstr>
  </property>
  <property fmtid="{D5CDD505-2E9C-101B-9397-08002B2CF9AE}" pid="3" name="Sprak">
    <vt:lpwstr>svenska</vt:lpwstr>
  </property>
  <property fmtid="{D5CDD505-2E9C-101B-9397-08002B2CF9AE}" pid="4" name="DokID">
    <vt:lpwstr>63</vt:lpwstr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