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984" w:rsidRPr="00861B80" w:rsidRDefault="00422984" w:rsidP="00994032">
      <w:pPr>
        <w:pStyle w:val="Hemstlrubrik"/>
      </w:pPr>
      <w:r w:rsidRPr="00861B80">
        <w:t>Förslag till riksdagsbeslut</w:t>
      </w:r>
    </w:p>
    <w:p w:rsidR="00422984" w:rsidRPr="00861B80" w:rsidRDefault="00422984" w:rsidP="00994032">
      <w:pPr>
        <w:pStyle w:val="Hemstlatt0"/>
      </w:pPr>
      <w:r w:rsidRPr="00861B80">
        <w:t>Riksdagen anvisar med följande ändringar i förhållande till regeringens fö</w:t>
      </w:r>
      <w:r w:rsidRPr="00861B80">
        <w:t>r</w:t>
      </w:r>
      <w:r w:rsidRPr="00861B80">
        <w:t>slag anslagen under utgiftsområde 25</w:t>
      </w:r>
      <w:r w:rsidR="004868CB" w:rsidRPr="00861B80">
        <w:t xml:space="preserve"> Allmänna bidrag till kommuner</w:t>
      </w:r>
      <w:r w:rsidRPr="00861B80">
        <w:t xml:space="preserve"> enligt följande uppställning:</w:t>
      </w:r>
    </w:p>
    <w:p w:rsidR="00422984" w:rsidRPr="00861B80" w:rsidRDefault="00422984" w:rsidP="00994032">
      <w:pPr>
        <w:spacing w:before="0"/>
        <w:rPr>
          <w:b/>
        </w:rPr>
      </w:pPr>
      <w:r w:rsidRPr="00861B80">
        <w:rPr>
          <w:b/>
        </w:rPr>
        <w:t>Anslagsberäkning</w:t>
      </w:r>
    </w:p>
    <w:tbl>
      <w:tblPr>
        <w:tblW w:w="619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231"/>
        <w:gridCol w:w="1273"/>
      </w:tblGrid>
      <w:tr w:rsidR="00422984" w:rsidRPr="00861B80">
        <w:trPr>
          <w:trHeight w:val="255"/>
        </w:trPr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22984" w:rsidRPr="00861B80" w:rsidRDefault="00422984" w:rsidP="00735567">
            <w:pPr>
              <w:spacing w:before="0" w:line="200" w:lineRule="exact"/>
              <w:rPr>
                <w:b/>
                <w:bCs/>
                <w:sz w:val="16"/>
                <w:szCs w:val="16"/>
              </w:rPr>
            </w:pPr>
            <w:r w:rsidRPr="00861B80">
              <w:rPr>
                <w:b/>
                <w:bCs/>
                <w:sz w:val="16"/>
                <w:szCs w:val="16"/>
              </w:rPr>
              <w:t>Anslag tkr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22984" w:rsidRPr="00861B80" w:rsidRDefault="00422984" w:rsidP="00735567">
            <w:pPr>
              <w:spacing w:before="0" w:line="200" w:lineRule="exact"/>
              <w:ind w:left="57"/>
              <w:rPr>
                <w:b/>
                <w:bCs/>
                <w:sz w:val="16"/>
                <w:szCs w:val="16"/>
              </w:rPr>
            </w:pPr>
            <w:r w:rsidRPr="00861B80">
              <w:rPr>
                <w:b/>
                <w:bCs/>
                <w:sz w:val="16"/>
                <w:szCs w:val="16"/>
              </w:rPr>
              <w:t>Regeringens förslag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22984" w:rsidRPr="00861B80" w:rsidRDefault="00422984" w:rsidP="00735567">
            <w:pPr>
              <w:spacing w:before="0" w:line="200" w:lineRule="exact"/>
              <w:ind w:left="57"/>
              <w:rPr>
                <w:b/>
                <w:bCs/>
                <w:sz w:val="16"/>
                <w:szCs w:val="16"/>
              </w:rPr>
            </w:pPr>
            <w:r w:rsidRPr="00861B80">
              <w:rPr>
                <w:b/>
                <w:bCs/>
                <w:sz w:val="16"/>
                <w:szCs w:val="16"/>
              </w:rPr>
              <w:t>Anslags</w:t>
            </w:r>
            <w:r w:rsidR="00994032" w:rsidRPr="00861B80">
              <w:rPr>
                <w:b/>
                <w:bCs/>
                <w:sz w:val="16"/>
                <w:szCs w:val="16"/>
              </w:rPr>
              <w:softHyphen/>
            </w:r>
            <w:r w:rsidRPr="00861B80">
              <w:rPr>
                <w:b/>
                <w:bCs/>
                <w:sz w:val="16"/>
                <w:szCs w:val="16"/>
              </w:rPr>
              <w:t>förän</w:t>
            </w:r>
            <w:r w:rsidRPr="00861B80">
              <w:rPr>
                <w:b/>
                <w:bCs/>
                <w:sz w:val="16"/>
                <w:szCs w:val="16"/>
              </w:rPr>
              <w:t>d</w:t>
            </w:r>
            <w:r w:rsidRPr="00861B80">
              <w:rPr>
                <w:b/>
                <w:bCs/>
                <w:sz w:val="16"/>
                <w:szCs w:val="16"/>
              </w:rPr>
              <w:t>ring</w:t>
            </w:r>
          </w:p>
        </w:tc>
      </w:tr>
      <w:tr w:rsidR="00422984" w:rsidRPr="00861B80">
        <w:trPr>
          <w:trHeight w:val="255"/>
        </w:trPr>
        <w:tc>
          <w:tcPr>
            <w:tcW w:w="3694" w:type="dxa"/>
            <w:tcBorders>
              <w:top w:val="single" w:sz="4" w:space="0" w:color="auto"/>
            </w:tcBorders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48:1 Kommunalekonomisk utjämning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noWrap/>
            <w:vAlign w:val="bottom"/>
          </w:tcPr>
          <w:p w:rsidR="00422984" w:rsidRPr="00861B80" w:rsidRDefault="00422984" w:rsidP="00735567">
            <w:pPr>
              <w:spacing w:before="60" w:line="200" w:lineRule="exact"/>
              <w:ind w:right="271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58 129 000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noWrap/>
            <w:vAlign w:val="bottom"/>
          </w:tcPr>
          <w:p w:rsidR="00422984" w:rsidRPr="00861B80" w:rsidRDefault="004868CB" w:rsidP="00735567">
            <w:pPr>
              <w:spacing w:before="60" w:line="200" w:lineRule="exact"/>
              <w:ind w:right="271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28 760 000</w:t>
            </w:r>
          </w:p>
        </w:tc>
      </w:tr>
      <w:tr w:rsidR="00422984" w:rsidRPr="00861B80">
        <w:trPr>
          <w:trHeight w:val="255"/>
        </w:trPr>
        <w:tc>
          <w:tcPr>
            <w:tcW w:w="3694" w:type="dxa"/>
            <w:noWrap/>
            <w:vAlign w:val="bottom"/>
          </w:tcPr>
          <w:p w:rsidR="00422984" w:rsidRPr="00861B80" w:rsidRDefault="00422984" w:rsidP="00E67175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48:2 Bidrag till särskilda insatser i vissa kommuner och landsting</w:t>
            </w:r>
          </w:p>
        </w:tc>
        <w:tc>
          <w:tcPr>
            <w:tcW w:w="1231" w:type="dxa"/>
            <w:noWrap/>
            <w:vAlign w:val="bottom"/>
          </w:tcPr>
          <w:p w:rsidR="00422984" w:rsidRPr="00861B80" w:rsidRDefault="00422984" w:rsidP="00735567">
            <w:pPr>
              <w:spacing w:before="60" w:line="200" w:lineRule="exact"/>
              <w:ind w:right="271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261</w:t>
            </w:r>
            <w:r w:rsidR="00C961A2" w:rsidRPr="00861B80">
              <w:rPr>
                <w:sz w:val="16"/>
                <w:szCs w:val="16"/>
              </w:rPr>
              <w:t> </w:t>
            </w:r>
            <w:r w:rsidRPr="00861B80">
              <w:rPr>
                <w:sz w:val="16"/>
                <w:szCs w:val="16"/>
              </w:rPr>
              <w:t>000</w:t>
            </w:r>
          </w:p>
        </w:tc>
        <w:tc>
          <w:tcPr>
            <w:tcW w:w="1273" w:type="dxa"/>
            <w:noWrap/>
            <w:vAlign w:val="bottom"/>
          </w:tcPr>
          <w:p w:rsidR="00422984" w:rsidRPr="00861B80" w:rsidRDefault="004868CB" w:rsidP="00735567">
            <w:pPr>
              <w:spacing w:before="60" w:line="200" w:lineRule="exact"/>
              <w:ind w:right="271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261 000</w:t>
            </w:r>
          </w:p>
        </w:tc>
      </w:tr>
      <w:tr w:rsidR="00422984" w:rsidRPr="00861B80">
        <w:trPr>
          <w:trHeight w:val="255"/>
        </w:trPr>
        <w:tc>
          <w:tcPr>
            <w:tcW w:w="3694" w:type="dxa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48:3 Statligt utjämningsbidrag för LSS-kostnader</w:t>
            </w:r>
          </w:p>
        </w:tc>
        <w:tc>
          <w:tcPr>
            <w:tcW w:w="1231" w:type="dxa"/>
            <w:noWrap/>
            <w:vAlign w:val="bottom"/>
          </w:tcPr>
          <w:p w:rsidR="00422984" w:rsidRPr="00861B80" w:rsidRDefault="00422984" w:rsidP="00735567">
            <w:pPr>
              <w:spacing w:before="60" w:line="200" w:lineRule="exact"/>
              <w:ind w:right="271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1</w:t>
            </w:r>
            <w:r w:rsidR="00C961A2" w:rsidRPr="00861B80">
              <w:rPr>
                <w:sz w:val="16"/>
                <w:szCs w:val="16"/>
              </w:rPr>
              <w:t> </w:t>
            </w:r>
            <w:r w:rsidRPr="00861B80">
              <w:rPr>
                <w:sz w:val="16"/>
                <w:szCs w:val="16"/>
              </w:rPr>
              <w:t>767</w:t>
            </w:r>
            <w:r w:rsidR="00C961A2" w:rsidRPr="00861B80">
              <w:rPr>
                <w:sz w:val="16"/>
                <w:szCs w:val="16"/>
              </w:rPr>
              <w:t> </w:t>
            </w:r>
            <w:r w:rsidRPr="00861B80">
              <w:rPr>
                <w:sz w:val="16"/>
                <w:szCs w:val="16"/>
              </w:rPr>
              <w:t>000</w:t>
            </w:r>
          </w:p>
        </w:tc>
        <w:tc>
          <w:tcPr>
            <w:tcW w:w="1273" w:type="dxa"/>
            <w:noWrap/>
            <w:vAlign w:val="bottom"/>
          </w:tcPr>
          <w:p w:rsidR="00422984" w:rsidRPr="00861B80" w:rsidRDefault="00422984" w:rsidP="00735567">
            <w:pPr>
              <w:spacing w:before="60" w:line="200" w:lineRule="exact"/>
              <w:ind w:right="271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 </w:t>
            </w:r>
          </w:p>
        </w:tc>
      </w:tr>
      <w:tr w:rsidR="00422984" w:rsidRPr="00861B80">
        <w:trPr>
          <w:trHeight w:val="255"/>
        </w:trPr>
        <w:tc>
          <w:tcPr>
            <w:tcW w:w="3694" w:type="dxa"/>
            <w:noWrap/>
            <w:vAlign w:val="bottom"/>
          </w:tcPr>
          <w:p w:rsidR="00422984" w:rsidRPr="00861B80" w:rsidRDefault="00422984" w:rsidP="00E67175">
            <w:pPr>
              <w:spacing w:before="60" w:line="200" w:lineRule="exact"/>
              <w:jc w:val="lef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48:4 Bidrag till organisationer inom det kommuna</w:t>
            </w:r>
            <w:r w:rsidRPr="00861B80">
              <w:rPr>
                <w:sz w:val="16"/>
                <w:szCs w:val="16"/>
              </w:rPr>
              <w:t>l</w:t>
            </w:r>
            <w:r w:rsidRPr="00861B80">
              <w:rPr>
                <w:sz w:val="16"/>
                <w:szCs w:val="16"/>
              </w:rPr>
              <w:t>ekonomiska området</w:t>
            </w:r>
          </w:p>
        </w:tc>
        <w:tc>
          <w:tcPr>
            <w:tcW w:w="1231" w:type="dxa"/>
            <w:noWrap/>
            <w:vAlign w:val="bottom"/>
          </w:tcPr>
          <w:p w:rsidR="00422984" w:rsidRPr="00861B80" w:rsidRDefault="00422984" w:rsidP="00735567">
            <w:pPr>
              <w:spacing w:before="60" w:line="200" w:lineRule="exact"/>
              <w:ind w:right="271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4</w:t>
            </w:r>
            <w:r w:rsidR="004868CB" w:rsidRPr="00861B80">
              <w:rPr>
                <w:sz w:val="16"/>
                <w:szCs w:val="16"/>
              </w:rPr>
              <w:t> </w:t>
            </w:r>
            <w:r w:rsidRPr="00861B80">
              <w:rPr>
                <w:sz w:val="16"/>
                <w:szCs w:val="16"/>
              </w:rPr>
              <w:t>000</w:t>
            </w:r>
          </w:p>
        </w:tc>
        <w:tc>
          <w:tcPr>
            <w:tcW w:w="1273" w:type="dxa"/>
            <w:noWrap/>
            <w:vAlign w:val="bottom"/>
          </w:tcPr>
          <w:p w:rsidR="00422984" w:rsidRPr="00861B80" w:rsidRDefault="00422984" w:rsidP="00735567">
            <w:pPr>
              <w:spacing w:before="60" w:line="200" w:lineRule="exact"/>
              <w:ind w:right="271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 </w:t>
            </w:r>
          </w:p>
        </w:tc>
      </w:tr>
      <w:tr w:rsidR="00422984" w:rsidRPr="00861B80">
        <w:trPr>
          <w:trHeight w:val="255"/>
        </w:trPr>
        <w:tc>
          <w:tcPr>
            <w:tcW w:w="3694" w:type="dxa"/>
            <w:tcBorders>
              <w:bottom w:val="single" w:sz="6" w:space="0" w:color="000000"/>
            </w:tcBorders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861B80">
              <w:rPr>
                <w:b/>
                <w:bCs/>
                <w:sz w:val="16"/>
                <w:szCs w:val="16"/>
              </w:rPr>
              <w:t>Summa:</w:t>
            </w:r>
          </w:p>
        </w:tc>
        <w:tc>
          <w:tcPr>
            <w:tcW w:w="1231" w:type="dxa"/>
            <w:tcBorders>
              <w:bottom w:val="single" w:sz="6" w:space="0" w:color="000000"/>
            </w:tcBorders>
            <w:noWrap/>
            <w:vAlign w:val="bottom"/>
          </w:tcPr>
          <w:p w:rsidR="00422984" w:rsidRPr="00861B80" w:rsidRDefault="00422984" w:rsidP="00735567">
            <w:pPr>
              <w:spacing w:before="60" w:line="200" w:lineRule="exact"/>
              <w:ind w:right="271"/>
              <w:jc w:val="right"/>
              <w:rPr>
                <w:b/>
                <w:bCs/>
                <w:sz w:val="16"/>
                <w:szCs w:val="16"/>
              </w:rPr>
            </w:pPr>
            <w:r w:rsidRPr="00861B80">
              <w:rPr>
                <w:b/>
                <w:bCs/>
                <w:sz w:val="16"/>
                <w:szCs w:val="16"/>
              </w:rPr>
              <w:t>60 161 000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  <w:noWrap/>
            <w:vAlign w:val="bottom"/>
          </w:tcPr>
          <w:p w:rsidR="00422984" w:rsidRPr="00861B80" w:rsidRDefault="004868CB" w:rsidP="00735567">
            <w:pPr>
              <w:spacing w:before="60" w:line="200" w:lineRule="exact"/>
              <w:ind w:right="271"/>
              <w:jc w:val="right"/>
              <w:rPr>
                <w:b/>
                <w:bCs/>
                <w:sz w:val="16"/>
                <w:szCs w:val="16"/>
              </w:rPr>
            </w:pPr>
            <w:r w:rsidRPr="00861B80">
              <w:rPr>
                <w:b/>
                <w:bCs/>
                <w:sz w:val="16"/>
                <w:szCs w:val="16"/>
              </w:rPr>
              <w:t>–</w:t>
            </w:r>
            <w:r w:rsidR="00422984" w:rsidRPr="00861B80">
              <w:rPr>
                <w:b/>
                <w:bCs/>
                <w:sz w:val="16"/>
                <w:szCs w:val="16"/>
              </w:rPr>
              <w:t>29 021 000</w:t>
            </w:r>
          </w:p>
        </w:tc>
      </w:tr>
    </w:tbl>
    <w:p w:rsidR="004868CB" w:rsidRPr="00861B80" w:rsidRDefault="004868CB" w:rsidP="004868CB">
      <w:pPr>
        <w:pStyle w:val="Rubrik1"/>
      </w:pPr>
      <w:r w:rsidRPr="00861B80">
        <w:t>Motivering</w:t>
      </w:r>
    </w:p>
    <w:p w:rsidR="00422984" w:rsidRPr="00861B80" w:rsidRDefault="00422984" w:rsidP="00422984">
      <w:pPr>
        <w:rPr>
          <w:color w:val="000000"/>
        </w:rPr>
      </w:pPr>
      <w:r w:rsidRPr="00861B80">
        <w:rPr>
          <w:color w:val="000000"/>
        </w:rPr>
        <w:t>Centerpartiets inkomstskatteförslag ger en mycket kraftig förstärkning av den kommunala skattebasen, för 2006 med 24,4 miljarder</w:t>
      </w:r>
      <w:r w:rsidR="00994032" w:rsidRPr="00861B80">
        <w:rPr>
          <w:color w:val="000000"/>
        </w:rPr>
        <w:t xml:space="preserve"> kronor</w:t>
      </w:r>
      <w:r w:rsidRPr="00861B80">
        <w:rPr>
          <w:color w:val="000000"/>
        </w:rPr>
        <w:t>, och därmed minskade behov av statsbidrag. Kommuner och landsting får därigenom d</w:t>
      </w:r>
      <w:r w:rsidRPr="00861B80">
        <w:rPr>
          <w:color w:val="000000"/>
        </w:rPr>
        <w:t>i</w:t>
      </w:r>
      <w:r w:rsidRPr="00861B80">
        <w:rPr>
          <w:color w:val="000000"/>
        </w:rPr>
        <w:t xml:space="preserve">rekt tillgång till skatteinkomster utan att dessa skall slussas och styras via det statliga bidragssystemet. </w:t>
      </w:r>
    </w:p>
    <w:p w:rsidR="00422984" w:rsidRPr="00861B80" w:rsidRDefault="00422984" w:rsidP="00994032">
      <w:pPr>
        <w:pStyle w:val="Normaltindrag"/>
        <w:rPr>
          <w:snapToGrid w:val="0"/>
        </w:rPr>
      </w:pPr>
      <w:r w:rsidRPr="00861B80">
        <w:rPr>
          <w:snapToGrid w:val="0"/>
        </w:rPr>
        <w:t xml:space="preserve">I enlighet med det förslag som presenterades av den parlamentariska </w:t>
      </w:r>
      <w:r w:rsidR="00994032" w:rsidRPr="00861B80">
        <w:rPr>
          <w:snapToGrid w:val="0"/>
        </w:rPr>
        <w:t xml:space="preserve">s.k. </w:t>
      </w:r>
      <w:r w:rsidRPr="00861B80">
        <w:rPr>
          <w:snapToGrid w:val="0"/>
        </w:rPr>
        <w:t>Utjämningskommittén anser Centerpartiet att de specialdestinerade statsb</w:t>
      </w:r>
      <w:r w:rsidRPr="00861B80">
        <w:rPr>
          <w:snapToGrid w:val="0"/>
        </w:rPr>
        <w:t>i</w:t>
      </w:r>
      <w:r w:rsidRPr="00861B80">
        <w:rPr>
          <w:snapToGrid w:val="0"/>
        </w:rPr>
        <w:t>dragen för personalförstärkning i skola och fritidshem och statligt stöd för utbildning av vuxna bör omvandlas till generella statsbidrag till kommunerna.</w:t>
      </w:r>
      <w:r w:rsidRPr="00861B80">
        <w:t xml:space="preserve"> Vi anser att pengarna skall gå direkt till kommunerna och användas efter det behov som finns</w:t>
      </w:r>
      <w:r w:rsidR="00994032" w:rsidRPr="00861B80">
        <w:t xml:space="preserve"> t.ex. </w:t>
      </w:r>
      <w:r w:rsidRPr="00861B80">
        <w:t>till kompetenshöjande av lärarna. Anslaget 25:10 B</w:t>
      </w:r>
      <w:r w:rsidRPr="00861B80">
        <w:t>i</w:t>
      </w:r>
      <w:r w:rsidRPr="00861B80">
        <w:t xml:space="preserve">drag till personalförstärkning i förskola och </w:t>
      </w:r>
      <w:r w:rsidRPr="00861B80">
        <w:rPr>
          <w:snapToGrid w:val="0"/>
        </w:rPr>
        <w:t>25:11 Bidrag till personalfö</w:t>
      </w:r>
      <w:r w:rsidRPr="00861B80">
        <w:rPr>
          <w:snapToGrid w:val="0"/>
        </w:rPr>
        <w:t>r</w:t>
      </w:r>
      <w:r w:rsidRPr="00861B80">
        <w:rPr>
          <w:snapToGrid w:val="0"/>
        </w:rPr>
        <w:t>stärkning i skola och fritidshem och anslaget 25:16 Statligt stöd för u</w:t>
      </w:r>
      <w:r w:rsidRPr="00861B80">
        <w:rPr>
          <w:snapToGrid w:val="0"/>
        </w:rPr>
        <w:t>t</w:t>
      </w:r>
      <w:r w:rsidRPr="00861B80">
        <w:rPr>
          <w:snapToGrid w:val="0"/>
        </w:rPr>
        <w:t xml:space="preserve">bildning </w:t>
      </w:r>
      <w:r w:rsidRPr="00861B80">
        <w:rPr>
          <w:snapToGrid w:val="0"/>
        </w:rPr>
        <w:lastRenderedPageBreak/>
        <w:t>av vuxna. För att underlätta jämförbarheten med regeringens budgetpropos</w:t>
      </w:r>
      <w:r w:rsidRPr="00861B80">
        <w:rPr>
          <w:snapToGrid w:val="0"/>
        </w:rPr>
        <w:t>i</w:t>
      </w:r>
      <w:r w:rsidRPr="00861B80">
        <w:rPr>
          <w:snapToGrid w:val="0"/>
        </w:rPr>
        <w:t xml:space="preserve">tion låter vi emellertid anslagen ligga kvar på </w:t>
      </w:r>
      <w:r w:rsidR="00994032" w:rsidRPr="00861B80">
        <w:rPr>
          <w:color w:val="000000"/>
        </w:rPr>
        <w:t>utgiftso</w:t>
      </w:r>
      <w:r w:rsidR="00994032" w:rsidRPr="00861B80">
        <w:rPr>
          <w:color w:val="000000"/>
        </w:rPr>
        <w:t>m</w:t>
      </w:r>
      <w:r w:rsidR="00994032" w:rsidRPr="00861B80">
        <w:rPr>
          <w:color w:val="000000"/>
        </w:rPr>
        <w:t xml:space="preserve">råde </w:t>
      </w:r>
      <w:r w:rsidRPr="00861B80">
        <w:rPr>
          <w:snapToGrid w:val="0"/>
        </w:rPr>
        <w:t>16.</w:t>
      </w:r>
    </w:p>
    <w:p w:rsidR="00422984" w:rsidRPr="00861B80" w:rsidRDefault="00422984" w:rsidP="00994032">
      <w:pPr>
        <w:pStyle w:val="Normaltindrag"/>
      </w:pPr>
      <w:r w:rsidRPr="00861B80">
        <w:t>Centerpartiet anser att de av regeringen föreslagna bidragen för sä</w:t>
      </w:r>
      <w:r w:rsidRPr="00861B80">
        <w:t>r</w:t>
      </w:r>
      <w:r w:rsidRPr="00861B80">
        <w:t>skilda insatser i kommuner och landsting i</w:t>
      </w:r>
      <w:r w:rsidR="00994032" w:rsidRPr="00861B80">
        <w:t xml:space="preserve"> </w:t>
      </w:r>
      <w:r w:rsidRPr="00861B80">
        <w:t>stället används för att förstärka den reg</w:t>
      </w:r>
      <w:r w:rsidRPr="00861B80">
        <w:t>i</w:t>
      </w:r>
      <w:r w:rsidRPr="00861B80">
        <w:t>onala utvecklingspolitiken. Därmed ökar också det lokala inflytandet över statens medel och deras användning. Centerpartiet minskar därför anslaget 48:2 Särskilda insatser i kommun och landsting med 261 miljoner kronor, samtidigt som motsvarande höjning görs på utgiftsområde 19 Regional u</w:t>
      </w:r>
      <w:r w:rsidRPr="00861B80">
        <w:t>t</w:t>
      </w:r>
      <w:r w:rsidRPr="00861B80">
        <w:t xml:space="preserve">jämning och utveckling. </w:t>
      </w:r>
    </w:p>
    <w:p w:rsidR="00422984" w:rsidRPr="00861B80" w:rsidRDefault="00422984" w:rsidP="00C961A2">
      <w:pPr>
        <w:pStyle w:val="Normaltindrag"/>
        <w:spacing w:before="120"/>
      </w:pPr>
      <w:r w:rsidRPr="00861B80">
        <w:t>I enlighet med finansieringsprincipen påverkas anslag 48:1 av de reformer och skattesänkningar som presenteras i Centerpartiets budgetförslag. 2006 innebär det att anslaget ska minskas med följande:</w:t>
      </w:r>
    </w:p>
    <w:tbl>
      <w:tblPr>
        <w:tblW w:w="601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1379"/>
      </w:tblGrid>
      <w:tr w:rsidR="00422984" w:rsidRPr="00861B80">
        <w:trPr>
          <w:trHeight w:val="255"/>
        </w:trPr>
        <w:tc>
          <w:tcPr>
            <w:tcW w:w="385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861B80">
              <w:rPr>
                <w:b/>
                <w:bCs/>
                <w:sz w:val="16"/>
                <w:szCs w:val="16"/>
              </w:rPr>
              <w:t xml:space="preserve">Anslag 48:1 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 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tcBorders>
              <w:top w:val="single" w:sz="4" w:space="0" w:color="auto"/>
            </w:tcBorders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Läkemedelsavgift</w:t>
            </w:r>
          </w:p>
        </w:tc>
        <w:tc>
          <w:tcPr>
            <w:tcW w:w="1147" w:type="pct"/>
            <w:tcBorders>
              <w:top w:val="single" w:sz="4" w:space="0" w:color="auto"/>
            </w:tcBorders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1</w:t>
            </w:r>
            <w:r w:rsidR="00C961A2" w:rsidRPr="00861B80">
              <w:rPr>
                <w:sz w:val="16"/>
                <w:szCs w:val="16"/>
              </w:rPr>
              <w:t> </w:t>
            </w:r>
            <w:r w:rsidR="00422984" w:rsidRPr="00861B80">
              <w:rPr>
                <w:sz w:val="16"/>
                <w:szCs w:val="16"/>
              </w:rPr>
              <w:t>000</w:t>
            </w:r>
            <w:r w:rsidR="00C961A2" w:rsidRPr="00861B80">
              <w:rPr>
                <w:sz w:val="16"/>
                <w:szCs w:val="16"/>
              </w:rPr>
              <w:t> </w:t>
            </w:r>
            <w:r w:rsidR="00422984" w:rsidRPr="00861B80">
              <w:rPr>
                <w:sz w:val="16"/>
                <w:szCs w:val="16"/>
              </w:rPr>
              <w:t>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Justering för borttagning av avdragsrätt för pensionsavg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4</w:t>
            </w:r>
            <w:r w:rsidR="00C961A2" w:rsidRPr="00861B80">
              <w:rPr>
                <w:sz w:val="16"/>
                <w:szCs w:val="16"/>
              </w:rPr>
              <w:t> </w:t>
            </w:r>
            <w:r w:rsidR="00422984" w:rsidRPr="00861B80">
              <w:rPr>
                <w:sz w:val="16"/>
                <w:szCs w:val="16"/>
              </w:rPr>
              <w:t>200</w:t>
            </w:r>
            <w:r w:rsidR="00C961A2" w:rsidRPr="00861B80">
              <w:rPr>
                <w:sz w:val="16"/>
                <w:szCs w:val="16"/>
              </w:rPr>
              <w:t> </w:t>
            </w:r>
            <w:r w:rsidR="00422984" w:rsidRPr="00861B80">
              <w:rPr>
                <w:sz w:val="16"/>
                <w:szCs w:val="16"/>
              </w:rPr>
              <w:t>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Komp för ny beräkning av SGI sjukförsäkring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100</w:t>
            </w:r>
            <w:r w:rsidR="00C961A2" w:rsidRPr="00861B80">
              <w:rPr>
                <w:sz w:val="16"/>
                <w:szCs w:val="16"/>
              </w:rPr>
              <w:t> </w:t>
            </w:r>
            <w:r w:rsidR="00422984" w:rsidRPr="00861B80">
              <w:rPr>
                <w:sz w:val="16"/>
                <w:szCs w:val="16"/>
              </w:rPr>
              <w:t>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Komp för ny beräkning av SGI föräldraförsäkring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70</w:t>
            </w:r>
            <w:r w:rsidR="00C961A2" w:rsidRPr="00861B80">
              <w:rPr>
                <w:sz w:val="16"/>
                <w:szCs w:val="16"/>
              </w:rPr>
              <w:t> </w:t>
            </w:r>
            <w:r w:rsidR="00422984" w:rsidRPr="00861B80">
              <w:rPr>
                <w:sz w:val="16"/>
                <w:szCs w:val="16"/>
              </w:rPr>
              <w:t>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 xml:space="preserve">Höjt tak i föräldraförsäkringen, sänkning </w:t>
            </w:r>
            <w:r w:rsidR="00994032" w:rsidRPr="00861B80">
              <w:rPr>
                <w:sz w:val="16"/>
                <w:szCs w:val="16"/>
              </w:rPr>
              <w:t xml:space="preserve">på grund av  </w:t>
            </w:r>
            <w:r w:rsidRPr="00861B80">
              <w:rPr>
                <w:sz w:val="16"/>
                <w:szCs w:val="16"/>
              </w:rPr>
              <w:t>högre skatteint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300</w:t>
            </w:r>
            <w:r w:rsidR="00C961A2" w:rsidRPr="00861B80">
              <w:rPr>
                <w:sz w:val="16"/>
                <w:szCs w:val="16"/>
              </w:rPr>
              <w:t> </w:t>
            </w:r>
            <w:r w:rsidR="00422984" w:rsidRPr="00861B80">
              <w:rPr>
                <w:sz w:val="16"/>
                <w:szCs w:val="16"/>
              </w:rPr>
              <w:t>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 xml:space="preserve">Höjd grundpension, sänkning </w:t>
            </w:r>
            <w:r w:rsidR="00994032" w:rsidRPr="00861B80">
              <w:rPr>
                <w:sz w:val="16"/>
                <w:szCs w:val="16"/>
              </w:rPr>
              <w:t xml:space="preserve">på grund av  </w:t>
            </w:r>
            <w:r w:rsidRPr="00861B80">
              <w:rPr>
                <w:sz w:val="16"/>
                <w:szCs w:val="16"/>
              </w:rPr>
              <w:t>högre skatteintä</w:t>
            </w:r>
            <w:r w:rsidRPr="00861B80">
              <w:rPr>
                <w:sz w:val="16"/>
                <w:szCs w:val="16"/>
              </w:rPr>
              <w:t>k</w:t>
            </w:r>
            <w:r w:rsidRPr="00861B80">
              <w:rPr>
                <w:sz w:val="16"/>
                <w:szCs w:val="16"/>
              </w:rPr>
              <w:t>ter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200</w:t>
            </w:r>
            <w:r w:rsidR="00C961A2" w:rsidRPr="00861B80">
              <w:rPr>
                <w:sz w:val="16"/>
                <w:szCs w:val="16"/>
              </w:rPr>
              <w:t> </w:t>
            </w:r>
            <w:r w:rsidR="00422984" w:rsidRPr="00861B80">
              <w:rPr>
                <w:sz w:val="16"/>
                <w:szCs w:val="16"/>
              </w:rPr>
              <w:t>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 xml:space="preserve">Komp för ny utformning av a-kassan 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660</w:t>
            </w:r>
            <w:r w:rsidR="00C961A2" w:rsidRPr="00861B80">
              <w:rPr>
                <w:sz w:val="16"/>
                <w:szCs w:val="16"/>
              </w:rPr>
              <w:t> </w:t>
            </w:r>
            <w:r w:rsidRPr="00861B80">
              <w:rPr>
                <w:sz w:val="16"/>
                <w:szCs w:val="16"/>
              </w:rPr>
              <w:t>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Starta eget sparande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200</w:t>
            </w:r>
            <w:r w:rsidR="00C961A2" w:rsidRPr="00861B80">
              <w:rPr>
                <w:sz w:val="16"/>
                <w:szCs w:val="16"/>
              </w:rPr>
              <w:t> </w:t>
            </w:r>
            <w:r w:rsidRPr="00861B80">
              <w:rPr>
                <w:sz w:val="16"/>
                <w:szCs w:val="16"/>
              </w:rPr>
              <w:t>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 xml:space="preserve">Effekt av inkomstskattereform 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24 400 000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Vårdgarantisatsning hanteras i uo 09 Regeringens satsning bort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1 750 000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 xml:space="preserve"> Sysselsättningsstöd överfört från inkomsstidan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7 000 000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Reseavdrag görs om till rabatt 20 kr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3 800 000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Avdrag för tjänsteresor och dubbelt boende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861B80">
              <w:rPr>
                <w:sz w:val="16"/>
                <w:szCs w:val="16"/>
              </w:rPr>
              <w:t>–</w:t>
            </w:r>
            <w:r w:rsidR="00422984" w:rsidRPr="00861B80">
              <w:rPr>
                <w:sz w:val="16"/>
                <w:szCs w:val="16"/>
              </w:rPr>
              <w:t>800 000</w:t>
            </w:r>
          </w:p>
        </w:tc>
      </w:tr>
      <w:tr w:rsidR="00422984" w:rsidRPr="00861B80">
        <w:trPr>
          <w:trHeight w:val="255"/>
        </w:trPr>
        <w:tc>
          <w:tcPr>
            <w:tcW w:w="3853" w:type="pct"/>
            <w:noWrap/>
            <w:vAlign w:val="bottom"/>
          </w:tcPr>
          <w:p w:rsidR="00422984" w:rsidRPr="00861B80" w:rsidRDefault="00422984" w:rsidP="00994032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861B80">
              <w:rPr>
                <w:b/>
                <w:bCs/>
                <w:sz w:val="16"/>
                <w:szCs w:val="16"/>
              </w:rPr>
              <w:t>Summa:</w:t>
            </w:r>
          </w:p>
        </w:tc>
        <w:tc>
          <w:tcPr>
            <w:tcW w:w="1147" w:type="pct"/>
            <w:noWrap/>
            <w:vAlign w:val="bottom"/>
          </w:tcPr>
          <w:p w:rsidR="00422984" w:rsidRPr="00861B80" w:rsidRDefault="00994032" w:rsidP="00994032">
            <w:pPr>
              <w:spacing w:before="60" w:line="200" w:lineRule="exact"/>
              <w:jc w:val="right"/>
              <w:rPr>
                <w:b/>
                <w:bCs/>
                <w:sz w:val="16"/>
                <w:szCs w:val="16"/>
              </w:rPr>
            </w:pPr>
            <w:r w:rsidRPr="00861B80">
              <w:rPr>
                <w:b/>
                <w:bCs/>
                <w:sz w:val="16"/>
                <w:szCs w:val="16"/>
              </w:rPr>
              <w:t>–</w:t>
            </w:r>
            <w:r w:rsidR="00422984" w:rsidRPr="00861B80">
              <w:rPr>
                <w:b/>
                <w:bCs/>
                <w:sz w:val="16"/>
                <w:szCs w:val="16"/>
              </w:rPr>
              <w:t>28</w:t>
            </w:r>
            <w:r w:rsidR="005961C5" w:rsidRPr="00861B80">
              <w:rPr>
                <w:b/>
                <w:bCs/>
                <w:sz w:val="16"/>
                <w:szCs w:val="16"/>
              </w:rPr>
              <w:t> </w:t>
            </w:r>
            <w:r w:rsidR="00422984" w:rsidRPr="00861B80">
              <w:rPr>
                <w:b/>
                <w:bCs/>
                <w:sz w:val="16"/>
                <w:szCs w:val="16"/>
              </w:rPr>
              <w:t>760</w:t>
            </w:r>
            <w:r w:rsidR="00C961A2" w:rsidRPr="00861B80">
              <w:rPr>
                <w:b/>
                <w:bCs/>
                <w:sz w:val="16"/>
                <w:szCs w:val="16"/>
              </w:rPr>
              <w:t> </w:t>
            </w:r>
            <w:r w:rsidR="00422984" w:rsidRPr="00861B80">
              <w:rPr>
                <w:b/>
                <w:bCs/>
                <w:sz w:val="16"/>
                <w:szCs w:val="16"/>
              </w:rPr>
              <w:t>000</w:t>
            </w:r>
          </w:p>
        </w:tc>
      </w:tr>
    </w:tbl>
    <w:p w:rsidR="008854FB" w:rsidRPr="00861B80" w:rsidRDefault="008854FB" w:rsidP="00994032">
      <w:pPr>
        <w:pStyle w:val="normalindent"/>
        <w:shd w:val="clear" w:color="auto" w:fill="FFFFFF"/>
        <w:spacing w:before="0" w:line="120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94032" w:rsidRPr="00861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032" w:rsidRPr="00861B80" w:rsidRDefault="00994032" w:rsidP="00994032">
            <w:pPr>
              <w:pStyle w:val="UnderskriftDatum"/>
              <w:spacing w:before="240"/>
            </w:pPr>
            <w:r w:rsidRPr="00861B80">
              <w:t>Stockholm den 4 oktober 2005</w:t>
            </w:r>
          </w:p>
        </w:tc>
        <w:tc>
          <w:tcPr>
            <w:tcW w:w="3047" w:type="dxa"/>
          </w:tcPr>
          <w:p w:rsidR="00994032" w:rsidRPr="00861B80" w:rsidRDefault="00994032" w:rsidP="00994032">
            <w:pPr>
              <w:pStyle w:val="Underskrifter"/>
              <w:spacing w:before="240"/>
            </w:pPr>
          </w:p>
        </w:tc>
      </w:tr>
      <w:tr w:rsidR="00994032" w:rsidRPr="00861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032" w:rsidRPr="00861B80" w:rsidRDefault="00994032" w:rsidP="00994032">
            <w:pPr>
              <w:pStyle w:val="Underskrifter"/>
            </w:pPr>
            <w:r w:rsidRPr="00861B80">
              <w:t>Roger Tiefensee (c)</w:t>
            </w:r>
          </w:p>
        </w:tc>
        <w:tc>
          <w:tcPr>
            <w:tcW w:w="3047" w:type="dxa"/>
          </w:tcPr>
          <w:p w:rsidR="00994032" w:rsidRPr="00861B80" w:rsidRDefault="00994032" w:rsidP="00994032">
            <w:pPr>
              <w:pStyle w:val="Underskrifter"/>
            </w:pPr>
          </w:p>
        </w:tc>
      </w:tr>
      <w:tr w:rsidR="00994032" w:rsidRPr="00861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032" w:rsidRPr="00861B80" w:rsidRDefault="00994032" w:rsidP="00994032">
            <w:pPr>
              <w:pStyle w:val="Underskrifter"/>
            </w:pPr>
            <w:r w:rsidRPr="00861B80">
              <w:t>Jörgen Johansson (c)</w:t>
            </w:r>
          </w:p>
        </w:tc>
        <w:tc>
          <w:tcPr>
            <w:tcW w:w="3047" w:type="dxa"/>
          </w:tcPr>
          <w:p w:rsidR="00994032" w:rsidRPr="00861B80" w:rsidRDefault="00994032" w:rsidP="00994032">
            <w:pPr>
              <w:pStyle w:val="Underskrifter"/>
            </w:pPr>
            <w:r w:rsidRPr="00861B80">
              <w:t>Åsa Torstensson (c)</w:t>
            </w:r>
          </w:p>
        </w:tc>
      </w:tr>
      <w:tr w:rsidR="00994032" w:rsidRPr="00861B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94032" w:rsidRPr="00861B80" w:rsidRDefault="00994032" w:rsidP="00994032">
            <w:pPr>
              <w:pStyle w:val="Underskrifter"/>
            </w:pPr>
            <w:r w:rsidRPr="00861B80">
              <w:t>Rigmor Stenmark (c)</w:t>
            </w:r>
          </w:p>
        </w:tc>
        <w:tc>
          <w:tcPr>
            <w:tcW w:w="3047" w:type="dxa"/>
          </w:tcPr>
          <w:p w:rsidR="00994032" w:rsidRPr="00861B80" w:rsidRDefault="00994032" w:rsidP="00994032">
            <w:pPr>
              <w:pStyle w:val="Underskrifter"/>
            </w:pPr>
            <w:r w:rsidRPr="00861B80">
              <w:t>Sven Bergström (c)</w:t>
            </w:r>
          </w:p>
        </w:tc>
      </w:tr>
    </w:tbl>
    <w:p w:rsidR="00E84F25" w:rsidRPr="00861B80" w:rsidRDefault="00E84F25" w:rsidP="00994032">
      <w:pPr>
        <w:pStyle w:val="Normaltindrag"/>
      </w:pPr>
    </w:p>
    <w:sectPr w:rsidR="00E84F25" w:rsidRPr="00861B80" w:rsidSect="00994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C62" w:rsidRPr="00861B80" w:rsidRDefault="00D74C62">
      <w:r w:rsidRPr="00861B80">
        <w:separator/>
      </w:r>
    </w:p>
  </w:endnote>
  <w:endnote w:type="continuationSeparator" w:id="0">
    <w:p w:rsidR="00D74C62" w:rsidRPr="00861B80" w:rsidRDefault="00D74C62">
      <w:r w:rsidRPr="00861B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567" w:rsidRPr="00861B80" w:rsidRDefault="00861B80" w:rsidP="00994032">
    <w:pPr>
      <w:pStyle w:val="Sidfot"/>
    </w:pPr>
    <w:r w:rsidRPr="00861B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51115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567" w:rsidRDefault="007355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961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5567" w:rsidRDefault="007355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961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567" w:rsidRPr="00861B80" w:rsidRDefault="00861B80" w:rsidP="00994032">
    <w:pPr>
      <w:pStyle w:val="Sidfot"/>
    </w:pPr>
    <w:r w:rsidRPr="00861B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72230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567" w:rsidRDefault="007355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961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567" w:rsidRDefault="007355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961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567" w:rsidRPr="00861B80" w:rsidRDefault="00861B80" w:rsidP="00994032">
    <w:pPr>
      <w:pStyle w:val="Sidfot"/>
    </w:pPr>
    <w:r w:rsidRPr="00861B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58222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567" w:rsidRDefault="007355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961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567" w:rsidRDefault="007355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961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C62" w:rsidRPr="00861B80" w:rsidRDefault="00D74C62">
      <w:r w:rsidRPr="00861B80">
        <w:separator/>
      </w:r>
    </w:p>
  </w:footnote>
  <w:footnote w:type="continuationSeparator" w:id="0">
    <w:p w:rsidR="00D74C62" w:rsidRPr="00861B80" w:rsidRDefault="00D74C62">
      <w:r w:rsidRPr="00861B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567" w:rsidRPr="00861B80" w:rsidRDefault="00861B80" w:rsidP="00994032">
    <w:pPr>
      <w:pStyle w:val="Sidhuvud"/>
    </w:pPr>
    <w:r w:rsidRPr="00861B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9128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567" w:rsidRDefault="007355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961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961C5">
                            <w:t>Fi313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5567" w:rsidRDefault="007355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961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961C5">
                      <w:t>Fi313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567" w:rsidRPr="00861B80" w:rsidRDefault="00861B80" w:rsidP="00994032">
    <w:pPr>
      <w:pStyle w:val="Sidhuvud"/>
    </w:pPr>
    <w:r w:rsidRPr="00861B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80435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567" w:rsidRDefault="007355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961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961C5">
                            <w:t>Fi313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5567" w:rsidRDefault="007355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961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961C5">
                      <w:t>Fi313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567" w:rsidRPr="00861B80" w:rsidRDefault="00735567">
    <w:pPr>
      <w:pStyle w:val="FSHNormal"/>
      <w:tabs>
        <w:tab w:val="right" w:pos="5840"/>
      </w:tabs>
    </w:pPr>
    <w:r w:rsidRPr="00861B80">
      <w:br/>
    </w:r>
    <w:r w:rsidRPr="00861B80">
      <w:fldChar w:fldCharType="begin" w:fldLock="1"/>
    </w:r>
    <w:r w:rsidRPr="00861B80">
      <w:instrText xml:space="preserve"> DOCPROPERTY</w:instrText>
    </w:r>
    <w:r w:rsidRPr="00861B80">
      <w:rPr>
        <w:sz w:val="18"/>
      </w:rPr>
      <w:instrText xml:space="preserve"> "YearUser" *\charformat </w:instrText>
    </w:r>
    <w:r w:rsidRPr="00861B80">
      <w:fldChar w:fldCharType="separate"/>
    </w:r>
    <w:r w:rsidR="005961C5" w:rsidRPr="00861B80">
      <w:t>2005/06</w:t>
    </w:r>
    <w:r w:rsidRPr="00861B80">
      <w:fldChar w:fldCharType="end"/>
    </w:r>
    <w:r w:rsidRPr="00861B80">
      <w:t xml:space="preserve"> </w:t>
    </w:r>
    <w:r w:rsidRPr="00861B80">
      <w:tab/>
      <w:t xml:space="preserve">mnr: </w:t>
    </w:r>
    <w:r w:rsidRPr="00861B80">
      <w:fldChar w:fldCharType="begin" w:fldLock="1"/>
    </w:r>
    <w:r w:rsidRPr="00861B80">
      <w:instrText xml:space="preserve"> DOCPROPERTY</w:instrText>
    </w:r>
    <w:r w:rsidRPr="00861B80">
      <w:rPr>
        <w:sz w:val="18"/>
      </w:rPr>
      <w:instrText xml:space="preserve"> "Motionsnummer" *\charformat </w:instrText>
    </w:r>
    <w:r w:rsidRPr="00861B80">
      <w:fldChar w:fldCharType="separate"/>
    </w:r>
    <w:r w:rsidR="005961C5" w:rsidRPr="00861B80">
      <w:t>Fi313</w:t>
    </w:r>
    <w:r w:rsidRPr="00861B80">
      <w:fldChar w:fldCharType="end"/>
    </w:r>
    <w:r w:rsidRPr="00861B80">
      <w:br/>
    </w:r>
    <w:r w:rsidRPr="00861B80">
      <w:fldChar w:fldCharType="begin" w:fldLock="1"/>
    </w:r>
    <w:r w:rsidRPr="00861B80">
      <w:instrText xml:space="preserve"> DOCPROPERTY</w:instrText>
    </w:r>
    <w:r w:rsidRPr="00861B80">
      <w:rPr>
        <w:sz w:val="18"/>
      </w:rPr>
      <w:instrText xml:space="preserve"> "Samling" *\charformat </w:instrText>
    </w:r>
    <w:r w:rsidRPr="00861B80">
      <w:fldChar w:fldCharType="end"/>
    </w:r>
    <w:r w:rsidRPr="00861B80">
      <w:tab/>
      <w:t xml:space="preserve">pnr: </w:t>
    </w:r>
    <w:r w:rsidRPr="00861B80">
      <w:fldChar w:fldCharType="begin" w:fldLock="1"/>
    </w:r>
    <w:r w:rsidRPr="00861B80">
      <w:instrText xml:space="preserve"> DOCPROPERTY</w:instrText>
    </w:r>
    <w:r w:rsidRPr="00861B80">
      <w:rPr>
        <w:sz w:val="18"/>
      </w:rPr>
      <w:instrText xml:space="preserve"> "Partinummer" *\charformat </w:instrText>
    </w:r>
    <w:r w:rsidRPr="00861B80">
      <w:fldChar w:fldCharType="separate"/>
    </w:r>
    <w:r w:rsidR="005961C5" w:rsidRPr="00861B80">
      <w:t>c130</w:t>
    </w:r>
    <w:r w:rsidRPr="00861B80">
      <w:fldChar w:fldCharType="end"/>
    </w:r>
  </w:p>
  <w:p w:rsidR="00735567" w:rsidRPr="00861B80" w:rsidRDefault="00735567">
    <w:pPr>
      <w:pStyle w:val="FSHRub1"/>
    </w:pPr>
    <w:r w:rsidRPr="00861B80">
      <w:t>Motion till riksdagen</w:t>
    </w:r>
    <w:r w:rsidRPr="00861B80">
      <w:br/>
    </w:r>
    <w:r w:rsidRPr="00861B80">
      <w:fldChar w:fldCharType="begin" w:fldLock="1"/>
    </w:r>
    <w:r w:rsidRPr="00861B80">
      <w:instrText xml:space="preserve"> DOCPROPERTY "YearUser" *\charformat </w:instrText>
    </w:r>
    <w:r w:rsidRPr="00861B80">
      <w:fldChar w:fldCharType="separate"/>
    </w:r>
    <w:r w:rsidR="005961C5" w:rsidRPr="00861B80">
      <w:t>2005/06</w:t>
    </w:r>
    <w:r w:rsidRPr="00861B80">
      <w:fldChar w:fldCharType="end"/>
    </w:r>
    <w:r w:rsidRPr="00861B80">
      <w:t>:</w:t>
    </w:r>
    <w:r w:rsidRPr="00861B80">
      <w:fldChar w:fldCharType="begin" w:fldLock="1"/>
    </w:r>
    <w:r w:rsidRPr="00861B80">
      <w:instrText xml:space="preserve"> DOCPROPERTY "Motionsnummer" *\charformat </w:instrText>
    </w:r>
    <w:r w:rsidRPr="00861B80">
      <w:fldChar w:fldCharType="separate"/>
    </w:r>
    <w:r w:rsidR="005961C5" w:rsidRPr="00861B80">
      <w:t>Fi313</w:t>
    </w:r>
    <w:r w:rsidRPr="00861B80">
      <w:fldChar w:fldCharType="end"/>
    </w:r>
  </w:p>
  <w:p w:rsidR="00735567" w:rsidRPr="00861B80" w:rsidRDefault="00735567">
    <w:pPr>
      <w:pStyle w:val="FSHNormalS5"/>
    </w:pPr>
    <w:r w:rsidRPr="00861B80">
      <w:fldChar w:fldCharType="begin" w:fldLock="1"/>
    </w:r>
    <w:r w:rsidRPr="00861B80">
      <w:instrText xml:space="preserve"> DOCPROPERTY "MotionarText" *\charformat </w:instrText>
    </w:r>
    <w:r w:rsidRPr="00861B80">
      <w:fldChar w:fldCharType="separate"/>
    </w:r>
    <w:r w:rsidR="005961C5" w:rsidRPr="00861B80">
      <w:t>av Roger Tiefensee m.fl. (c)</w:t>
    </w:r>
    <w:r w:rsidRPr="00861B80">
      <w:fldChar w:fldCharType="end"/>
    </w:r>
    <w:r w:rsidRPr="00861B80">
      <w:br/>
    </w:r>
    <w:r w:rsidRPr="00861B80">
      <w:fldChar w:fldCharType="begin" w:fldLock="1"/>
    </w:r>
    <w:r w:rsidRPr="00861B80">
      <w:instrText xml:space="preserve"> DOCPROPERTY "SvarFrasKort" *\charformat </w:instrText>
    </w:r>
    <w:r w:rsidRPr="00861B80">
      <w:fldChar w:fldCharType="end"/>
    </w:r>
  </w:p>
  <w:p w:rsidR="00735567" w:rsidRPr="00861B80" w:rsidRDefault="00735567">
    <w:pPr>
      <w:pStyle w:val="FSHTitel"/>
    </w:pPr>
    <w:r w:rsidRPr="00861B80">
      <w:fldChar w:fldCharType="begin" w:fldLock="1"/>
    </w:r>
    <w:r w:rsidRPr="00861B80">
      <w:instrText xml:space="preserve"> DOCPROPERTY</w:instrText>
    </w:r>
    <w:r w:rsidRPr="00861B80">
      <w:rPr>
        <w:sz w:val="18"/>
      </w:rPr>
      <w:instrText xml:space="preserve"> "RubrikSvar" *\charformat </w:instrText>
    </w:r>
    <w:r w:rsidRPr="00861B80">
      <w:fldChar w:fldCharType="separate"/>
    </w:r>
    <w:r w:rsidR="005961C5" w:rsidRPr="00861B80">
      <w:t>Utgiftsområde 25 Allmänna bidrag till kommuner</w:t>
    </w:r>
    <w:r w:rsidRPr="00861B80">
      <w:fldChar w:fldCharType="end"/>
    </w:r>
  </w:p>
  <w:p w:rsidR="00735567" w:rsidRPr="00861B80" w:rsidRDefault="00735567" w:rsidP="0099403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39B3"/>
    <w:multiLevelType w:val="multilevel"/>
    <w:tmpl w:val="72E4FF7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027342">
    <w:abstractNumId w:val="14"/>
  </w:num>
  <w:num w:numId="2" w16cid:durableId="1352534805">
    <w:abstractNumId w:val="11"/>
  </w:num>
  <w:num w:numId="3" w16cid:durableId="1652447193">
    <w:abstractNumId w:val="12"/>
  </w:num>
  <w:num w:numId="4" w16cid:durableId="1787192229">
    <w:abstractNumId w:val="13"/>
  </w:num>
  <w:num w:numId="5" w16cid:durableId="94834561">
    <w:abstractNumId w:val="8"/>
  </w:num>
  <w:num w:numId="6" w16cid:durableId="172258991">
    <w:abstractNumId w:val="3"/>
  </w:num>
  <w:num w:numId="7" w16cid:durableId="1756171154">
    <w:abstractNumId w:val="2"/>
  </w:num>
  <w:num w:numId="8" w16cid:durableId="533159104">
    <w:abstractNumId w:val="1"/>
  </w:num>
  <w:num w:numId="9" w16cid:durableId="2055501280">
    <w:abstractNumId w:val="0"/>
  </w:num>
  <w:num w:numId="10" w16cid:durableId="1563978068">
    <w:abstractNumId w:val="9"/>
  </w:num>
  <w:num w:numId="11" w16cid:durableId="2146467209">
    <w:abstractNumId w:val="7"/>
  </w:num>
  <w:num w:numId="12" w16cid:durableId="1465197226">
    <w:abstractNumId w:val="6"/>
  </w:num>
  <w:num w:numId="13" w16cid:durableId="33358354">
    <w:abstractNumId w:val="5"/>
  </w:num>
  <w:num w:numId="14" w16cid:durableId="710497448">
    <w:abstractNumId w:val="4"/>
  </w:num>
  <w:num w:numId="15" w16cid:durableId="45572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604098"/>
    <w:rsid w:val="0004381F"/>
    <w:rsid w:val="0004684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22984"/>
    <w:rsid w:val="00445271"/>
    <w:rsid w:val="004868CB"/>
    <w:rsid w:val="004A0504"/>
    <w:rsid w:val="004E38D9"/>
    <w:rsid w:val="005961C5"/>
    <w:rsid w:val="005B145B"/>
    <w:rsid w:val="00604098"/>
    <w:rsid w:val="00735567"/>
    <w:rsid w:val="00740D6D"/>
    <w:rsid w:val="00794149"/>
    <w:rsid w:val="007B67A7"/>
    <w:rsid w:val="007C6092"/>
    <w:rsid w:val="00861B80"/>
    <w:rsid w:val="008854FB"/>
    <w:rsid w:val="00994032"/>
    <w:rsid w:val="00A053C6"/>
    <w:rsid w:val="00A94409"/>
    <w:rsid w:val="00B13BF0"/>
    <w:rsid w:val="00B62D8A"/>
    <w:rsid w:val="00C1285C"/>
    <w:rsid w:val="00C27B7D"/>
    <w:rsid w:val="00C961A2"/>
    <w:rsid w:val="00CF7A43"/>
    <w:rsid w:val="00D1174F"/>
    <w:rsid w:val="00D74C62"/>
    <w:rsid w:val="00DC6C70"/>
    <w:rsid w:val="00DE10E7"/>
    <w:rsid w:val="00E22893"/>
    <w:rsid w:val="00E360DE"/>
    <w:rsid w:val="00E535AC"/>
    <w:rsid w:val="00E67175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E97E7B-2A57-4F69-9D31-71740754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854F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854F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854F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854F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854FB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854F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854F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854FB"/>
    <w:pPr>
      <w:outlineLvl w:val="7"/>
    </w:pPr>
  </w:style>
  <w:style w:type="paragraph" w:styleId="Rubrik9">
    <w:name w:val="heading 9"/>
    <w:basedOn w:val="Rubrik8"/>
    <w:next w:val="Normal"/>
    <w:qFormat/>
    <w:rsid w:val="008854F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hemstpunkt,hemstpunktflera,hemställanspunkt,förslagstext"/>
    <w:basedOn w:val="Normal"/>
    <w:rsid w:val="008854FB"/>
    <w:pPr>
      <w:spacing w:line="240" w:lineRule="auto"/>
    </w:pPr>
    <w:rPr>
      <w:rFonts w:ascii="Verdana" w:hAnsi="Verdana"/>
      <w:szCs w:val="24"/>
    </w:rPr>
  </w:style>
  <w:style w:type="character" w:customStyle="1" w:styleId="upcast-headingnumber">
    <w:name w:val="upcast-headingnumber"/>
    <w:basedOn w:val="Standardstycketeckensnitt"/>
    <w:rsid w:val="008854FB"/>
    <w:rPr>
      <w:rFonts w:ascii="Verdana" w:hAnsi="Verdana" w:hint="default"/>
    </w:rPr>
  </w:style>
  <w:style w:type="paragraph" w:customStyle="1" w:styleId="Hemstlrubrik">
    <w:name w:val="Hemstl_rubrik"/>
    <w:basedOn w:val="Rubrik1"/>
    <w:next w:val="Normal"/>
    <w:rsid w:val="0099403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8854FB"/>
    <w:pPr>
      <w:spacing w:line="240" w:lineRule="auto"/>
    </w:pPr>
    <w:rPr>
      <w:rFonts w:ascii="Verdana" w:hAnsi="Verdana"/>
      <w:szCs w:val="24"/>
    </w:rPr>
  </w:style>
  <w:style w:type="paragraph" w:styleId="Ballongtext">
    <w:name w:val="Balloon Text"/>
    <w:basedOn w:val="Normal"/>
    <w:semiHidden/>
    <w:rsid w:val="00604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452</Words>
  <Characters>2770</Characters>
  <Application>Microsoft Office Word</Application>
  <DocSecurity>4</DocSecurity>
  <Lines>95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Fi313</vt:lpstr>
    </vt:vector>
  </TitlesOfParts>
  <Company>Riksdagen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Fi313</dc:title>
  <dc:subject>Fi313</dc:subject>
  <dc:creator>Riksdagen</dc:creator>
  <cp:keywords>Riksdagen</cp:keywords>
  <dc:description/>
  <cp:lastModifiedBy>Lars Brink</cp:lastModifiedBy>
  <cp:revision>2</cp:revision>
  <cp:lastPrinted>2005-11-27T08:49:00Z</cp:lastPrinted>
  <dcterms:created xsi:type="dcterms:W3CDTF">2025-12-16T19:13:00Z</dcterms:created>
  <dcterms:modified xsi:type="dcterms:W3CDTF">2025-12-16T19:13:00Z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25 Allmänna bidrag till kommuner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25 Allmänna bidrag till kommuner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c130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Roger Tiefensee m.fl. (c)</vt:lpwstr>
  </property>
  <property fmtid="{D5CDD505-2E9C-101B-9397-08002B2CF9AE}" pid="26" name="MotionarLista">
    <vt:lpwstr>Tiefensee, Roger (c)\Johansson, Jörgen (c)\Torstensson, Åsa (c)\Stenmark, Rigmor (c)\Bergström, Sven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Tiefensee (c), Jörgen Johansson (c), Åsa Torstensson (c), Rigmor Stenmark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20052006000000000099000001300075</vt:lpwstr>
  </property>
  <property fmtid="{D5CDD505-2E9C-101B-9397-08002B2CF9AE}" pid="47" name="datum">
    <vt:lpwstr>051004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20052006000000000099000001300075</vt:lpwstr>
  </property>
  <property fmtid="{D5CDD505-2E9C-101B-9397-08002B2CF9AE}" pid="50" name="nummer">
    <vt:lpwstr>313</vt:lpwstr>
  </property>
  <property fmtid="{D5CDD505-2E9C-101B-9397-08002B2CF9AE}" pid="51" name="utskottsbeteckning">
    <vt:lpwstr>Fi</vt:lpwstr>
  </property>
</Properties>
</file>