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20EFA" w:rsidRPr="00821B89">
        <w:tblPrEx>
          <w:tblCellMar>
            <w:top w:w="0" w:type="dxa"/>
            <w:bottom w:w="0" w:type="dxa"/>
          </w:tblCellMar>
        </w:tblPrEx>
        <w:tc>
          <w:tcPr>
            <w:tcW w:w="2268" w:type="dxa"/>
          </w:tcPr>
          <w:p w:rsidR="00720EFA" w:rsidRPr="00821B89" w:rsidRDefault="00720EFA">
            <w:pPr>
              <w:framePr w:w="4400" w:h="1644" w:wrap="notBeside" w:vAnchor="page" w:hAnchor="page" w:x="6573" w:y="721"/>
              <w:rPr>
                <w:rFonts w:ascii="TradeGothic" w:hAnsi="TradeGothic"/>
                <w:i/>
                <w:sz w:val="18"/>
              </w:rPr>
            </w:pPr>
          </w:p>
        </w:tc>
        <w:tc>
          <w:tcPr>
            <w:tcW w:w="2347" w:type="dxa"/>
            <w:gridSpan w:val="2"/>
          </w:tcPr>
          <w:p w:rsidR="00720EFA" w:rsidRPr="00821B89" w:rsidRDefault="00720EFA">
            <w:pPr>
              <w:framePr w:w="4400" w:h="1644" w:wrap="notBeside" w:vAnchor="page" w:hAnchor="page" w:x="6573" w:y="721"/>
              <w:rPr>
                <w:rFonts w:ascii="TradeGothic" w:hAnsi="TradeGothic"/>
                <w:i/>
                <w:sz w:val="18"/>
              </w:rPr>
            </w:pPr>
          </w:p>
        </w:tc>
      </w:tr>
      <w:tr w:rsidR="00720EFA" w:rsidRPr="00821B89">
        <w:tblPrEx>
          <w:tblCellMar>
            <w:top w:w="0" w:type="dxa"/>
            <w:bottom w:w="0" w:type="dxa"/>
          </w:tblCellMar>
        </w:tblPrEx>
        <w:trPr>
          <w:cantSplit/>
        </w:trPr>
        <w:tc>
          <w:tcPr>
            <w:tcW w:w="4615" w:type="dxa"/>
            <w:gridSpan w:val="3"/>
          </w:tcPr>
          <w:p w:rsidR="00720EFA" w:rsidRPr="00821B89" w:rsidRDefault="00720EFA">
            <w:pPr>
              <w:framePr w:w="4400" w:h="1644" w:wrap="notBeside" w:vAnchor="page" w:hAnchor="page" w:x="6573" w:y="721"/>
              <w:rPr>
                <w:rFonts w:ascii="TradeGothic" w:hAnsi="TradeGothic"/>
                <w:b/>
                <w:sz w:val="22"/>
              </w:rPr>
            </w:pPr>
            <w:r w:rsidRPr="00821B89">
              <w:rPr>
                <w:rFonts w:ascii="TradeGothic" w:hAnsi="TradeGothic"/>
                <w:b/>
                <w:sz w:val="22"/>
              </w:rPr>
              <w:t>Rådspromemoria</w:t>
            </w:r>
          </w:p>
        </w:tc>
      </w:tr>
      <w:tr w:rsidR="00720EFA" w:rsidRPr="00821B89">
        <w:tblPrEx>
          <w:tblCellMar>
            <w:top w:w="0" w:type="dxa"/>
            <w:bottom w:w="0" w:type="dxa"/>
          </w:tblCellMar>
        </w:tblPrEx>
        <w:tc>
          <w:tcPr>
            <w:tcW w:w="3402" w:type="dxa"/>
            <w:gridSpan w:val="2"/>
          </w:tcPr>
          <w:p w:rsidR="00720EFA" w:rsidRPr="00821B89" w:rsidRDefault="00720EFA">
            <w:pPr>
              <w:framePr w:w="4400" w:h="1644" w:wrap="notBeside" w:vAnchor="page" w:hAnchor="page" w:x="6573" w:y="721"/>
            </w:pPr>
          </w:p>
        </w:tc>
        <w:tc>
          <w:tcPr>
            <w:tcW w:w="1213" w:type="dxa"/>
          </w:tcPr>
          <w:p w:rsidR="00720EFA" w:rsidRPr="00821B89" w:rsidRDefault="00720EFA">
            <w:pPr>
              <w:framePr w:w="4400" w:h="1644" w:wrap="notBeside" w:vAnchor="page" w:hAnchor="page" w:x="6573" w:y="721"/>
            </w:pPr>
          </w:p>
        </w:tc>
      </w:tr>
      <w:tr w:rsidR="00720EFA" w:rsidRPr="00821B89">
        <w:tblPrEx>
          <w:tblCellMar>
            <w:top w:w="0" w:type="dxa"/>
            <w:bottom w:w="0" w:type="dxa"/>
          </w:tblCellMar>
        </w:tblPrEx>
        <w:tc>
          <w:tcPr>
            <w:tcW w:w="2268" w:type="dxa"/>
          </w:tcPr>
          <w:p w:rsidR="00720EFA" w:rsidRPr="00821B89" w:rsidRDefault="009B1E7C">
            <w:pPr>
              <w:framePr w:w="4400" w:h="1644" w:wrap="notBeside" w:vAnchor="page" w:hAnchor="page" w:x="6573" w:y="721"/>
            </w:pPr>
            <w:r w:rsidRPr="00821B89">
              <w:t>2010-11-</w:t>
            </w:r>
            <w:r w:rsidR="006B54CE" w:rsidRPr="00821B89">
              <w:t>18</w:t>
            </w:r>
          </w:p>
        </w:tc>
        <w:tc>
          <w:tcPr>
            <w:tcW w:w="2347" w:type="dxa"/>
            <w:gridSpan w:val="2"/>
          </w:tcPr>
          <w:p w:rsidR="00720EFA" w:rsidRPr="00821B89" w:rsidRDefault="00720EFA">
            <w:pPr>
              <w:framePr w:w="4400" w:h="1644" w:wrap="notBeside" w:vAnchor="page" w:hAnchor="page" w:x="6573" w:y="721"/>
            </w:pPr>
          </w:p>
        </w:tc>
      </w:tr>
      <w:tr w:rsidR="00720EFA" w:rsidRPr="00821B89">
        <w:tblPrEx>
          <w:tblCellMar>
            <w:top w:w="0" w:type="dxa"/>
            <w:bottom w:w="0" w:type="dxa"/>
          </w:tblCellMar>
        </w:tblPrEx>
        <w:tc>
          <w:tcPr>
            <w:tcW w:w="2268" w:type="dxa"/>
          </w:tcPr>
          <w:p w:rsidR="00720EFA" w:rsidRPr="00821B89" w:rsidRDefault="00720EFA">
            <w:pPr>
              <w:framePr w:w="4400" w:h="1644" w:wrap="notBeside" w:vAnchor="page" w:hAnchor="page" w:x="6573" w:y="721"/>
            </w:pPr>
          </w:p>
        </w:tc>
        <w:tc>
          <w:tcPr>
            <w:tcW w:w="2347" w:type="dxa"/>
            <w:gridSpan w:val="2"/>
          </w:tcPr>
          <w:p w:rsidR="00720EFA" w:rsidRPr="00821B89" w:rsidRDefault="00720E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
                <w:i w:val="0"/>
                <w:sz w:val="22"/>
              </w:rPr>
            </w:pPr>
            <w:r w:rsidRPr="00821B89">
              <w:rPr>
                <w:b/>
                <w:i w:val="0"/>
                <w:sz w:val="22"/>
              </w:rPr>
              <w:t>Näringsdepartementet</w:t>
            </w: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r w:rsidR="00720EFA" w:rsidRPr="00821B89">
        <w:tblPrEx>
          <w:tblCellMar>
            <w:top w:w="0" w:type="dxa"/>
            <w:bottom w:w="0" w:type="dxa"/>
          </w:tblCellMar>
        </w:tblPrEx>
        <w:trPr>
          <w:trHeight w:val="284"/>
        </w:trPr>
        <w:tc>
          <w:tcPr>
            <w:tcW w:w="4911" w:type="dxa"/>
          </w:tcPr>
          <w:p w:rsidR="00720EFA" w:rsidRPr="00821B89" w:rsidRDefault="00720EFA">
            <w:pPr>
              <w:pStyle w:val="Avsndare"/>
              <w:framePr w:h="2483" w:wrap="notBeside" w:x="1504"/>
              <w:rPr>
                <w:bCs/>
                <w:iCs/>
              </w:rPr>
            </w:pPr>
          </w:p>
        </w:tc>
      </w:tr>
    </w:tbl>
    <w:p w:rsidR="00720EFA" w:rsidRPr="00821B89" w:rsidRDefault="00720EFA">
      <w:pPr>
        <w:framePr w:w="4400" w:h="2523" w:wrap="notBeside" w:vAnchor="page" w:hAnchor="page" w:x="6453" w:y="2445"/>
        <w:ind w:left="142"/>
        <w:rPr>
          <w:b/>
        </w:rPr>
      </w:pPr>
    </w:p>
    <w:p w:rsidR="00720EFA" w:rsidRPr="00821B89" w:rsidRDefault="009B1E7C">
      <w:pPr>
        <w:pStyle w:val="RKrubrik"/>
        <w:pBdr>
          <w:bottom w:val="single" w:sz="6" w:space="1" w:color="auto"/>
        </w:pBdr>
      </w:pPr>
      <w:bookmarkStart w:id="0" w:name="bRubrik"/>
      <w:bookmarkEnd w:id="0"/>
      <w:r w:rsidRPr="00821B89">
        <w:t>TTE-Rådets möte den 3 december 2010</w:t>
      </w:r>
    </w:p>
    <w:p w:rsidR="00720EFA" w:rsidRPr="00821B89" w:rsidRDefault="00720EFA">
      <w:pPr>
        <w:pStyle w:val="RKnormal"/>
      </w:pPr>
    </w:p>
    <w:p w:rsidR="009B1E7C" w:rsidRPr="00821B89" w:rsidRDefault="009B1E7C" w:rsidP="009B1E7C">
      <w:pPr>
        <w:pStyle w:val="RKnormal"/>
        <w:rPr>
          <w:i/>
          <w:iCs/>
        </w:rPr>
      </w:pPr>
      <w:r w:rsidRPr="00821B89">
        <w:t>Dagordningspunkt 10</w:t>
      </w:r>
      <w:r w:rsidRPr="00821B89">
        <w:rPr>
          <w:i/>
          <w:iCs/>
        </w:rPr>
        <w:t>- [Antagande av rådsslutsatser]</w:t>
      </w:r>
    </w:p>
    <w:p w:rsidR="009B1E7C" w:rsidRPr="00821B89" w:rsidRDefault="009B1E7C">
      <w:pPr>
        <w:pStyle w:val="RKnormal"/>
      </w:pPr>
    </w:p>
    <w:p w:rsidR="00720EFA" w:rsidRPr="00821B89" w:rsidRDefault="00720EFA">
      <w:pPr>
        <w:pStyle w:val="RKnormal"/>
      </w:pPr>
      <w:r w:rsidRPr="00821B89">
        <w:t>Rubrik:</w:t>
      </w:r>
      <w:r w:rsidR="009B1E7C" w:rsidRPr="00821B89">
        <w:t xml:space="preserve"> </w:t>
      </w:r>
      <w:r w:rsidR="009B1E7C" w:rsidRPr="00821B89">
        <w:rPr>
          <w:bCs/>
        </w:rPr>
        <w:t>En för konsumenter gynnsam energipolitik</w:t>
      </w:r>
    </w:p>
    <w:p w:rsidR="00720EFA" w:rsidRPr="00821B89" w:rsidRDefault="00720EFA">
      <w:pPr>
        <w:pStyle w:val="RKnormal"/>
      </w:pPr>
    </w:p>
    <w:p w:rsidR="009B1E7C" w:rsidRPr="00821B89" w:rsidRDefault="00720EFA" w:rsidP="009B1E7C">
      <w:pPr>
        <w:pStyle w:val="RKnormal"/>
        <w:rPr>
          <w:i/>
        </w:rPr>
      </w:pPr>
      <w:r w:rsidRPr="00821B89">
        <w:t>Dokument:</w:t>
      </w:r>
      <w:r w:rsidR="009B1E7C" w:rsidRPr="00821B89">
        <w:t xml:space="preserve"> </w:t>
      </w:r>
      <w:r w:rsidR="00652E9F" w:rsidRPr="00821B89">
        <w:t>16300/10 ENER 329 CONSOM 104</w:t>
      </w:r>
    </w:p>
    <w:p w:rsidR="00720EFA" w:rsidRPr="00821B89" w:rsidRDefault="00720EFA">
      <w:pPr>
        <w:pStyle w:val="RKnormal"/>
      </w:pPr>
    </w:p>
    <w:p w:rsidR="00720EFA" w:rsidRPr="00821B89" w:rsidRDefault="00C47E6F">
      <w:pPr>
        <w:pStyle w:val="RKnormal"/>
      </w:pPr>
      <w:r w:rsidRPr="00821B89">
        <w:t>Tidigare dokument:</w:t>
      </w:r>
    </w:p>
    <w:p w:rsidR="00720EFA" w:rsidRPr="00821B89" w:rsidRDefault="00720EFA">
      <w:pPr>
        <w:pStyle w:val="RKnormal"/>
      </w:pPr>
    </w:p>
    <w:p w:rsidR="00720EFA" w:rsidRPr="00821B89" w:rsidRDefault="00720EFA">
      <w:pPr>
        <w:pStyle w:val="RKnormal"/>
      </w:pPr>
      <w:r w:rsidRPr="00821B89">
        <w:t xml:space="preserve">Tidigare </w:t>
      </w:r>
      <w:r w:rsidR="009B1E7C" w:rsidRPr="00821B89">
        <w:t xml:space="preserve">ej </w:t>
      </w:r>
      <w:r w:rsidRPr="00821B89">
        <w:t xml:space="preserve">behandlad </w:t>
      </w:r>
      <w:r w:rsidR="009B1E7C" w:rsidRPr="00821B89">
        <w:t>vid samråd med EU-nämnden.</w:t>
      </w:r>
    </w:p>
    <w:p w:rsidR="00720EFA" w:rsidRPr="00821B89" w:rsidRDefault="00720EFA">
      <w:pPr>
        <w:pStyle w:val="RKnormal"/>
      </w:pPr>
    </w:p>
    <w:p w:rsidR="00720EFA" w:rsidRPr="00821B89" w:rsidRDefault="00720EFA">
      <w:pPr>
        <w:pStyle w:val="RKrubrik"/>
      </w:pPr>
      <w:r w:rsidRPr="00821B89">
        <w:t>Bakgrund</w:t>
      </w:r>
    </w:p>
    <w:p w:rsidR="003C7B0E" w:rsidRPr="00821B89" w:rsidRDefault="00202EF3" w:rsidP="00202EF3">
      <w:pPr>
        <w:pStyle w:val="RKnormal"/>
      </w:pPr>
      <w:r w:rsidRPr="00821B89">
        <w:t xml:space="preserve">Det belgiska ordförandeskapet prioriterar frågan om konsumenternas ställning på energimarknaderna och har under hösten </w:t>
      </w:r>
      <w:r w:rsidR="00C47E6F" w:rsidRPr="00821B89">
        <w:t>lyft denna i olika sammanhang</w:t>
      </w:r>
      <w:r w:rsidRPr="00821B89">
        <w:t xml:space="preserve">. </w:t>
      </w:r>
    </w:p>
    <w:p w:rsidR="009634EE" w:rsidRPr="00821B89" w:rsidRDefault="009634EE" w:rsidP="00202EF3">
      <w:pPr>
        <w:pStyle w:val="RKnormal"/>
      </w:pPr>
    </w:p>
    <w:p w:rsidR="00202EF3" w:rsidRPr="00821B89" w:rsidRDefault="00202EF3" w:rsidP="00202EF3">
      <w:pPr>
        <w:pStyle w:val="RKnormal"/>
        <w:rPr>
          <w:bCs/>
        </w:rPr>
      </w:pPr>
      <w:r w:rsidRPr="00821B89">
        <w:t>År 2007 presenterade kommissionen ett meddelande om en stadga för energikonsumenters rättigheter. Tanken var att en icke-bindande stadga skulle tas fram och sedan undertecknads av intresserade parter. Stadgan blev dock inte verklighet efter kritik mot kommissionens förslag</w:t>
      </w:r>
      <w:r w:rsidR="006F0401" w:rsidRPr="00821B89">
        <w:t>.</w:t>
      </w:r>
      <w:r w:rsidRPr="00821B89">
        <w:t xml:space="preserve"> Konsumentfrågan har även diskuteras i förhandlingarna om d</w:t>
      </w:r>
      <w:r w:rsidR="00C47E6F" w:rsidRPr="00821B89">
        <w:t xml:space="preserve">et tredje </w:t>
      </w:r>
      <w:r w:rsidR="00DA0DDF" w:rsidRPr="00821B89">
        <w:t>energi</w:t>
      </w:r>
      <w:r w:rsidR="00C47E6F" w:rsidRPr="00821B89">
        <w:t>marknadspaketet</w:t>
      </w:r>
      <w:r w:rsidR="00AA74D6" w:rsidRPr="00821B89">
        <w:rPr>
          <w:rStyle w:val="Fotnotsreferens"/>
        </w:rPr>
        <w:footnoteReference w:id="1"/>
      </w:r>
      <w:r w:rsidR="00C47E6F" w:rsidRPr="00821B89">
        <w:t xml:space="preserve"> där </w:t>
      </w:r>
      <w:r w:rsidR="00D83025" w:rsidRPr="00821B89">
        <w:t xml:space="preserve">en rad </w:t>
      </w:r>
      <w:r w:rsidR="00C47E6F" w:rsidRPr="00821B89">
        <w:t>förslag som syftar till at</w:t>
      </w:r>
      <w:r w:rsidR="00AA74D6" w:rsidRPr="00821B89">
        <w:t>t</w:t>
      </w:r>
      <w:r w:rsidR="00C47E6F" w:rsidRPr="00821B89">
        <w:t xml:space="preserve"> förstärka kundernas ställning ant</w:t>
      </w:r>
      <w:r w:rsidR="00AA74D6" w:rsidRPr="00821B89">
        <w:t>agits</w:t>
      </w:r>
      <w:r w:rsidR="00C47E6F" w:rsidRPr="00821B89">
        <w:t>.</w:t>
      </w:r>
    </w:p>
    <w:p w:rsidR="00202EF3" w:rsidRPr="00821B89" w:rsidRDefault="00202EF3" w:rsidP="00202EF3">
      <w:pPr>
        <w:pStyle w:val="RKnormal"/>
      </w:pPr>
    </w:p>
    <w:p w:rsidR="0088724D" w:rsidRPr="00821B89" w:rsidRDefault="00202EF3" w:rsidP="00202EF3">
      <w:pPr>
        <w:pStyle w:val="RKnormal"/>
      </w:pPr>
      <w:r w:rsidRPr="00821B89">
        <w:lastRenderedPageBreak/>
        <w:t>Vid det informella ministerrådsmötet</w:t>
      </w:r>
      <w:r w:rsidR="00C47E6F" w:rsidRPr="00821B89">
        <w:t xml:space="preserve"> i Bryssel den 6-7 </w:t>
      </w:r>
      <w:r w:rsidRPr="00821B89">
        <w:t xml:space="preserve">september 2010 diskuterades konsumentfrågan på initiativ av det belgiska ordförandeskapet. </w:t>
      </w:r>
    </w:p>
    <w:p w:rsidR="009634EE" w:rsidRPr="00821B89" w:rsidRDefault="009634EE" w:rsidP="00202EF3">
      <w:pPr>
        <w:pStyle w:val="RKnormal"/>
      </w:pPr>
    </w:p>
    <w:p w:rsidR="00D83025" w:rsidRPr="00821B89" w:rsidRDefault="006F0401" w:rsidP="00202EF3">
      <w:pPr>
        <w:pStyle w:val="RKnormal"/>
      </w:pPr>
      <w:r w:rsidRPr="00821B89">
        <w:t>Inför rådsmötet i</w:t>
      </w:r>
      <w:r w:rsidR="0088724D" w:rsidRPr="00821B89">
        <w:t xml:space="preserve"> november har kommissionen lagt fram två arbetsdokument En energipolitik för konsumenter </w:t>
      </w:r>
      <w:r w:rsidRPr="00821B89">
        <w:t xml:space="preserve">(SEC (2010)1407) </w:t>
      </w:r>
      <w:r w:rsidR="0088724D" w:rsidRPr="00821B89">
        <w:t>samt Elmarknadens funktion för kunder inom EU</w:t>
      </w:r>
      <w:r w:rsidRPr="00821B89">
        <w:t xml:space="preserve"> (SEC (2010) 1409)</w:t>
      </w:r>
      <w:r w:rsidR="0088724D" w:rsidRPr="00821B89">
        <w:t xml:space="preserve">. </w:t>
      </w:r>
    </w:p>
    <w:p w:rsidR="00D83025" w:rsidRPr="00821B89" w:rsidRDefault="00D83025" w:rsidP="00202EF3">
      <w:pPr>
        <w:pStyle w:val="RKnormal"/>
      </w:pPr>
    </w:p>
    <w:p w:rsidR="00BF7713" w:rsidRPr="00821B89" w:rsidRDefault="0088724D" w:rsidP="00202EF3">
      <w:pPr>
        <w:pStyle w:val="RKnormal"/>
      </w:pPr>
      <w:r w:rsidRPr="00821B89">
        <w:t xml:space="preserve">Den </w:t>
      </w:r>
      <w:r w:rsidR="00D83025" w:rsidRPr="00821B89">
        <w:t>första</w:t>
      </w:r>
      <w:r w:rsidRPr="00821B89">
        <w:t xml:space="preserve"> </w:t>
      </w:r>
      <w:r w:rsidR="00D83025" w:rsidRPr="00821B89">
        <w:t xml:space="preserve">rapporten </w:t>
      </w:r>
      <w:r w:rsidR="007330EC" w:rsidRPr="00821B89">
        <w:t xml:space="preserve">ger en översikt över energipolitiska konsumentrelaterade åtgärder och </w:t>
      </w:r>
      <w:r w:rsidR="003C4F74" w:rsidRPr="00821B89">
        <w:t xml:space="preserve">pekar </w:t>
      </w:r>
      <w:r w:rsidR="00D83025" w:rsidRPr="00821B89">
        <w:t xml:space="preserve">på </w:t>
      </w:r>
      <w:r w:rsidR="003C4F74" w:rsidRPr="00821B89">
        <w:t xml:space="preserve">områden där </w:t>
      </w:r>
      <w:r w:rsidR="007330EC" w:rsidRPr="00821B89">
        <w:t>ytterligare</w:t>
      </w:r>
      <w:r w:rsidR="003C4F74" w:rsidRPr="00821B89">
        <w:t xml:space="preserve"> insatser skulle kunna göras.</w:t>
      </w:r>
      <w:r w:rsidR="007330EC" w:rsidRPr="00821B89">
        <w:t xml:space="preserve"> </w:t>
      </w:r>
      <w:r w:rsidR="00D83025" w:rsidRPr="00821B89">
        <w:t>Det handlar</w:t>
      </w:r>
      <w:r w:rsidR="003C4F74" w:rsidRPr="00821B89">
        <w:t xml:space="preserve"> huvudsakligen om att tillse att </w:t>
      </w:r>
      <w:r w:rsidR="006F0401" w:rsidRPr="00821B89">
        <w:t xml:space="preserve">konsumentåtgärder inom </w:t>
      </w:r>
      <w:r w:rsidR="003C4F74" w:rsidRPr="00821B89">
        <w:t xml:space="preserve">redan antagen EU lagstiftning </w:t>
      </w:r>
      <w:r w:rsidR="00393B35" w:rsidRPr="00821B89">
        <w:t>(tredje energimarknadspaketet</w:t>
      </w:r>
      <w:r w:rsidR="006F0401" w:rsidRPr="00821B89">
        <w:t>)</w:t>
      </w:r>
      <w:r w:rsidR="00FA5255" w:rsidRPr="00821B89">
        <w:t xml:space="preserve"> </w:t>
      </w:r>
      <w:r w:rsidR="003C4F74" w:rsidRPr="00821B89">
        <w:t xml:space="preserve">genomförs och utgående från </w:t>
      </w:r>
      <w:r w:rsidR="00550361" w:rsidRPr="00821B89">
        <w:t>de</w:t>
      </w:r>
      <w:r w:rsidR="00393B35" w:rsidRPr="00821B89">
        <w:t>tt</w:t>
      </w:r>
      <w:r w:rsidR="00550361" w:rsidRPr="00821B89">
        <w:t xml:space="preserve">a arbeta </w:t>
      </w:r>
      <w:r w:rsidR="00D83025" w:rsidRPr="00821B89">
        <w:t>vidare med förbättringsåtgärder</w:t>
      </w:r>
      <w:r w:rsidR="00393B35" w:rsidRPr="00821B89">
        <w:t xml:space="preserve"> t ex </w:t>
      </w:r>
      <w:r w:rsidR="00FA5255" w:rsidRPr="00821B89">
        <w:t xml:space="preserve">avseende information, </w:t>
      </w:r>
      <w:r w:rsidR="00393B35" w:rsidRPr="00821B89">
        <w:t>prisjämförelser och förenklad klagomålshantering</w:t>
      </w:r>
      <w:r w:rsidR="00550361" w:rsidRPr="00821B89">
        <w:rPr>
          <w:i/>
        </w:rPr>
        <w:t>.</w:t>
      </w:r>
      <w:r w:rsidR="003C4F74" w:rsidRPr="00821B89">
        <w:t xml:space="preserve"> </w:t>
      </w:r>
    </w:p>
    <w:p w:rsidR="00BF7713" w:rsidRPr="00821B89" w:rsidRDefault="00BF7713" w:rsidP="00202EF3">
      <w:pPr>
        <w:pStyle w:val="RKnormal"/>
      </w:pPr>
    </w:p>
    <w:p w:rsidR="009634EE" w:rsidRPr="00821B89" w:rsidRDefault="0088724D" w:rsidP="00202EF3">
      <w:pPr>
        <w:pStyle w:val="RKnormal"/>
      </w:pPr>
      <w:r w:rsidRPr="00821B89">
        <w:t xml:space="preserve">Den </w:t>
      </w:r>
      <w:r w:rsidR="00D83025" w:rsidRPr="00821B89">
        <w:t xml:space="preserve">andra rapporten </w:t>
      </w:r>
      <w:r w:rsidRPr="00821B89">
        <w:t xml:space="preserve">presenterar resultatet av </w:t>
      </w:r>
      <w:r w:rsidR="007330EC" w:rsidRPr="00821B89">
        <w:t>en jämförande</w:t>
      </w:r>
      <w:r w:rsidRPr="00821B89">
        <w:t xml:space="preserve"> studie som kommissionen låtit genomföra om hur elmarknaderna fungerar för konsumenterna inom EU.</w:t>
      </w:r>
      <w:r w:rsidR="003C4F74" w:rsidRPr="00821B89">
        <w:t xml:space="preserve"> </w:t>
      </w:r>
      <w:r w:rsidR="00550361" w:rsidRPr="00821B89">
        <w:t>De område</w:t>
      </w:r>
      <w:r w:rsidR="00D83025" w:rsidRPr="00821B89">
        <w:t>n som studien bl a undersökt är</w:t>
      </w:r>
      <w:r w:rsidR="00550361" w:rsidRPr="00821B89">
        <w:t xml:space="preserve"> medvetenhet och kunskapsnivå om elmarknaden och </w:t>
      </w:r>
      <w:r w:rsidR="00323DF9" w:rsidRPr="00821B89">
        <w:t xml:space="preserve">tillgången till </w:t>
      </w:r>
      <w:r w:rsidR="00550361" w:rsidRPr="00821B89">
        <w:t xml:space="preserve">prisjämförelser, </w:t>
      </w:r>
      <w:r w:rsidR="00BF7713" w:rsidRPr="00821B89">
        <w:t xml:space="preserve">byte av elleverantör, </w:t>
      </w:r>
      <w:r w:rsidR="00550361" w:rsidRPr="00821B89">
        <w:t>k</w:t>
      </w:r>
      <w:r w:rsidR="009634EE" w:rsidRPr="00821B89">
        <w:t>lagomålshantering och</w:t>
      </w:r>
      <w:r w:rsidR="00550361" w:rsidRPr="00821B89">
        <w:t xml:space="preserve"> tvistelösning</w:t>
      </w:r>
      <w:r w:rsidR="00BF7713" w:rsidRPr="00821B89">
        <w:t xml:space="preserve"> etc</w:t>
      </w:r>
      <w:r w:rsidR="00323DF9" w:rsidRPr="00821B89">
        <w:t>.</w:t>
      </w:r>
      <w:r w:rsidR="00FA5255" w:rsidRPr="00821B89">
        <w:t xml:space="preserve"> </w:t>
      </w:r>
      <w:r w:rsidR="001B0B99" w:rsidRPr="00821B89">
        <w:t xml:space="preserve">Några områden där Sverige särskilt omnämns och faller väl ut är tillgången till prisjämförelser och utnyttjandet av denna möjlighet. Detsamma </w:t>
      </w:r>
      <w:r w:rsidR="00BF7713" w:rsidRPr="00821B89">
        <w:t xml:space="preserve">gäller konsumenternas aktivitet </w:t>
      </w:r>
      <w:r w:rsidR="001B0B99" w:rsidRPr="00821B89">
        <w:t xml:space="preserve">att jämföra olika erbjudanden från olika elhandelsföretag. Bytesfrekvensen är jämförelsevis hög och kunderna upplever få problem med sitt elhandelsföretag. Däremot </w:t>
      </w:r>
      <w:r w:rsidR="006F0401" w:rsidRPr="00821B89">
        <w:t>uppmärksammas</w:t>
      </w:r>
      <w:r w:rsidR="001B0B99" w:rsidRPr="00821B89">
        <w:t xml:space="preserve"> </w:t>
      </w:r>
      <w:r w:rsidR="00D0741C" w:rsidRPr="00821B89">
        <w:t xml:space="preserve">missvisande </w:t>
      </w:r>
      <w:r w:rsidR="001B0B99" w:rsidRPr="00821B89">
        <w:t>försäljningsmetoder</w:t>
      </w:r>
      <w:r w:rsidR="00D0741C" w:rsidRPr="00821B89">
        <w:t xml:space="preserve"> av elhandelsföretag som försök</w:t>
      </w:r>
      <w:r w:rsidR="00BF7713" w:rsidRPr="00821B89">
        <w:t>er</w:t>
      </w:r>
      <w:r w:rsidR="00D0741C" w:rsidRPr="00821B89">
        <w:t xml:space="preserve"> värva nya kunder.</w:t>
      </w:r>
    </w:p>
    <w:p w:rsidR="001B0B99" w:rsidRPr="00821B89" w:rsidRDefault="001B0B99" w:rsidP="00202EF3">
      <w:pPr>
        <w:pStyle w:val="RKnormal"/>
      </w:pPr>
    </w:p>
    <w:p w:rsidR="009634EE" w:rsidRPr="00821B89" w:rsidRDefault="009634EE" w:rsidP="009634EE">
      <w:pPr>
        <w:pStyle w:val="RKnormal"/>
      </w:pPr>
      <w:r w:rsidRPr="00821B89">
        <w:t xml:space="preserve">Mot bakgrund av de diskussioner som förevarit under hösten och kommissionens arbetsdokument </w:t>
      </w:r>
      <w:r w:rsidR="00D83025" w:rsidRPr="00821B89">
        <w:t>som beskrivs ovan</w:t>
      </w:r>
      <w:r w:rsidRPr="00821B89">
        <w:t xml:space="preserve"> har belgiska ordförandeskapet presenterat utkast till rådsslutsatser om konsumenternas ställning på energimarknaderna. Slutsatserna har behandlats i rådsarbetsgruppen för energi</w:t>
      </w:r>
      <w:r w:rsidR="00B318E0" w:rsidRPr="00821B89">
        <w:t>.</w:t>
      </w:r>
    </w:p>
    <w:p w:rsidR="00B318E0" w:rsidRPr="00821B89" w:rsidRDefault="00B318E0" w:rsidP="009634EE">
      <w:pPr>
        <w:pStyle w:val="RKnormal"/>
      </w:pPr>
    </w:p>
    <w:p w:rsidR="00D83025" w:rsidRPr="00821B89" w:rsidRDefault="009634EE" w:rsidP="009634EE">
      <w:pPr>
        <w:pStyle w:val="RKnormal"/>
      </w:pPr>
      <w:r w:rsidRPr="00821B89">
        <w:t xml:space="preserve">Diskussionen </w:t>
      </w:r>
      <w:r w:rsidR="00D83025" w:rsidRPr="00821B89">
        <w:t xml:space="preserve">under arbetets gång har huvudsakligen handlat om att slutsatserna ska hållas inom ramen för vad som framgår av tredje </w:t>
      </w:r>
      <w:r w:rsidR="00DA0DDF" w:rsidRPr="00821B89">
        <w:t>energi</w:t>
      </w:r>
      <w:r w:rsidR="00D83025" w:rsidRPr="00821B89">
        <w:t xml:space="preserve">marknadspaketet och </w:t>
      </w:r>
      <w:r w:rsidR="0008519D" w:rsidRPr="00821B89">
        <w:t>gränsdragningen mellan vad som kan behandlas inom ramen för energipolitiken respektive socialpolitikens område beroende på skillnader och olika förutsättningar mellan medlemsstaterna.</w:t>
      </w:r>
    </w:p>
    <w:p w:rsidR="00720EFA" w:rsidRPr="00821B89" w:rsidRDefault="00720EFA">
      <w:pPr>
        <w:pStyle w:val="RKrubrik"/>
      </w:pPr>
      <w:r w:rsidRPr="00821B89">
        <w:t>Rättslig grund och beslutsförfarande</w:t>
      </w:r>
    </w:p>
    <w:p w:rsidR="00720EFA" w:rsidRPr="00821B89" w:rsidRDefault="00CE2293">
      <w:pPr>
        <w:pStyle w:val="RKnormal"/>
      </w:pPr>
      <w:r w:rsidRPr="00821B89">
        <w:t xml:space="preserve">Antagande av </w:t>
      </w:r>
      <w:r w:rsidR="00323DF9" w:rsidRPr="00821B89">
        <w:t>rådsslutsatser</w:t>
      </w:r>
      <w:r w:rsidRPr="00821B89">
        <w:t xml:space="preserve">. </w:t>
      </w:r>
      <w:r w:rsidR="00202EF3" w:rsidRPr="00821B89">
        <w:t>Slutsatser kräver enhällighet</w:t>
      </w:r>
      <w:r w:rsidRPr="00821B89">
        <w:t>.</w:t>
      </w:r>
      <w:r w:rsidR="00202EF3" w:rsidRPr="00821B89">
        <w:t xml:space="preserve"> </w:t>
      </w:r>
    </w:p>
    <w:p w:rsidR="00720EFA" w:rsidRPr="00821B89" w:rsidRDefault="00720EFA">
      <w:pPr>
        <w:pStyle w:val="RKrubrik"/>
        <w:rPr>
          <w:i/>
          <w:iCs/>
        </w:rPr>
      </w:pPr>
      <w:r w:rsidRPr="00821B89">
        <w:rPr>
          <w:i/>
          <w:iCs/>
        </w:rPr>
        <w:t>Svensk ståndpunkt</w:t>
      </w:r>
    </w:p>
    <w:p w:rsidR="009A1E7C" w:rsidRPr="00821B89" w:rsidRDefault="00323DF9" w:rsidP="00323DF9">
      <w:pPr>
        <w:pStyle w:val="RKnormal"/>
        <w:rPr>
          <w:bCs/>
        </w:rPr>
      </w:pPr>
      <w:r w:rsidRPr="00821B89">
        <w:rPr>
          <w:bCs/>
        </w:rPr>
        <w:t xml:space="preserve">Regeringen stödjer den allmänna </w:t>
      </w:r>
      <w:r w:rsidR="00DA0DDF" w:rsidRPr="00821B89">
        <w:rPr>
          <w:bCs/>
        </w:rPr>
        <w:t>inriktningen i rådsslutsatserna</w:t>
      </w:r>
      <w:r w:rsidR="009A1E7C" w:rsidRPr="00821B89">
        <w:rPr>
          <w:bCs/>
        </w:rPr>
        <w:t xml:space="preserve"> och kan konstatera att flertalet av de åtgärder rådsslutsatserna tar sikte på, i den mån dessa inte redan finns på plats, är under införande genom implementeringen av tredje energimarknadspaketet.</w:t>
      </w:r>
      <w:r w:rsidRPr="00821B89">
        <w:rPr>
          <w:bCs/>
        </w:rPr>
        <w:t xml:space="preserve"> </w:t>
      </w:r>
    </w:p>
    <w:p w:rsidR="009A1E7C" w:rsidRPr="00821B89" w:rsidRDefault="009A1E7C" w:rsidP="00323DF9">
      <w:pPr>
        <w:pStyle w:val="RKnormal"/>
        <w:rPr>
          <w:bCs/>
        </w:rPr>
      </w:pPr>
    </w:p>
    <w:p w:rsidR="009A1E7C" w:rsidRPr="00821B89" w:rsidRDefault="009A1E7C" w:rsidP="009A1E7C">
      <w:pPr>
        <w:pStyle w:val="RKnormal"/>
        <w:rPr>
          <w:color w:val="FF0000"/>
        </w:rPr>
      </w:pPr>
      <w:r w:rsidRPr="00821B89">
        <w:t>Regeringen instämmer också i att energieffektivisering är ett hållbart och effektivt sätt för konsumenterna att påverka sina energikostnader.</w:t>
      </w:r>
      <w:r w:rsidRPr="00821B89">
        <w:rPr>
          <w:color w:val="FF0000"/>
        </w:rPr>
        <w:t xml:space="preserve"> </w:t>
      </w:r>
      <w:r w:rsidRPr="00821B89">
        <w:t xml:space="preserve">Regeringen anser vidare att information är nödvändigt, dels för att konsumenterna ska kunna utnyttja sina nya rättigheter på energimarknaderna, dels för att aktiva och välinformerade konsumenter är en förutsättning för att konkurrensen på marknaderna ska fungera. </w:t>
      </w:r>
    </w:p>
    <w:p w:rsidR="009A1E7C" w:rsidRPr="00821B89" w:rsidRDefault="009A1E7C" w:rsidP="00323DF9">
      <w:pPr>
        <w:pStyle w:val="RKnormal"/>
        <w:rPr>
          <w:bCs/>
        </w:rPr>
      </w:pPr>
    </w:p>
    <w:p w:rsidR="00A655E2" w:rsidRPr="00821B89" w:rsidRDefault="00B318E0" w:rsidP="00A655E2">
      <w:pPr>
        <w:pStyle w:val="RKnormal"/>
        <w:rPr>
          <w:bCs/>
        </w:rPr>
      </w:pPr>
      <w:r w:rsidRPr="00821B89">
        <w:rPr>
          <w:bCs/>
        </w:rPr>
        <w:t xml:space="preserve">Regeringen har framhållit att slutsatserna till sitt innehåll ska </w:t>
      </w:r>
      <w:r w:rsidR="00A655E2" w:rsidRPr="00821B89">
        <w:rPr>
          <w:bCs/>
        </w:rPr>
        <w:t xml:space="preserve">stämma överens med vad som </w:t>
      </w:r>
      <w:r w:rsidR="00643787" w:rsidRPr="00821B89">
        <w:rPr>
          <w:bCs/>
        </w:rPr>
        <w:t>anges</w:t>
      </w:r>
      <w:r w:rsidR="00A655E2" w:rsidRPr="00821B89">
        <w:rPr>
          <w:bCs/>
        </w:rPr>
        <w:t xml:space="preserve"> </w:t>
      </w:r>
      <w:r w:rsidR="00643787" w:rsidRPr="00821B89">
        <w:rPr>
          <w:bCs/>
        </w:rPr>
        <w:t>i</w:t>
      </w:r>
      <w:r w:rsidR="00A655E2" w:rsidRPr="00821B89">
        <w:rPr>
          <w:bCs/>
        </w:rPr>
        <w:t xml:space="preserve"> tredje energimarknadspaketet. </w:t>
      </w:r>
    </w:p>
    <w:p w:rsidR="00A655E2" w:rsidRPr="00821B89" w:rsidRDefault="00A655E2" w:rsidP="00323DF9">
      <w:pPr>
        <w:pStyle w:val="RKnormal"/>
        <w:rPr>
          <w:bCs/>
        </w:rPr>
      </w:pPr>
    </w:p>
    <w:p w:rsidR="00FE7734" w:rsidRPr="00821B89" w:rsidRDefault="009A1E7C" w:rsidP="00323DF9">
      <w:pPr>
        <w:pStyle w:val="RKnormal"/>
        <w:rPr>
          <w:bCs/>
        </w:rPr>
      </w:pPr>
      <w:r w:rsidRPr="00821B89">
        <w:rPr>
          <w:bCs/>
        </w:rPr>
        <w:t xml:space="preserve">Regeringen har </w:t>
      </w:r>
      <w:r w:rsidR="00A655E2" w:rsidRPr="00821B89">
        <w:rPr>
          <w:bCs/>
        </w:rPr>
        <w:t xml:space="preserve">vidare </w:t>
      </w:r>
      <w:r w:rsidR="004F7847" w:rsidRPr="00821B89">
        <w:rPr>
          <w:bCs/>
        </w:rPr>
        <w:t>uppmärksammat</w:t>
      </w:r>
      <w:r w:rsidR="00A655E2" w:rsidRPr="00821B89">
        <w:rPr>
          <w:bCs/>
        </w:rPr>
        <w:t xml:space="preserve"> frågan om vad som kan åstadkommas inom ramen för energipolitiken </w:t>
      </w:r>
      <w:r w:rsidR="004F7847" w:rsidRPr="00821B89">
        <w:rPr>
          <w:bCs/>
        </w:rPr>
        <w:t xml:space="preserve">och vilka instrument som står till förfogande inom </w:t>
      </w:r>
      <w:r w:rsidR="00FE7734" w:rsidRPr="00821B89">
        <w:rPr>
          <w:bCs/>
        </w:rPr>
        <w:t xml:space="preserve">denna </w:t>
      </w:r>
      <w:r w:rsidR="00A655E2" w:rsidRPr="00821B89">
        <w:rPr>
          <w:bCs/>
        </w:rPr>
        <w:t>respektive socialpolitiken</w:t>
      </w:r>
      <w:r w:rsidR="00FE7734" w:rsidRPr="00821B89">
        <w:rPr>
          <w:bCs/>
        </w:rPr>
        <w:t>.</w:t>
      </w:r>
      <w:r w:rsidR="00A655E2" w:rsidRPr="00821B89">
        <w:rPr>
          <w:bCs/>
        </w:rPr>
        <w:t xml:space="preserve"> </w:t>
      </w:r>
    </w:p>
    <w:p w:rsidR="00323DF9" w:rsidRPr="00821B89" w:rsidRDefault="00A655E2" w:rsidP="00323DF9">
      <w:pPr>
        <w:pStyle w:val="RKnormal"/>
        <w:rPr>
          <w:bCs/>
        </w:rPr>
      </w:pPr>
      <w:r w:rsidRPr="00821B89">
        <w:rPr>
          <w:bCs/>
        </w:rPr>
        <w:t>Synen på detta kan skilja medlemsstaterna emellan vilket bl a kommit till uttryck i diskussionen om sårbara kunder.</w:t>
      </w:r>
    </w:p>
    <w:p w:rsidR="00323DF9" w:rsidRPr="00821B89" w:rsidRDefault="00323DF9" w:rsidP="004E5FAE">
      <w:pPr>
        <w:pStyle w:val="RKnormal"/>
        <w:rPr>
          <w:bCs/>
        </w:rPr>
      </w:pPr>
    </w:p>
    <w:p w:rsidR="004E5FAE" w:rsidRPr="00821B89" w:rsidRDefault="009A1E7C" w:rsidP="004E5FAE">
      <w:pPr>
        <w:pStyle w:val="RKnormal"/>
      </w:pPr>
      <w:r w:rsidRPr="00821B89">
        <w:rPr>
          <w:bCs/>
        </w:rPr>
        <w:t xml:space="preserve">Regeringen har i stort fått gehör för sina synpunkter </w:t>
      </w:r>
      <w:r w:rsidR="00E81BFC" w:rsidRPr="00821B89">
        <w:rPr>
          <w:bCs/>
        </w:rPr>
        <w:t xml:space="preserve">samt stödjer den allmänna inriktningen </w:t>
      </w:r>
      <w:r w:rsidRPr="00821B89">
        <w:rPr>
          <w:bCs/>
        </w:rPr>
        <w:t xml:space="preserve">och kan därför ställa sig bakom slutsatserna. </w:t>
      </w:r>
    </w:p>
    <w:p w:rsidR="00720EFA" w:rsidRPr="00821B89" w:rsidRDefault="00720EFA">
      <w:pPr>
        <w:pStyle w:val="RKrubrik"/>
      </w:pPr>
      <w:r w:rsidRPr="00821B89">
        <w:t>Europaparlamentets inställning</w:t>
      </w:r>
    </w:p>
    <w:p w:rsidR="00720EFA" w:rsidRPr="00821B89" w:rsidRDefault="006F0401" w:rsidP="00202EF3">
      <w:pPr>
        <w:pStyle w:val="RKnormal"/>
      </w:pPr>
      <w:r w:rsidRPr="00821B89">
        <w:t xml:space="preserve">Ej känd. </w:t>
      </w:r>
      <w:r w:rsidR="00323DF9" w:rsidRPr="00821B89">
        <w:t xml:space="preserve">Slutsatserna </w:t>
      </w:r>
      <w:r w:rsidRPr="00821B89">
        <w:t>antas med enhällighet i rådet och har inte behandlats i Europaparlamentet</w:t>
      </w:r>
      <w:r w:rsidR="00323DF9" w:rsidRPr="00821B89">
        <w:t>.</w:t>
      </w:r>
    </w:p>
    <w:p w:rsidR="00720EFA" w:rsidRPr="00821B89" w:rsidRDefault="00720EFA">
      <w:pPr>
        <w:pStyle w:val="RKrubrik"/>
        <w:rPr>
          <w:i/>
          <w:iCs/>
        </w:rPr>
      </w:pPr>
      <w:r w:rsidRPr="00821B89">
        <w:rPr>
          <w:i/>
          <w:iCs/>
        </w:rPr>
        <w:t>Förslaget</w:t>
      </w:r>
    </w:p>
    <w:p w:rsidR="009634EE" w:rsidRPr="00821B89" w:rsidRDefault="00CE7A30" w:rsidP="009634EE">
      <w:pPr>
        <w:pStyle w:val="RKnormal"/>
      </w:pPr>
      <w:r w:rsidRPr="00821B89">
        <w:t xml:space="preserve">Slutsatserna </w:t>
      </w:r>
      <w:r w:rsidR="007B087B" w:rsidRPr="00821B89">
        <w:t xml:space="preserve">fokuserar på konsumenternas ställning på energimarknaderna. </w:t>
      </w:r>
      <w:r w:rsidR="00271DB7" w:rsidRPr="00821B89">
        <w:t xml:space="preserve">Innehållet är allmänt hållet och refererar huvudsakligen till åtgärder som redan finns på plats eller beslutats inom ramen för tredje </w:t>
      </w:r>
      <w:r w:rsidR="00DA0DDF" w:rsidRPr="00821B89">
        <w:t>energi</w:t>
      </w:r>
      <w:r w:rsidR="00271DB7" w:rsidRPr="00821B89">
        <w:t>marknadspaketet</w:t>
      </w:r>
      <w:r w:rsidR="006F0401" w:rsidRPr="00821B89">
        <w:t xml:space="preserve">. </w:t>
      </w:r>
      <w:r w:rsidR="00FA5255" w:rsidRPr="00821B89">
        <w:t xml:space="preserve">Det </w:t>
      </w:r>
      <w:r w:rsidR="006F0401" w:rsidRPr="00821B89">
        <w:t>handlar bl a om</w:t>
      </w:r>
      <w:r w:rsidR="00FA5255" w:rsidRPr="00821B89">
        <w:t xml:space="preserve"> transparent information (priser avtalsvillkor etc), byte av elhandelsföretag, </w:t>
      </w:r>
      <w:r w:rsidR="00A41F31" w:rsidRPr="00821B89">
        <w:t xml:space="preserve">kundernas rätt att bli informerade om sina rättigheter, </w:t>
      </w:r>
      <w:r w:rsidR="00FA5255" w:rsidRPr="00821B89">
        <w:t xml:space="preserve">klagomålshantering, en gemensam kontaktpunkt för information, mekanismer för tvistlösning utanför domstol etc. </w:t>
      </w:r>
    </w:p>
    <w:p w:rsidR="00A41F31" w:rsidRPr="00821B89" w:rsidRDefault="00A41F31" w:rsidP="009634EE">
      <w:pPr>
        <w:pStyle w:val="RKnormal"/>
      </w:pPr>
    </w:p>
    <w:p w:rsidR="00271DB7" w:rsidRPr="00821B89" w:rsidRDefault="00A41F31" w:rsidP="009634EE">
      <w:pPr>
        <w:pStyle w:val="RKnormal"/>
        <w:rPr>
          <w:bCs/>
        </w:rPr>
      </w:pPr>
      <w:r w:rsidRPr="00821B89">
        <w:t xml:space="preserve">I slutsatserna understryks också vikten av att genomföra </w:t>
      </w:r>
      <w:r w:rsidR="006F0401" w:rsidRPr="00821B89">
        <w:t>dessa</w:t>
      </w:r>
      <w:r w:rsidRPr="00821B89">
        <w:t xml:space="preserve"> åtgärder</w:t>
      </w:r>
      <w:r w:rsidR="006F0401" w:rsidRPr="00821B89">
        <w:t>.</w:t>
      </w:r>
      <w:r w:rsidRPr="00821B89">
        <w:t xml:space="preserve"> </w:t>
      </w:r>
    </w:p>
    <w:p w:rsidR="00A41F31" w:rsidRPr="00821B89" w:rsidRDefault="00A41F31">
      <w:pPr>
        <w:pStyle w:val="RKnormal"/>
      </w:pPr>
    </w:p>
    <w:p w:rsidR="00EB267C" w:rsidRPr="00821B89" w:rsidRDefault="00E532C8">
      <w:pPr>
        <w:pStyle w:val="RKnormal"/>
      </w:pPr>
      <w:r w:rsidRPr="00821B89">
        <w:t xml:space="preserve">Vidare </w:t>
      </w:r>
      <w:r w:rsidR="00AA74D6" w:rsidRPr="00821B89">
        <w:t>framhåller</w:t>
      </w:r>
      <w:r w:rsidR="006F0401" w:rsidRPr="00821B89">
        <w:t xml:space="preserve"> slutsatserna betydelsen </w:t>
      </w:r>
      <w:r w:rsidR="00A41F31" w:rsidRPr="00821B89">
        <w:t>av energieffektivisering</w:t>
      </w:r>
      <w:r w:rsidRPr="00821B89">
        <w:t xml:space="preserve"> och införandet av </w:t>
      </w:r>
      <w:r w:rsidR="00A41F31" w:rsidRPr="00821B89">
        <w:t xml:space="preserve">nya </w:t>
      </w:r>
      <w:r w:rsidR="008C5443" w:rsidRPr="00821B89">
        <w:t xml:space="preserve">teknologier som t ex smarta </w:t>
      </w:r>
      <w:r w:rsidR="00A41F31" w:rsidRPr="00821B89">
        <w:t>mätare</w:t>
      </w:r>
      <w:r w:rsidRPr="00821B89">
        <w:t xml:space="preserve"> -  allt för att få mer medvetna och aktiva kunder</w:t>
      </w:r>
      <w:r w:rsidR="008C5443" w:rsidRPr="00821B89">
        <w:t>.</w:t>
      </w:r>
      <w:r w:rsidR="00177581" w:rsidRPr="00821B89">
        <w:t xml:space="preserve"> </w:t>
      </w:r>
      <w:r w:rsidR="00A41F31" w:rsidRPr="00821B89">
        <w:t xml:space="preserve">Vikten av transparent och användarvänlig information är återkommande punkter i slutsatserna. </w:t>
      </w:r>
      <w:r w:rsidR="00EB267C" w:rsidRPr="00821B89">
        <w:t xml:space="preserve">I </w:t>
      </w:r>
      <w:r w:rsidRPr="00821B89">
        <w:t>slutsatserna uppmärksammas också sårbara kunder.</w:t>
      </w:r>
    </w:p>
    <w:p w:rsidR="006C3E7D" w:rsidRPr="00821B89" w:rsidRDefault="006C3E7D">
      <w:pPr>
        <w:pStyle w:val="RKnormal"/>
      </w:pPr>
    </w:p>
    <w:p w:rsidR="006C3E7D" w:rsidRPr="00821B89" w:rsidRDefault="006C3E7D">
      <w:pPr>
        <w:pStyle w:val="RKnormal"/>
      </w:pPr>
      <w:r w:rsidRPr="00821B89">
        <w:t>Kommissionen uppmanas i slutsatserna att  fortsätta att analysera  frågor som handlar om att stärka konsumenternas ställning på energimarknaderna samt att arbeta vidare med Citizen´s Energy Forum som en viktig plattform för dessa frågor.</w:t>
      </w:r>
    </w:p>
    <w:p w:rsidR="006C3E7D" w:rsidRPr="00821B89" w:rsidRDefault="006C3E7D">
      <w:pPr>
        <w:pStyle w:val="RKnormal"/>
      </w:pPr>
    </w:p>
    <w:p w:rsidR="006C3E7D" w:rsidRPr="00821B89" w:rsidRDefault="006C3E7D">
      <w:pPr>
        <w:pStyle w:val="RKnormal"/>
      </w:pPr>
      <w:r w:rsidRPr="00821B89">
        <w:t xml:space="preserve">Kommissionen inbjuds också att upprätta ett nätverk </w:t>
      </w:r>
      <w:r w:rsidR="006F0401" w:rsidRPr="00821B89">
        <w:t xml:space="preserve">för utbyte av information om praxis mm </w:t>
      </w:r>
      <w:r w:rsidRPr="00821B89">
        <w:t xml:space="preserve">bestående av energiombudsmän och/eller andra  konsumentorgan som syftar till att behandla tvister utom domstol </w:t>
      </w:r>
    </w:p>
    <w:p w:rsidR="00720EFA" w:rsidRPr="00821B89" w:rsidRDefault="00720EFA">
      <w:pPr>
        <w:pStyle w:val="RKrubrik"/>
        <w:rPr>
          <w:i/>
          <w:iCs/>
        </w:rPr>
      </w:pPr>
      <w:r w:rsidRPr="00821B89">
        <w:rPr>
          <w:i/>
          <w:iCs/>
        </w:rPr>
        <w:t>Gällande svenska regler och förslagets effekter på dessa</w:t>
      </w:r>
    </w:p>
    <w:p w:rsidR="00EB267C" w:rsidRPr="00821B89" w:rsidRDefault="006F0401" w:rsidP="00EB267C">
      <w:pPr>
        <w:pStyle w:val="RKnormal"/>
      </w:pPr>
      <w:r w:rsidRPr="00821B89">
        <w:t>Förslaget väntas inte ha några effekter på svenska regler då det ej innehåller några konkreta förslag.</w:t>
      </w:r>
    </w:p>
    <w:p w:rsidR="00720EFA" w:rsidRPr="00821B89" w:rsidRDefault="00720EFA">
      <w:pPr>
        <w:pStyle w:val="RKrubrik"/>
      </w:pPr>
      <w:r w:rsidRPr="00821B89">
        <w:t>Ekonomiska konsekvenser</w:t>
      </w:r>
    </w:p>
    <w:p w:rsidR="00720EFA" w:rsidRPr="00821B89" w:rsidRDefault="006F0401">
      <w:pPr>
        <w:pStyle w:val="RKnormal"/>
      </w:pPr>
      <w:r w:rsidRPr="00821B89">
        <w:t xml:space="preserve">Förslaget förväntas inte ha några </w:t>
      </w:r>
      <w:r w:rsidR="00EB267C" w:rsidRPr="00821B89">
        <w:t>budgetära konsekvenser.</w:t>
      </w:r>
    </w:p>
    <w:p w:rsidR="00720EFA" w:rsidRPr="00821B89" w:rsidRDefault="00720EFA" w:rsidP="003B6536">
      <w:pPr>
        <w:pStyle w:val="RKrubrik"/>
      </w:pPr>
      <w:r w:rsidRPr="00821B89">
        <w:t>Övrigt</w:t>
      </w:r>
    </w:p>
    <w:p w:rsidR="00720EFA" w:rsidRPr="00821B89" w:rsidRDefault="00720EFA">
      <w:pPr>
        <w:pStyle w:val="RKnormal"/>
        <w:rPr>
          <w:iCs/>
        </w:rPr>
      </w:pPr>
    </w:p>
    <w:p w:rsidR="00720EFA" w:rsidRPr="00821B89" w:rsidRDefault="00720EFA">
      <w:pPr>
        <w:pStyle w:val="RKnormal"/>
        <w:ind w:left="-1134"/>
      </w:pPr>
    </w:p>
    <w:p w:rsidR="00720EFA" w:rsidRPr="00821B89" w:rsidRDefault="00720EFA">
      <w:pPr>
        <w:pStyle w:val="RKrubrik"/>
        <w:spacing w:before="0" w:after="0"/>
      </w:pPr>
    </w:p>
    <w:p w:rsidR="00720EFA" w:rsidRPr="00821B89" w:rsidRDefault="00720EFA">
      <w:pPr>
        <w:pStyle w:val="RKnormal"/>
      </w:pPr>
    </w:p>
    <w:p w:rsidR="00720EFA" w:rsidRPr="00821B89" w:rsidRDefault="00720EFA">
      <w:pPr>
        <w:pStyle w:val="RKnormal"/>
      </w:pPr>
    </w:p>
    <w:sectPr w:rsidR="00720EFA" w:rsidRPr="00821B8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74A" w:rsidRPr="00821B89" w:rsidRDefault="00A2274A">
      <w:r w:rsidRPr="00821B89">
        <w:separator/>
      </w:r>
    </w:p>
  </w:endnote>
  <w:endnote w:type="continuationSeparator" w:id="0">
    <w:p w:rsidR="00A2274A" w:rsidRPr="00821B89" w:rsidRDefault="00A2274A">
      <w:r w:rsidRPr="00821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74A" w:rsidRPr="00821B89" w:rsidRDefault="00A2274A">
      <w:r w:rsidRPr="00821B89">
        <w:separator/>
      </w:r>
    </w:p>
  </w:footnote>
  <w:footnote w:type="continuationSeparator" w:id="0">
    <w:p w:rsidR="00A2274A" w:rsidRPr="00821B89" w:rsidRDefault="00A2274A">
      <w:r w:rsidRPr="00821B89">
        <w:continuationSeparator/>
      </w:r>
    </w:p>
  </w:footnote>
  <w:footnote w:id="1">
    <w:p w:rsidR="00AA74D6" w:rsidRPr="00821B89" w:rsidRDefault="00AA74D6">
      <w:pPr>
        <w:pStyle w:val="Fotnotstext"/>
      </w:pPr>
      <w:r w:rsidRPr="00821B89">
        <w:rPr>
          <w:rStyle w:val="Fotnotsreferens"/>
        </w:rPr>
        <w:footnoteRef/>
      </w:r>
      <w:r w:rsidRPr="00821B89">
        <w:t xml:space="preserve"> </w:t>
      </w:r>
      <w:r w:rsidRPr="00821B89">
        <w:rPr>
          <w:bCs/>
        </w:rPr>
        <w:t>Europaparlamentets och rådets direktiv  2009/72/EG av den 13 juli 2009 om gemensamma regler för den inre marknaden för el och om upphävande av direktiv  2003/54/EG samt Europarlamentets och rådets direktiv 2009/73/EG  av den 13 juli  2009 om gemensamma  regler för den inre marknaden för naturgas  och om upphävande av direktiv 2003/55/EG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13" w:rsidRPr="00821B89" w:rsidRDefault="00BF7713">
    <w:pPr>
      <w:pStyle w:val="Sidhuvud"/>
      <w:framePr w:wrap="around" w:vAnchor="text" w:hAnchor="margin" w:xAlign="right" w:y="1"/>
      <w:rPr>
        <w:rStyle w:val="Sidnummer"/>
      </w:rPr>
    </w:pPr>
    <w:r w:rsidRPr="00821B89">
      <w:rPr>
        <w:rStyle w:val="Sidnummer"/>
      </w:rPr>
      <w:fldChar w:fldCharType="begin" w:fldLock="1"/>
    </w:r>
    <w:r w:rsidRPr="00821B89">
      <w:rPr>
        <w:rStyle w:val="Sidnummer"/>
      </w:rPr>
      <w:instrText xml:space="preserve">PAGE  </w:instrText>
    </w:r>
    <w:r w:rsidRPr="00821B89">
      <w:rPr>
        <w:rStyle w:val="Sidnummer"/>
      </w:rPr>
      <w:fldChar w:fldCharType="separate"/>
    </w:r>
    <w:r w:rsidR="00415F22" w:rsidRPr="00821B89">
      <w:rPr>
        <w:rStyle w:val="Sidnummer"/>
      </w:rPr>
      <w:t>4</w:t>
    </w:r>
    <w:r w:rsidRPr="00821B89">
      <w:rPr>
        <w:rStyle w:val="Sidnummer"/>
      </w:rPr>
      <w:fldChar w:fldCharType="end"/>
    </w:r>
  </w:p>
  <w:p w:rsidR="00BF7713" w:rsidRPr="00821B89" w:rsidRDefault="00BF7713">
    <w:pPr>
      <w:pStyle w:val="Sidhuvud"/>
      <w:ind w:right="360"/>
    </w:pPr>
  </w:p>
  <w:p w:rsidR="00BF7713" w:rsidRPr="00821B89" w:rsidRDefault="00BF771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13" w:rsidRPr="00821B89" w:rsidRDefault="00BF7713">
    <w:pPr>
      <w:pStyle w:val="Sidhuvud"/>
      <w:framePr w:wrap="around" w:vAnchor="text" w:hAnchor="margin" w:xAlign="right" w:y="1"/>
      <w:rPr>
        <w:rStyle w:val="Sidnummer"/>
      </w:rPr>
    </w:pPr>
    <w:r w:rsidRPr="00821B89">
      <w:rPr>
        <w:rStyle w:val="Sidnummer"/>
      </w:rPr>
      <w:fldChar w:fldCharType="begin" w:fldLock="1"/>
    </w:r>
    <w:r w:rsidRPr="00821B89">
      <w:rPr>
        <w:rStyle w:val="Sidnummer"/>
      </w:rPr>
      <w:instrText xml:space="preserve">PAGE  </w:instrText>
    </w:r>
    <w:r w:rsidRPr="00821B89">
      <w:rPr>
        <w:rStyle w:val="Sidnummer"/>
      </w:rPr>
      <w:fldChar w:fldCharType="separate"/>
    </w:r>
    <w:r w:rsidR="00415F22" w:rsidRPr="00821B89">
      <w:rPr>
        <w:rStyle w:val="Sidnummer"/>
      </w:rPr>
      <w:t>3</w:t>
    </w:r>
    <w:r w:rsidRPr="00821B89">
      <w:rPr>
        <w:rStyle w:val="Sidnummer"/>
      </w:rPr>
      <w:fldChar w:fldCharType="end"/>
    </w:r>
  </w:p>
  <w:p w:rsidR="00BF7713" w:rsidRPr="00821B89" w:rsidRDefault="00BF7713">
    <w:pPr>
      <w:pStyle w:val="Sidhuvud"/>
      <w:ind w:right="360"/>
    </w:pPr>
  </w:p>
  <w:p w:rsidR="00BF7713" w:rsidRPr="00821B89" w:rsidRDefault="00BF771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13" w:rsidRPr="00821B89" w:rsidRDefault="00821B89">
    <w:pPr>
      <w:framePr w:w="2948" w:h="1321" w:hRule="exact" w:wrap="notBeside" w:vAnchor="page" w:hAnchor="page" w:x="1362" w:y="653"/>
    </w:pPr>
    <w:r w:rsidRPr="00821B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F7713" w:rsidRPr="00821B89" w:rsidRDefault="00BF7713">
    <w:pPr>
      <w:pStyle w:val="RKrubrik"/>
      <w:keepNext w:val="0"/>
      <w:tabs>
        <w:tab w:val="clear" w:pos="1134"/>
        <w:tab w:val="clear" w:pos="2835"/>
      </w:tabs>
      <w:spacing w:before="0" w:after="0" w:line="320" w:lineRule="atLeast"/>
      <w:rPr>
        <w:bCs/>
      </w:rPr>
    </w:pPr>
  </w:p>
  <w:p w:rsidR="00BF7713" w:rsidRPr="00821B89" w:rsidRDefault="00BF7713">
    <w:pPr>
      <w:rPr>
        <w:rFonts w:ascii="TradeGothic" w:hAnsi="TradeGothic"/>
        <w:b/>
        <w:bCs/>
        <w:spacing w:val="12"/>
        <w:sz w:val="22"/>
      </w:rPr>
    </w:pPr>
  </w:p>
  <w:p w:rsidR="00BF7713" w:rsidRPr="00821B89" w:rsidRDefault="00BF7713">
    <w:pPr>
      <w:pStyle w:val="RKrubrik"/>
      <w:keepNext w:val="0"/>
      <w:tabs>
        <w:tab w:val="clear" w:pos="1134"/>
        <w:tab w:val="clear" w:pos="2835"/>
      </w:tabs>
      <w:spacing w:before="0" w:after="0" w:line="320" w:lineRule="atLeast"/>
      <w:rPr>
        <w:bCs/>
      </w:rPr>
    </w:pPr>
  </w:p>
  <w:p w:rsidR="00BF7713" w:rsidRPr="00821B89" w:rsidRDefault="00BF771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53550"/>
    <w:multiLevelType w:val="hybridMultilevel"/>
    <w:tmpl w:val="B3045032"/>
    <w:lvl w:ilvl="0" w:tplc="90EEA454">
      <w:start w:val="201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346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0EFA"/>
    <w:rsid w:val="0008519D"/>
    <w:rsid w:val="0014661A"/>
    <w:rsid w:val="00177581"/>
    <w:rsid w:val="001B0B99"/>
    <w:rsid w:val="001D2C10"/>
    <w:rsid w:val="001D70F1"/>
    <w:rsid w:val="00202EF3"/>
    <w:rsid w:val="00271DB7"/>
    <w:rsid w:val="00302FC0"/>
    <w:rsid w:val="00323DF9"/>
    <w:rsid w:val="003405A1"/>
    <w:rsid w:val="00382450"/>
    <w:rsid w:val="00393B35"/>
    <w:rsid w:val="003B6536"/>
    <w:rsid w:val="003C4F74"/>
    <w:rsid w:val="003C7B0E"/>
    <w:rsid w:val="003F677D"/>
    <w:rsid w:val="00415F22"/>
    <w:rsid w:val="00432F35"/>
    <w:rsid w:val="00496B8A"/>
    <w:rsid w:val="004E5FAE"/>
    <w:rsid w:val="004F7847"/>
    <w:rsid w:val="00550361"/>
    <w:rsid w:val="005A7FE4"/>
    <w:rsid w:val="005B4F9C"/>
    <w:rsid w:val="00623B12"/>
    <w:rsid w:val="00643787"/>
    <w:rsid w:val="00652E9F"/>
    <w:rsid w:val="0066383F"/>
    <w:rsid w:val="006B54CE"/>
    <w:rsid w:val="006C3E7D"/>
    <w:rsid w:val="006F0401"/>
    <w:rsid w:val="00720EFA"/>
    <w:rsid w:val="007262CB"/>
    <w:rsid w:val="007330EC"/>
    <w:rsid w:val="007465D6"/>
    <w:rsid w:val="007B087B"/>
    <w:rsid w:val="00821B89"/>
    <w:rsid w:val="008618E4"/>
    <w:rsid w:val="00884B6C"/>
    <w:rsid w:val="0088724D"/>
    <w:rsid w:val="008A5AFF"/>
    <w:rsid w:val="008C5443"/>
    <w:rsid w:val="009634EE"/>
    <w:rsid w:val="0099487C"/>
    <w:rsid w:val="009A1E7C"/>
    <w:rsid w:val="009A4406"/>
    <w:rsid w:val="009B1E7C"/>
    <w:rsid w:val="00A2274A"/>
    <w:rsid w:val="00A41F31"/>
    <w:rsid w:val="00A655E2"/>
    <w:rsid w:val="00A95FED"/>
    <w:rsid w:val="00AA74D6"/>
    <w:rsid w:val="00AE648D"/>
    <w:rsid w:val="00B07B3D"/>
    <w:rsid w:val="00B318E0"/>
    <w:rsid w:val="00B5265A"/>
    <w:rsid w:val="00BF7713"/>
    <w:rsid w:val="00C2265D"/>
    <w:rsid w:val="00C3677C"/>
    <w:rsid w:val="00C47E6F"/>
    <w:rsid w:val="00CE2293"/>
    <w:rsid w:val="00CE7A30"/>
    <w:rsid w:val="00D0741C"/>
    <w:rsid w:val="00D22DE1"/>
    <w:rsid w:val="00D83025"/>
    <w:rsid w:val="00DA0DDF"/>
    <w:rsid w:val="00E532C8"/>
    <w:rsid w:val="00E81BFC"/>
    <w:rsid w:val="00EA29BE"/>
    <w:rsid w:val="00EB267C"/>
    <w:rsid w:val="00F06617"/>
    <w:rsid w:val="00FA5255"/>
    <w:rsid w:val="00FE2E00"/>
    <w:rsid w:val="00FE773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238D9D-55A5-4CEE-A39A-258FDFE7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02EF3"/>
    <w:rPr>
      <w:rFonts w:ascii="OrigGarmnd BT" w:hAnsi="OrigGarmnd BT"/>
      <w:sz w:val="24"/>
      <w:lang w:eastAsia="en-US"/>
    </w:rPr>
  </w:style>
  <w:style w:type="paragraph" w:styleId="Fotnotstext">
    <w:name w:val="footnote text"/>
    <w:basedOn w:val="Normal"/>
    <w:semiHidden/>
    <w:rsid w:val="00AA74D6"/>
    <w:rPr>
      <w:sz w:val="20"/>
    </w:rPr>
  </w:style>
  <w:style w:type="character" w:styleId="Fotnotsreferens">
    <w:name w:val="footnote reference"/>
    <w:basedOn w:val="Standardstycketeckensnitt"/>
    <w:semiHidden/>
    <w:rsid w:val="00AA7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804</Words>
  <Characters>5400</Characters>
  <Application>Microsoft Office Word</Application>
  <DocSecurity>4</DocSecurity>
  <Lines>154</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Näringsdepartementet</vt:lpwstr>
  </property>
  <property fmtid="{D5CDD505-2E9C-101B-9397-08002B2CF9AE}" pid="10" name="RKOrdnaActivityCategory">
    <vt:lpwstr>4.1. Europeiska unionen</vt:lpwstr>
  </property>
</Properties>
</file>