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456C92" w:rsidRPr="005901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56C92" w:rsidRPr="005901E2" w:rsidRDefault="00456C9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456C92" w:rsidRPr="005901E2" w:rsidRDefault="00456C9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456C92" w:rsidRPr="005901E2" w:rsidRDefault="00456C9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901E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456C92" w:rsidRPr="005901E2" w:rsidRDefault="00456C9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456C92" w:rsidRPr="005901E2" w:rsidRDefault="00456C92">
            <w:pPr>
              <w:framePr w:w="4400" w:h="1644" w:wrap="notBeside" w:vAnchor="page" w:hAnchor="page" w:x="6573" w:y="721"/>
            </w:pP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56C92" w:rsidRPr="005901E2" w:rsidRDefault="00CF4F38">
            <w:pPr>
              <w:framePr w:w="4400" w:h="1644" w:wrap="notBeside" w:vAnchor="page" w:hAnchor="page" w:x="6573" w:y="721"/>
            </w:pPr>
            <w:r w:rsidRPr="005901E2">
              <w:t>2008-07-</w:t>
            </w:r>
            <w:r w:rsidR="00694336" w:rsidRPr="005901E2">
              <w:t>11</w:t>
            </w:r>
          </w:p>
        </w:tc>
        <w:tc>
          <w:tcPr>
            <w:tcW w:w="2347" w:type="dxa"/>
            <w:gridSpan w:val="2"/>
          </w:tcPr>
          <w:p w:rsidR="00456C92" w:rsidRPr="005901E2" w:rsidRDefault="00456C92">
            <w:pPr>
              <w:framePr w:w="4400" w:h="1644" w:wrap="notBeside" w:vAnchor="page" w:hAnchor="page" w:x="6573" w:y="721"/>
            </w:pP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56C92" w:rsidRPr="005901E2" w:rsidRDefault="00456C9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456C92" w:rsidRPr="005901E2" w:rsidRDefault="00456C9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456C92" w:rsidRPr="00590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5901E2" w:rsidRDefault="00456C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901E2">
              <w:rPr>
                <w:b/>
                <w:i w:val="0"/>
                <w:sz w:val="22"/>
              </w:rPr>
              <w:t>Justitiedepartementet</w:t>
            </w: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5901E2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5901E2" w:rsidRDefault="00CF4F3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901E2">
              <w:rPr>
                <w:bCs/>
                <w:iCs/>
              </w:rPr>
              <w:t>Enheten för polisfrågor samt allmän ordning och säkerhet</w:t>
            </w: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5901E2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5901E2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C92" w:rsidRPr="00590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5901E2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456C92" w:rsidRPr="005901E2" w:rsidRDefault="00456C92">
      <w:pPr>
        <w:framePr w:w="4400" w:h="2523" w:wrap="notBeside" w:vAnchor="page" w:hAnchor="page" w:x="6453" w:y="2445"/>
        <w:ind w:left="142"/>
        <w:rPr>
          <w:b/>
        </w:rPr>
      </w:pPr>
    </w:p>
    <w:p w:rsidR="00456C92" w:rsidRPr="005901E2" w:rsidRDefault="00456C9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901E2">
        <w:t xml:space="preserve">Rådets möte </w:t>
      </w:r>
      <w:r w:rsidR="00D47198" w:rsidRPr="005901E2">
        <w:t>(</w:t>
      </w:r>
      <w:r w:rsidR="00CF4F38" w:rsidRPr="005901E2">
        <w:t>rättsliga och inrikes frågor</w:t>
      </w:r>
      <w:r w:rsidR="00D47198" w:rsidRPr="005901E2">
        <w:t>)</w:t>
      </w:r>
      <w:r w:rsidR="00CF4F38" w:rsidRPr="005901E2">
        <w:t xml:space="preserve"> den 24-25 juli 2008</w:t>
      </w:r>
    </w:p>
    <w:p w:rsidR="00456C92" w:rsidRPr="005901E2" w:rsidRDefault="00456C92">
      <w:pPr>
        <w:pStyle w:val="RKnormal"/>
      </w:pPr>
    </w:p>
    <w:p w:rsidR="00456C92" w:rsidRPr="005901E2" w:rsidRDefault="00456C92">
      <w:pPr>
        <w:pStyle w:val="RKnormal"/>
        <w:rPr>
          <w:b/>
        </w:rPr>
      </w:pPr>
      <w:r w:rsidRPr="005901E2">
        <w:rPr>
          <w:b/>
        </w:rPr>
        <w:t xml:space="preserve">Dagordningspunkt </w:t>
      </w:r>
      <w:r w:rsidR="0095720F" w:rsidRPr="005901E2">
        <w:rPr>
          <w:b/>
        </w:rPr>
        <w:t>10</w:t>
      </w:r>
    </w:p>
    <w:p w:rsidR="00456C92" w:rsidRPr="005901E2" w:rsidRDefault="00456C92">
      <w:pPr>
        <w:pStyle w:val="RKnormal"/>
      </w:pPr>
    </w:p>
    <w:p w:rsidR="00456C92" w:rsidRPr="005901E2" w:rsidRDefault="0095720F">
      <w:pPr>
        <w:pStyle w:val="RKnormal"/>
        <w:rPr>
          <w:b/>
        </w:rPr>
      </w:pPr>
      <w:r w:rsidRPr="005901E2">
        <w:rPr>
          <w:b/>
        </w:rPr>
        <w:t xml:space="preserve">Förslag om en europeisk plattform för att bekämpa </w:t>
      </w:r>
      <w:r w:rsidR="00DD3B36" w:rsidRPr="005901E2">
        <w:rPr>
          <w:b/>
        </w:rPr>
        <w:t>IT</w:t>
      </w:r>
      <w:r w:rsidRPr="005901E2">
        <w:rPr>
          <w:b/>
        </w:rPr>
        <w:t>-relaterad brottslighet</w:t>
      </w:r>
    </w:p>
    <w:p w:rsidR="00456C92" w:rsidRPr="005901E2" w:rsidRDefault="00456C92">
      <w:pPr>
        <w:pStyle w:val="RKnormal"/>
      </w:pPr>
    </w:p>
    <w:p w:rsidR="00456C92" w:rsidRPr="005901E2" w:rsidRDefault="00456C92">
      <w:pPr>
        <w:pStyle w:val="RKnormal"/>
      </w:pPr>
      <w:r w:rsidRPr="005901E2">
        <w:t>Dokument:</w:t>
      </w:r>
      <w:r w:rsidR="0095720F" w:rsidRPr="005901E2">
        <w:t xml:space="preserve"> -</w:t>
      </w:r>
    </w:p>
    <w:p w:rsidR="00456C92" w:rsidRPr="005901E2" w:rsidRDefault="00456C92">
      <w:pPr>
        <w:pStyle w:val="RKnormal"/>
      </w:pPr>
    </w:p>
    <w:p w:rsidR="00456C92" w:rsidRPr="005901E2" w:rsidRDefault="00456C92">
      <w:pPr>
        <w:pStyle w:val="RKnormal"/>
      </w:pPr>
      <w:r w:rsidRPr="005901E2">
        <w:t xml:space="preserve">Tidigare behandlad vid samråd med EU-nämnden: </w:t>
      </w:r>
      <w:r w:rsidR="0095720F" w:rsidRPr="005901E2">
        <w:t>-</w:t>
      </w:r>
    </w:p>
    <w:p w:rsidR="00456C92" w:rsidRPr="005901E2" w:rsidRDefault="00456C92">
      <w:pPr>
        <w:pStyle w:val="RKnormal"/>
      </w:pPr>
    </w:p>
    <w:p w:rsidR="00456C92" w:rsidRPr="005901E2" w:rsidRDefault="00456C92" w:rsidP="0095720F">
      <w:pPr>
        <w:pStyle w:val="RKrubrik"/>
      </w:pPr>
      <w:r w:rsidRPr="005901E2">
        <w:t>Bakgrund</w:t>
      </w:r>
    </w:p>
    <w:p w:rsidR="0095720F" w:rsidRPr="005901E2" w:rsidRDefault="0095720F" w:rsidP="0095720F">
      <w:pPr>
        <w:pStyle w:val="RKnormal"/>
      </w:pPr>
      <w:r w:rsidRPr="005901E2">
        <w:t xml:space="preserve">Det franska ordförandeskapet </w:t>
      </w:r>
      <w:r w:rsidR="00C404C2" w:rsidRPr="005901E2">
        <w:t xml:space="preserve">i EU </w:t>
      </w:r>
      <w:r w:rsidRPr="005901E2">
        <w:t xml:space="preserve">vill öka samarbetet kring </w:t>
      </w:r>
      <w:r w:rsidR="00D47198" w:rsidRPr="005901E2">
        <w:t>IT</w:t>
      </w:r>
      <w:r w:rsidRPr="005901E2">
        <w:t xml:space="preserve">-relaterad brottslighet. Det finns ännu inget dokument att tillgå men </w:t>
      </w:r>
      <w:r w:rsidR="00C404C2" w:rsidRPr="005901E2">
        <w:t>ordförandeskapet</w:t>
      </w:r>
      <w:r w:rsidRPr="005901E2">
        <w:t xml:space="preserve"> väntas </w:t>
      </w:r>
      <w:r w:rsidR="00C10010" w:rsidRPr="005901E2">
        <w:t xml:space="preserve">vid RIF-rådet den 24-25 juli 2008 </w:t>
      </w:r>
      <w:r w:rsidRPr="005901E2">
        <w:t xml:space="preserve">presentera ett förslag om att inrätta en gemensam EU-plattform för att bättre bekämpa brott som begås på Internet, exempelvis barnpornografi. </w:t>
      </w:r>
      <w:r w:rsidR="00071447" w:rsidRPr="005901E2">
        <w:t>Presentationen väntas följas av en allmän diskussion.</w:t>
      </w:r>
    </w:p>
    <w:p w:rsidR="0095720F" w:rsidRPr="005901E2" w:rsidRDefault="0095720F" w:rsidP="0095720F">
      <w:pPr>
        <w:pStyle w:val="RKnormal"/>
      </w:pPr>
    </w:p>
    <w:p w:rsidR="0095720F" w:rsidRPr="005901E2" w:rsidRDefault="0095720F" w:rsidP="006A765B">
      <w:pPr>
        <w:overflowPunct/>
        <w:spacing w:line="240" w:lineRule="auto"/>
        <w:ind w:left="60"/>
        <w:textAlignment w:val="auto"/>
        <w:rPr>
          <w:rFonts w:ascii="Tms Rmn" w:hAnsi="Tms Rmn" w:cs="Tms Rmn"/>
          <w:color w:val="000000"/>
          <w:szCs w:val="24"/>
          <w:lang w:eastAsia="sv-SE"/>
        </w:rPr>
      </w:pPr>
      <w:r w:rsidRPr="005901E2">
        <w:t xml:space="preserve">På nationell nivå har Frankrike inrättat ett centrum som utreder samtliga anmälningar om brott på </w:t>
      </w:r>
      <w:r w:rsidR="00D47198" w:rsidRPr="005901E2">
        <w:t>I</w:t>
      </w:r>
      <w:r w:rsidRPr="005901E2">
        <w:t xml:space="preserve">nternet. </w:t>
      </w:r>
      <w:r w:rsidR="006A765B" w:rsidRPr="005901E2">
        <w:t>I Sverige finns redan idag</w:t>
      </w:r>
      <w:r w:rsidR="006A765B" w:rsidRPr="005901E2">
        <w:rPr>
          <w:rFonts w:cs="Tms Rmn"/>
          <w:color w:val="000000"/>
          <w:szCs w:val="24"/>
          <w:lang w:eastAsia="sv-SE"/>
        </w:rPr>
        <w:t xml:space="preserve"> </w:t>
      </w:r>
      <w:r w:rsidR="006A765B" w:rsidRPr="005901E2">
        <w:rPr>
          <w:rFonts w:cs="Tms Rmn"/>
          <w:iCs/>
          <w:color w:val="000000"/>
          <w:szCs w:val="24"/>
          <w:lang w:eastAsia="sv-SE"/>
        </w:rPr>
        <w:t>samordning</w:t>
      </w:r>
      <w:r w:rsidR="006A765B" w:rsidRPr="005901E2">
        <w:rPr>
          <w:rFonts w:cs="Tms Rmn"/>
          <w:color w:val="000000"/>
          <w:szCs w:val="24"/>
          <w:lang w:eastAsia="sv-SE"/>
        </w:rPr>
        <w:t xml:space="preserve"> för vissa typer av </w:t>
      </w:r>
      <w:r w:rsidR="00D47198" w:rsidRPr="005901E2">
        <w:rPr>
          <w:rFonts w:cs="Tms Rmn"/>
          <w:color w:val="000000"/>
          <w:szCs w:val="24"/>
          <w:lang w:eastAsia="sv-SE"/>
        </w:rPr>
        <w:t>I</w:t>
      </w:r>
      <w:r w:rsidR="006A765B" w:rsidRPr="005901E2">
        <w:rPr>
          <w:rFonts w:cs="Tms Rmn"/>
          <w:color w:val="000000"/>
          <w:szCs w:val="24"/>
          <w:lang w:eastAsia="sv-SE"/>
        </w:rPr>
        <w:t xml:space="preserve">nternetbrott (primärt barnpornografibrott) på Rikskriminalpolisen. </w:t>
      </w:r>
      <w:r w:rsidR="00C10010" w:rsidRPr="005901E2">
        <w:t>Ordförandeskapet</w:t>
      </w:r>
      <w:r w:rsidRPr="005901E2">
        <w:t xml:space="preserve"> väntas för det första föreslå att samtliga medlemsstater inrättar nationella centrum och för det andra att dessa nationella centrum ska arbeta i en gemensam EU-plattform </w:t>
      </w:r>
      <w:r w:rsidR="00071447" w:rsidRPr="005901E2">
        <w:t xml:space="preserve">för att undvika dubbelarbete. En medlemsstat som får in en ny anmälan </w:t>
      </w:r>
      <w:r w:rsidR="00A5304A" w:rsidRPr="005901E2">
        <w:t xml:space="preserve">om brott </w:t>
      </w:r>
      <w:r w:rsidR="00071447" w:rsidRPr="005901E2">
        <w:t xml:space="preserve">ska </w:t>
      </w:r>
      <w:r w:rsidR="00DC1F84" w:rsidRPr="005901E2">
        <w:t xml:space="preserve">kunna få </w:t>
      </w:r>
      <w:r w:rsidR="008465E4" w:rsidRPr="005901E2">
        <w:t>veta</w:t>
      </w:r>
      <w:r w:rsidR="00DC1F84" w:rsidRPr="005901E2">
        <w:t xml:space="preserve"> </w:t>
      </w:r>
      <w:r w:rsidR="008465E4" w:rsidRPr="005901E2">
        <w:t>om</w:t>
      </w:r>
      <w:r w:rsidR="00DC1F84" w:rsidRPr="005901E2">
        <w:t xml:space="preserve"> ärendet</w:t>
      </w:r>
      <w:r w:rsidR="00071447" w:rsidRPr="005901E2">
        <w:t xml:space="preserve"> redan utreds i en annan medlemsstat. Möjligen kommer </w:t>
      </w:r>
      <w:r w:rsidR="00A5304A" w:rsidRPr="005901E2">
        <w:t>ordförandeskapet</w:t>
      </w:r>
      <w:r w:rsidR="00071447" w:rsidRPr="005901E2">
        <w:t xml:space="preserve"> att föreslå att plattformen administreras av Europol.</w:t>
      </w:r>
    </w:p>
    <w:p w:rsidR="0095720F" w:rsidRPr="005901E2" w:rsidRDefault="0095720F" w:rsidP="0095720F"/>
    <w:p w:rsidR="00456C92" w:rsidRPr="005901E2" w:rsidRDefault="00456C92">
      <w:pPr>
        <w:pStyle w:val="RKrubrik"/>
      </w:pPr>
      <w:r w:rsidRPr="005901E2">
        <w:t>Rättslig grund och beslutsförfarande</w:t>
      </w:r>
    </w:p>
    <w:p w:rsidR="00456C92" w:rsidRPr="005901E2" w:rsidRDefault="00D47198">
      <w:pPr>
        <w:pStyle w:val="RKnormal"/>
      </w:pPr>
      <w:r w:rsidRPr="005901E2">
        <w:t>Ordförandeskapet</w:t>
      </w:r>
      <w:r w:rsidR="00071447" w:rsidRPr="005901E2">
        <w:t xml:space="preserve"> har ännu inte presenterat något konkret förslag.</w:t>
      </w:r>
    </w:p>
    <w:p w:rsidR="00456C92" w:rsidRPr="005901E2" w:rsidRDefault="00456C92">
      <w:pPr>
        <w:pStyle w:val="RKrubrik"/>
        <w:rPr>
          <w:i/>
          <w:iCs/>
        </w:rPr>
      </w:pPr>
      <w:r w:rsidRPr="005901E2">
        <w:rPr>
          <w:i/>
          <w:iCs/>
        </w:rPr>
        <w:lastRenderedPageBreak/>
        <w:t>Svensk ståndpunkt</w:t>
      </w:r>
    </w:p>
    <w:p w:rsidR="008A152E" w:rsidRPr="005901E2" w:rsidRDefault="008A152E" w:rsidP="008A152E">
      <w:pPr>
        <w:pStyle w:val="RKnormal"/>
      </w:pPr>
      <w:r w:rsidRPr="005901E2">
        <w:t xml:space="preserve">Sverige anser att det är viktigt att de brottsbekämpande myndigheterna samarbetar även när det gäller brottslighet på </w:t>
      </w:r>
      <w:r w:rsidR="006F2AE0" w:rsidRPr="005901E2">
        <w:t>I</w:t>
      </w:r>
      <w:r w:rsidRPr="005901E2">
        <w:t>nternet. Internet får inte vara en skyddad zon för brottslighet.</w:t>
      </w:r>
      <w:r w:rsidR="000366E3" w:rsidRPr="005901E2">
        <w:t xml:space="preserve"> Det är dock </w:t>
      </w:r>
      <w:r w:rsidR="006F2AE0" w:rsidRPr="005901E2">
        <w:t>angeläget</w:t>
      </w:r>
      <w:r w:rsidR="000366E3" w:rsidRPr="005901E2">
        <w:t xml:space="preserve"> att kampen mot brottslighet inte inkräktar på grundläggande fri- och rättigheter, såsom till exempel yttrandefrihet.</w:t>
      </w:r>
    </w:p>
    <w:p w:rsidR="008A152E" w:rsidRPr="005901E2" w:rsidRDefault="008A152E" w:rsidP="008A152E">
      <w:pPr>
        <w:pStyle w:val="RKnormal"/>
      </w:pPr>
    </w:p>
    <w:p w:rsidR="008A152E" w:rsidRPr="005901E2" w:rsidRDefault="008A152E" w:rsidP="008A152E">
      <w:pPr>
        <w:pStyle w:val="RKnormal"/>
      </w:pPr>
      <w:r w:rsidRPr="005901E2">
        <w:rPr>
          <w:lang w:eastAsia="sv-SE"/>
        </w:rPr>
        <w:t>Sverige tror</w:t>
      </w:r>
      <w:r w:rsidR="006F2AE0" w:rsidRPr="005901E2">
        <w:rPr>
          <w:lang w:eastAsia="sv-SE"/>
        </w:rPr>
        <w:t xml:space="preserve"> att en gemensam plattform för IT</w:t>
      </w:r>
      <w:r w:rsidRPr="005901E2">
        <w:rPr>
          <w:lang w:eastAsia="sv-SE"/>
        </w:rPr>
        <w:t xml:space="preserve">-brott (till exempel </w:t>
      </w:r>
    </w:p>
    <w:p w:rsidR="008A152E" w:rsidRPr="005901E2" w:rsidRDefault="008A152E" w:rsidP="008A152E">
      <w:pPr>
        <w:pStyle w:val="RKnormal"/>
        <w:rPr>
          <w:lang w:eastAsia="sv-SE"/>
        </w:rPr>
      </w:pPr>
      <w:r w:rsidRPr="005901E2">
        <w:rPr>
          <w:lang w:eastAsia="sv-SE"/>
        </w:rPr>
        <w:t>barnpornografi) skulle kunna förbättra samordningen av pågående utredningar i  medlemsstaterna. Det finns inget konkret förslag på hur denna plattform skulle byggas upp</w:t>
      </w:r>
      <w:r w:rsidR="000366E3" w:rsidRPr="005901E2">
        <w:rPr>
          <w:lang w:eastAsia="sv-SE"/>
        </w:rPr>
        <w:t xml:space="preserve"> och i </w:t>
      </w:r>
      <w:r w:rsidRPr="005901E2">
        <w:rPr>
          <w:lang w:eastAsia="sv-SE"/>
        </w:rPr>
        <w:t xml:space="preserve">de fortsatta diskussionerna är det viktigt </w:t>
      </w:r>
      <w:r w:rsidR="000366E3" w:rsidRPr="005901E2">
        <w:rPr>
          <w:lang w:eastAsia="sv-SE"/>
        </w:rPr>
        <w:t>beakta</w:t>
      </w:r>
      <w:r w:rsidRPr="005901E2">
        <w:rPr>
          <w:lang w:eastAsia="sv-SE"/>
        </w:rPr>
        <w:t xml:space="preserve"> det arbete som redan görs inom ramen för Europol och Interpol. </w:t>
      </w:r>
    </w:p>
    <w:p w:rsidR="008A152E" w:rsidRPr="005901E2" w:rsidRDefault="008A152E" w:rsidP="008A152E">
      <w:pPr>
        <w:pStyle w:val="RKnormal"/>
        <w:rPr>
          <w:lang w:eastAsia="sv-SE"/>
        </w:rPr>
      </w:pPr>
    </w:p>
    <w:p w:rsidR="00456C92" w:rsidRPr="005901E2" w:rsidRDefault="00456C92">
      <w:pPr>
        <w:pStyle w:val="RKrubrik"/>
      </w:pPr>
      <w:r w:rsidRPr="005901E2">
        <w:t>Europaparlamentets inställning</w:t>
      </w:r>
    </w:p>
    <w:p w:rsidR="00456C92" w:rsidRPr="005901E2" w:rsidRDefault="00071447">
      <w:pPr>
        <w:pStyle w:val="RKnormal"/>
      </w:pPr>
      <w:r w:rsidRPr="005901E2">
        <w:t>-</w:t>
      </w:r>
    </w:p>
    <w:p w:rsidR="00456C92" w:rsidRPr="005901E2" w:rsidRDefault="00456C92">
      <w:pPr>
        <w:pStyle w:val="RKrubrik"/>
        <w:rPr>
          <w:i/>
          <w:iCs/>
        </w:rPr>
      </w:pPr>
      <w:r w:rsidRPr="005901E2">
        <w:rPr>
          <w:i/>
          <w:iCs/>
        </w:rPr>
        <w:t>Förslaget</w:t>
      </w:r>
    </w:p>
    <w:p w:rsidR="00DF72A4" w:rsidRPr="005901E2" w:rsidRDefault="00DF72A4" w:rsidP="00DF72A4">
      <w:pPr>
        <w:pStyle w:val="RKnormal"/>
      </w:pPr>
      <w:r w:rsidRPr="005901E2">
        <w:t>Ordföranden har ännu inte presenterat något konkret förslag.</w:t>
      </w:r>
    </w:p>
    <w:p w:rsidR="00456C92" w:rsidRPr="005901E2" w:rsidRDefault="00456C92">
      <w:pPr>
        <w:pStyle w:val="RKrubrik"/>
        <w:rPr>
          <w:i/>
          <w:iCs/>
        </w:rPr>
      </w:pPr>
      <w:r w:rsidRPr="005901E2">
        <w:rPr>
          <w:i/>
          <w:iCs/>
        </w:rPr>
        <w:t>Gällande svenska regler och förslagets effekter på dessa</w:t>
      </w:r>
    </w:p>
    <w:p w:rsidR="00456C92" w:rsidRPr="005901E2" w:rsidRDefault="00071447">
      <w:pPr>
        <w:pStyle w:val="RKnormal"/>
      </w:pPr>
      <w:r w:rsidRPr="005901E2">
        <w:t>-</w:t>
      </w:r>
    </w:p>
    <w:p w:rsidR="00456C92" w:rsidRPr="005901E2" w:rsidRDefault="00456C92">
      <w:pPr>
        <w:pStyle w:val="RKrubrik"/>
      </w:pPr>
      <w:r w:rsidRPr="005901E2">
        <w:t>Ekonomiska konsekvenser</w:t>
      </w:r>
    </w:p>
    <w:p w:rsidR="00456C92" w:rsidRPr="005901E2" w:rsidRDefault="00071447">
      <w:pPr>
        <w:pStyle w:val="RKnormal"/>
      </w:pPr>
      <w:r w:rsidRPr="005901E2">
        <w:t>-</w:t>
      </w:r>
    </w:p>
    <w:p w:rsidR="00456C92" w:rsidRPr="005901E2" w:rsidRDefault="00456C92">
      <w:pPr>
        <w:pStyle w:val="RKrubrik"/>
      </w:pPr>
      <w:r w:rsidRPr="005901E2">
        <w:t>Övrigt</w:t>
      </w:r>
    </w:p>
    <w:p w:rsidR="00456C92" w:rsidRPr="005901E2" w:rsidRDefault="00071447">
      <w:pPr>
        <w:pStyle w:val="RKnormal"/>
      </w:pPr>
      <w:r w:rsidRPr="005901E2">
        <w:t>-</w:t>
      </w:r>
    </w:p>
    <w:p w:rsidR="00456C92" w:rsidRPr="005901E2" w:rsidRDefault="00456C92">
      <w:pPr>
        <w:pStyle w:val="RKnormal"/>
        <w:rPr>
          <w:i/>
          <w:iCs/>
        </w:rPr>
      </w:pPr>
    </w:p>
    <w:p w:rsidR="00456C92" w:rsidRPr="005901E2" w:rsidRDefault="00456C92">
      <w:pPr>
        <w:pStyle w:val="RKnormal"/>
        <w:ind w:left="-1134"/>
      </w:pPr>
    </w:p>
    <w:p w:rsidR="00456C92" w:rsidRPr="005901E2" w:rsidRDefault="00456C92">
      <w:pPr>
        <w:pStyle w:val="RKrubrik"/>
        <w:spacing w:before="0" w:after="0"/>
      </w:pPr>
    </w:p>
    <w:p w:rsidR="00456C92" w:rsidRPr="005901E2" w:rsidRDefault="00456C92">
      <w:pPr>
        <w:pStyle w:val="RKnormal"/>
      </w:pPr>
    </w:p>
    <w:p w:rsidR="00456C92" w:rsidRPr="005901E2" w:rsidRDefault="00456C92">
      <w:pPr>
        <w:pStyle w:val="RKnormal"/>
      </w:pPr>
    </w:p>
    <w:sectPr w:rsidR="00456C92" w:rsidRPr="005901E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1F7" w:rsidRPr="005901E2" w:rsidRDefault="008531F7">
      <w:r w:rsidRPr="005901E2">
        <w:separator/>
      </w:r>
    </w:p>
  </w:endnote>
  <w:endnote w:type="continuationSeparator" w:id="0">
    <w:p w:rsidR="008531F7" w:rsidRPr="005901E2" w:rsidRDefault="008531F7">
      <w:r w:rsidRPr="005901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1F7" w:rsidRPr="005901E2" w:rsidRDefault="008531F7">
      <w:r w:rsidRPr="005901E2">
        <w:separator/>
      </w:r>
    </w:p>
  </w:footnote>
  <w:footnote w:type="continuationSeparator" w:id="0">
    <w:p w:rsidR="008531F7" w:rsidRPr="005901E2" w:rsidRDefault="008531F7">
      <w:r w:rsidRPr="005901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336" w:rsidRPr="005901E2" w:rsidRDefault="00694336">
    <w:pPr>
      <w:pStyle w:val="Sidhuvud"/>
      <w:framePr w:wrap="around" w:vAnchor="text" w:hAnchor="margin" w:xAlign="right" w:y="1"/>
      <w:rPr>
        <w:rStyle w:val="Sidnummer"/>
      </w:rPr>
    </w:pPr>
    <w:r w:rsidRPr="005901E2">
      <w:rPr>
        <w:rStyle w:val="Sidnummer"/>
      </w:rPr>
      <w:fldChar w:fldCharType="begin" w:fldLock="1"/>
    </w:r>
    <w:r w:rsidRPr="005901E2">
      <w:rPr>
        <w:rStyle w:val="Sidnummer"/>
      </w:rPr>
      <w:instrText xml:space="preserve">PAGE  </w:instrText>
    </w:r>
    <w:r w:rsidRPr="005901E2">
      <w:rPr>
        <w:rStyle w:val="Sidnummer"/>
      </w:rPr>
      <w:fldChar w:fldCharType="separate"/>
    </w:r>
    <w:r w:rsidRPr="005901E2">
      <w:rPr>
        <w:rStyle w:val="Sidnummer"/>
      </w:rPr>
      <w:t>2</w:t>
    </w:r>
    <w:r w:rsidRPr="005901E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94336" w:rsidRPr="005901E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94336" w:rsidRPr="005901E2" w:rsidRDefault="0069433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94336" w:rsidRPr="005901E2" w:rsidRDefault="00694336">
          <w:pPr>
            <w:pStyle w:val="Sidhuvud"/>
            <w:ind w:right="360"/>
          </w:pPr>
        </w:p>
      </w:tc>
      <w:tc>
        <w:tcPr>
          <w:tcW w:w="1525" w:type="dxa"/>
        </w:tcPr>
        <w:p w:rsidR="00694336" w:rsidRPr="005901E2" w:rsidRDefault="00694336">
          <w:pPr>
            <w:pStyle w:val="Sidhuvud"/>
            <w:ind w:right="360"/>
          </w:pPr>
        </w:p>
      </w:tc>
    </w:tr>
  </w:tbl>
  <w:p w:rsidR="00694336" w:rsidRPr="005901E2" w:rsidRDefault="0069433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336" w:rsidRPr="005901E2" w:rsidRDefault="00694336">
    <w:pPr>
      <w:pStyle w:val="Sidhuvud"/>
      <w:framePr w:wrap="around" w:vAnchor="text" w:hAnchor="margin" w:xAlign="right" w:y="1"/>
      <w:rPr>
        <w:rStyle w:val="Sidnummer"/>
      </w:rPr>
    </w:pPr>
    <w:r w:rsidRPr="005901E2">
      <w:rPr>
        <w:rStyle w:val="Sidnummer"/>
      </w:rPr>
      <w:fldChar w:fldCharType="begin" w:fldLock="1"/>
    </w:r>
    <w:r w:rsidRPr="005901E2">
      <w:rPr>
        <w:rStyle w:val="Sidnummer"/>
      </w:rPr>
      <w:instrText xml:space="preserve">PAGE  </w:instrText>
    </w:r>
    <w:r w:rsidRPr="005901E2">
      <w:rPr>
        <w:rStyle w:val="Sidnummer"/>
      </w:rPr>
      <w:fldChar w:fldCharType="separate"/>
    </w:r>
    <w:r w:rsidRPr="005901E2">
      <w:rPr>
        <w:rStyle w:val="Sidnummer"/>
      </w:rPr>
      <w:t>3</w:t>
    </w:r>
    <w:r w:rsidRPr="005901E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94336" w:rsidRPr="005901E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94336" w:rsidRPr="005901E2" w:rsidRDefault="0069433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94336" w:rsidRPr="005901E2" w:rsidRDefault="00694336">
          <w:pPr>
            <w:pStyle w:val="Sidhuvud"/>
            <w:ind w:right="360"/>
          </w:pPr>
        </w:p>
      </w:tc>
      <w:tc>
        <w:tcPr>
          <w:tcW w:w="1525" w:type="dxa"/>
        </w:tcPr>
        <w:p w:rsidR="00694336" w:rsidRPr="005901E2" w:rsidRDefault="00694336">
          <w:pPr>
            <w:pStyle w:val="Sidhuvud"/>
            <w:ind w:right="360"/>
          </w:pPr>
        </w:p>
      </w:tc>
    </w:tr>
  </w:tbl>
  <w:p w:rsidR="00694336" w:rsidRPr="005901E2" w:rsidRDefault="0069433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336" w:rsidRPr="005901E2" w:rsidRDefault="005901E2">
    <w:pPr>
      <w:framePr w:w="2948" w:h="1321" w:hRule="exact" w:wrap="notBeside" w:vAnchor="page" w:hAnchor="page" w:x="1362" w:y="653"/>
    </w:pPr>
    <w:r w:rsidRPr="005901E2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4336" w:rsidRPr="005901E2" w:rsidRDefault="0069433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94336" w:rsidRPr="005901E2" w:rsidRDefault="00694336">
    <w:pPr>
      <w:rPr>
        <w:rFonts w:ascii="TradeGothic" w:hAnsi="TradeGothic"/>
        <w:b/>
        <w:bCs/>
        <w:spacing w:val="12"/>
        <w:sz w:val="22"/>
      </w:rPr>
    </w:pPr>
  </w:p>
  <w:p w:rsidR="00694336" w:rsidRPr="005901E2" w:rsidRDefault="0069433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94336" w:rsidRPr="005901E2" w:rsidRDefault="0069433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080B90"/>
    <w:rsid w:val="000366E3"/>
    <w:rsid w:val="00071447"/>
    <w:rsid w:val="00080B90"/>
    <w:rsid w:val="001741EB"/>
    <w:rsid w:val="002C14CF"/>
    <w:rsid w:val="00315D2C"/>
    <w:rsid w:val="00456C92"/>
    <w:rsid w:val="00496912"/>
    <w:rsid w:val="005901E2"/>
    <w:rsid w:val="005F492D"/>
    <w:rsid w:val="00694336"/>
    <w:rsid w:val="006A765B"/>
    <w:rsid w:val="006F2AE0"/>
    <w:rsid w:val="008465E4"/>
    <w:rsid w:val="008531F7"/>
    <w:rsid w:val="008A152E"/>
    <w:rsid w:val="008E000F"/>
    <w:rsid w:val="0095720F"/>
    <w:rsid w:val="00A5304A"/>
    <w:rsid w:val="00AC254A"/>
    <w:rsid w:val="00AD0433"/>
    <w:rsid w:val="00BB2F21"/>
    <w:rsid w:val="00C10010"/>
    <w:rsid w:val="00C404C2"/>
    <w:rsid w:val="00C801AB"/>
    <w:rsid w:val="00CE52B9"/>
    <w:rsid w:val="00CF4F38"/>
    <w:rsid w:val="00D47198"/>
    <w:rsid w:val="00D93C08"/>
    <w:rsid w:val="00DC1F84"/>
    <w:rsid w:val="00DD3B36"/>
    <w:rsid w:val="00DF72A4"/>
    <w:rsid w:val="00E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5748-E409-4DB0-9C09-B784DF9C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Tabelltext">
    <w:name w:val="Tabelltext"/>
    <w:rsid w:val="0095720F"/>
    <w:rPr>
      <w:sz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333</Words>
  <Characters>2073</Characters>
  <Application>Microsoft Office Word</Application>
  <DocSecurity>4</DocSecurity>
  <Lines>79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2008-07-10T09:18:00Z</cp:lastPrinted>
  <dcterms:created xsi:type="dcterms:W3CDTF">2025-12-17T13:09:00Z</dcterms:created>
  <dcterms:modified xsi:type="dcterms:W3CDTF">2025-12-17T13:09:00Z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