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A2156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2156" w:rsidRDefault="00511646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9A2156">
              <w:rPr>
                <w:rFonts w:ascii="TradeGothic" w:hAnsi="TradeGothic"/>
                <w:i/>
                <w:sz w:val="18"/>
              </w:rPr>
              <w:t xml:space="preserve">Bilaga 5 </w:t>
            </w:r>
          </w:p>
        </w:tc>
        <w:tc>
          <w:tcPr>
            <w:tcW w:w="2999" w:type="dxa"/>
            <w:gridSpan w:val="2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F2071" w:rsidRPr="009A2156" w:rsidTr="002F207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F2071" w:rsidRPr="009A2156" w:rsidRDefault="002F207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A2156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9A2156" w:rsidTr="002F207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A2156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2156" w:rsidRDefault="002F2071" w:rsidP="007242A3">
            <w:pPr>
              <w:framePr w:w="5035" w:h="1644" w:wrap="notBeside" w:vAnchor="page" w:hAnchor="page" w:x="6573" w:y="721"/>
            </w:pPr>
            <w:r w:rsidRPr="009A2156">
              <w:t>2009-</w:t>
            </w:r>
            <w:r w:rsidR="004B180F" w:rsidRPr="009A2156">
              <w:t>10-</w:t>
            </w:r>
            <w:r w:rsidR="00511646" w:rsidRPr="009A2156">
              <w:t>09</w:t>
            </w:r>
          </w:p>
        </w:tc>
        <w:tc>
          <w:tcPr>
            <w:tcW w:w="2999" w:type="dxa"/>
            <w:gridSpan w:val="2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A2156" w:rsidTr="002F207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A215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2F20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A2156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3958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A2156">
              <w:rPr>
                <w:bCs/>
                <w:iCs/>
              </w:rPr>
              <w:t>Enheten för Kretslopp och kemikalier</w:t>
            </w: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A21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A215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A2156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F2071" w:rsidRPr="009A2156" w:rsidRDefault="003958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9A2156">
        <w:t>Rådets möte (miljö</w:t>
      </w:r>
      <w:r w:rsidR="002F2071" w:rsidRPr="009A2156">
        <w:t xml:space="preserve">) den </w:t>
      </w:r>
      <w:r w:rsidR="00BF435B" w:rsidRPr="009A2156">
        <w:t>21 oktober 2009</w:t>
      </w:r>
    </w:p>
    <w:p w:rsidR="002F2071" w:rsidRPr="009A2156" w:rsidRDefault="002F2071">
      <w:pPr>
        <w:pStyle w:val="RKnormal"/>
      </w:pPr>
    </w:p>
    <w:p w:rsidR="002F2071" w:rsidRPr="009A2156" w:rsidRDefault="00CA793A">
      <w:pPr>
        <w:pStyle w:val="RKnormal"/>
      </w:pPr>
      <w:r w:rsidRPr="009A2156">
        <w:t>Dagordningspunkt 7</w:t>
      </w:r>
    </w:p>
    <w:p w:rsidR="002F2071" w:rsidRPr="009A2156" w:rsidRDefault="002F2071">
      <w:pPr>
        <w:pStyle w:val="RKnormal"/>
      </w:pPr>
    </w:p>
    <w:p w:rsidR="00CB04DA" w:rsidRPr="009A2156" w:rsidRDefault="002F2071">
      <w:pPr>
        <w:pStyle w:val="RKnormal"/>
      </w:pPr>
      <w:r w:rsidRPr="009A2156">
        <w:t>Rubrik:</w:t>
      </w:r>
      <w:r w:rsidR="00CB04DA" w:rsidRPr="009A2156">
        <w:t xml:space="preserve"> </w:t>
      </w:r>
      <w:r w:rsidR="00EA45FE" w:rsidRPr="009A2156">
        <w:t xml:space="preserve">Policy debatt om </w:t>
      </w:r>
      <w:r w:rsidR="00CC7CE1" w:rsidRPr="009A2156">
        <w:t>Förslag till Europaparlamentets och rådets direktiv om begränsning av användningen av vissa farliga ämnen i elektriska och elektroniska produkter (RoHS) (omarbetning)</w:t>
      </w:r>
    </w:p>
    <w:p w:rsidR="002F2071" w:rsidRPr="009A2156" w:rsidRDefault="002F2071">
      <w:pPr>
        <w:pStyle w:val="RKnormal"/>
      </w:pPr>
    </w:p>
    <w:p w:rsidR="002F2071" w:rsidRPr="009A2156" w:rsidRDefault="002F2071">
      <w:pPr>
        <w:pStyle w:val="RKnormal"/>
      </w:pPr>
      <w:r w:rsidRPr="009A2156">
        <w:t>Dokument:</w:t>
      </w:r>
      <w:r w:rsidR="00BF435B" w:rsidRPr="009A2156">
        <w:t xml:space="preserve"> </w:t>
      </w:r>
      <w:r w:rsidR="003958C1" w:rsidRPr="009A2156">
        <w:t xml:space="preserve">Ej klart </w:t>
      </w:r>
      <w:r w:rsidR="00511646" w:rsidRPr="009A2156">
        <w:t xml:space="preserve">inför rådet </w:t>
      </w:r>
      <w:r w:rsidR="003958C1" w:rsidRPr="009A2156">
        <w:t>ännu.</w:t>
      </w:r>
    </w:p>
    <w:p w:rsidR="002F2071" w:rsidRPr="009A2156" w:rsidRDefault="002F2071">
      <w:pPr>
        <w:pStyle w:val="RKnormal"/>
      </w:pPr>
    </w:p>
    <w:p w:rsidR="002F2071" w:rsidRPr="009A2156" w:rsidRDefault="002F2071">
      <w:pPr>
        <w:pStyle w:val="RKnormal"/>
      </w:pPr>
      <w:r w:rsidRPr="009A2156">
        <w:t xml:space="preserve">Tidigare </w:t>
      </w:r>
      <w:r w:rsidR="00CC7CE1" w:rsidRPr="009A2156">
        <w:t xml:space="preserve">dokument: Fakta-PM Miljödepartementet </w:t>
      </w:r>
      <w:r w:rsidR="00901983" w:rsidRPr="009A2156">
        <w:t>2008/09:FPM98</w:t>
      </w:r>
    </w:p>
    <w:p w:rsidR="002F2071" w:rsidRPr="009A2156" w:rsidRDefault="002F2071">
      <w:pPr>
        <w:pStyle w:val="RKnormal"/>
      </w:pPr>
    </w:p>
    <w:p w:rsidR="002F2071" w:rsidRPr="009A2156" w:rsidRDefault="002F2071">
      <w:pPr>
        <w:pStyle w:val="RKnormal"/>
        <w:rPr>
          <w:rFonts w:cs="OrigGarmnd BT"/>
          <w:color w:val="000000"/>
          <w:szCs w:val="24"/>
          <w:lang w:eastAsia="sv-SE"/>
        </w:rPr>
      </w:pPr>
      <w:r w:rsidRPr="009A2156">
        <w:t xml:space="preserve">Tidigare behandlad vid samråd med EU-nämnden: </w:t>
      </w:r>
      <w:r w:rsidR="00D057D7" w:rsidRPr="009A2156">
        <w:rPr>
          <w:rFonts w:cs="OrigGarmnd BT"/>
          <w:color w:val="000000"/>
          <w:szCs w:val="24"/>
          <w:lang w:eastAsia="sv-SE"/>
        </w:rPr>
        <w:t xml:space="preserve">Förslaget har inte tidigare behandlats i EU-nämnden. Miljö- och jordbruksutskottet höll överläggning om förslaget den 2 april 2009. Förslag till undantag från gällande direktiv har tidigare behandlats som A-punkt inför miljörådet den 2 mars 2009 .     </w:t>
      </w:r>
    </w:p>
    <w:p w:rsidR="002F2071" w:rsidRPr="009A2156" w:rsidRDefault="002F2071">
      <w:pPr>
        <w:pStyle w:val="RKrubrik"/>
      </w:pPr>
      <w:r w:rsidRPr="009A2156">
        <w:t>Bakgrund</w:t>
      </w:r>
    </w:p>
    <w:p w:rsidR="00CF24F4" w:rsidRPr="009A2156" w:rsidRDefault="00CC7CE1" w:rsidP="00CC7CE1">
      <w:pPr>
        <w:ind w:firstLine="142"/>
      </w:pPr>
      <w:r w:rsidRPr="009A2156">
        <w:rPr>
          <w:color w:val="000000"/>
          <w:szCs w:val="19"/>
        </w:rPr>
        <w:t xml:space="preserve">Förslaget innebär en omarbetning av det befintliga direktivet 2002/95/EG (RoHS-direktivet) </w:t>
      </w:r>
      <w:r w:rsidRPr="009A2156">
        <w:t>som beslutades den 27 januari 2003 och började tillämpas den 1 juli 2006. RoHS-direktivets syfte är att skydda människors hälsa och främja miljövänlig återvinning och bortskaffande av avfall som utgörs av eller innehåller elektriska och elektroniska produkter. RoHS-direktivet förbjuder användningen av metallerna kvicksilver, kadmium, bly, krom VI och flamskyddsmedlen PBB och PBDE i elektriska och elektroniska produkter</w:t>
      </w:r>
      <w:r w:rsidR="009E7E90" w:rsidRPr="009A2156">
        <w:t xml:space="preserve"> både vid tillverkning inom EU och vid import från tredje land</w:t>
      </w:r>
      <w:r w:rsidRPr="009A2156">
        <w:t xml:space="preserve">. Dessa ämnen och ämnesgrupper ska ersättas med ofarliga eller mindre farliga alternativ. </w:t>
      </w:r>
    </w:p>
    <w:p w:rsidR="002F2071" w:rsidRPr="009A2156" w:rsidRDefault="002F2071">
      <w:pPr>
        <w:pStyle w:val="RKrubrik"/>
      </w:pPr>
      <w:r w:rsidRPr="009A2156">
        <w:lastRenderedPageBreak/>
        <w:t>Rättslig grund och beslutsförfarande</w:t>
      </w:r>
    </w:p>
    <w:p w:rsidR="00901983" w:rsidRPr="009A2156" w:rsidRDefault="003958C1" w:rsidP="00901983">
      <w:pPr>
        <w:ind w:firstLine="142"/>
      </w:pPr>
      <w:r w:rsidRPr="009A2156">
        <w:t>Artikel 95 i EG-fördraget.</w:t>
      </w:r>
      <w:r w:rsidR="00901983" w:rsidRPr="009A2156">
        <w:t xml:space="preserve"> Beslut fattas av rådet med kvalificerad majoritet efter medbeslutandeförfarande med Europaparlamentet enligt artikel 251.</w:t>
      </w:r>
    </w:p>
    <w:p w:rsidR="002F2071" w:rsidRPr="009A2156" w:rsidRDefault="002F2071">
      <w:pPr>
        <w:pStyle w:val="RKnormal"/>
      </w:pPr>
    </w:p>
    <w:p w:rsidR="002F2071" w:rsidRPr="009A2156" w:rsidRDefault="002F2071">
      <w:pPr>
        <w:pStyle w:val="RKrubrik"/>
        <w:rPr>
          <w:i/>
          <w:iCs/>
        </w:rPr>
      </w:pPr>
      <w:r w:rsidRPr="009A2156">
        <w:rPr>
          <w:i/>
          <w:iCs/>
        </w:rPr>
        <w:t>Svensk ståndpunkt</w:t>
      </w:r>
    </w:p>
    <w:p w:rsidR="00715DF7" w:rsidRPr="009A2156" w:rsidRDefault="00715DF7">
      <w:pPr>
        <w:pStyle w:val="RKnormal"/>
      </w:pPr>
      <w:r w:rsidRPr="009A2156">
        <w:t>Vid miljöråds mötet den 21 oktober kommer en policydebatt att hållas om direktivens omfattning. Ordförandeskapet ställer följande frågor till delegationerna:</w:t>
      </w:r>
    </w:p>
    <w:p w:rsidR="00715DF7" w:rsidRPr="009A2156" w:rsidRDefault="00715DF7">
      <w:pPr>
        <w:pStyle w:val="RKnormal"/>
      </w:pPr>
    </w:p>
    <w:p w:rsidR="00715DF7" w:rsidRPr="009A2156" w:rsidRDefault="00715DF7" w:rsidP="00715DF7">
      <w:r w:rsidRPr="009A2156">
        <w:t>Ministers will be asked to consider the following questions prepared by the Presidency:</w:t>
      </w:r>
    </w:p>
    <w:p w:rsidR="00715DF7" w:rsidRPr="009A2156" w:rsidRDefault="00715DF7" w:rsidP="00715DF7"/>
    <w:p w:rsidR="00715DF7" w:rsidRPr="009A2156" w:rsidRDefault="00715DF7" w:rsidP="00715DF7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overflowPunct/>
        <w:autoSpaceDE/>
        <w:autoSpaceDN/>
        <w:adjustRightInd/>
        <w:spacing w:line="360" w:lineRule="auto"/>
        <w:ind w:left="567" w:hanging="567"/>
        <w:textAlignment w:val="auto"/>
        <w:rPr>
          <w:i/>
          <w:lang w:eastAsia="sv-SE"/>
        </w:rPr>
      </w:pPr>
      <w:r w:rsidRPr="009A2156">
        <w:rPr>
          <w:i/>
        </w:rPr>
        <w:t xml:space="preserve">Should the two Directives, WEEE and RoHS, have separate scopes taking account of their different legal bases and objectives? </w:t>
      </w:r>
    </w:p>
    <w:p w:rsidR="00715DF7" w:rsidRPr="009A2156" w:rsidRDefault="00715DF7" w:rsidP="00715DF7">
      <w:pPr>
        <w:rPr>
          <w:i/>
          <w:lang w:eastAsia="sv-SE"/>
        </w:rPr>
      </w:pPr>
      <w:r w:rsidRPr="009A2156">
        <w:rPr>
          <w:i/>
        </w:rPr>
        <w:t xml:space="preserve">If yes, </w:t>
      </w:r>
    </w:p>
    <w:p w:rsidR="00715DF7" w:rsidRPr="009A2156" w:rsidRDefault="00715DF7" w:rsidP="00715DF7">
      <w:pPr>
        <w:ind w:left="360"/>
        <w:rPr>
          <w:i/>
          <w:lang w:eastAsia="sv-SE"/>
        </w:rPr>
      </w:pPr>
    </w:p>
    <w:p w:rsidR="00715DF7" w:rsidRPr="009A2156" w:rsidRDefault="00715DF7" w:rsidP="00715DF7">
      <w:pPr>
        <w:ind w:left="567" w:hanging="567"/>
        <w:rPr>
          <w:i/>
          <w:lang w:eastAsia="sv-SE"/>
        </w:rPr>
      </w:pPr>
      <w:r w:rsidRPr="009A2156">
        <w:rPr>
          <w:i/>
          <w:lang w:eastAsia="sv-SE"/>
        </w:rPr>
        <w:t>2a.</w:t>
      </w:r>
      <w:r w:rsidRPr="009A2156">
        <w:rPr>
          <w:i/>
          <w:lang w:eastAsia="sv-SE"/>
        </w:rPr>
        <w:tab/>
        <w:t xml:space="preserve">Should the scope of the </w:t>
      </w:r>
      <w:r w:rsidRPr="009A2156">
        <w:rPr>
          <w:b/>
          <w:i/>
          <w:lang w:eastAsia="sv-SE"/>
        </w:rPr>
        <w:t>RoHS Directive</w:t>
      </w:r>
      <w:r w:rsidRPr="009A2156">
        <w:rPr>
          <w:i/>
          <w:lang w:eastAsia="sv-SE"/>
        </w:rPr>
        <w:t xml:space="preserve"> be extended to cover all electrical and electronic equipment unless explicitly excluded? </w:t>
      </w:r>
    </w:p>
    <w:p w:rsidR="00715DF7" w:rsidRPr="009A2156" w:rsidRDefault="00715DF7" w:rsidP="00715DF7">
      <w:pPr>
        <w:ind w:left="360"/>
        <w:rPr>
          <w:i/>
          <w:lang w:eastAsia="sv-SE"/>
        </w:rPr>
      </w:pPr>
    </w:p>
    <w:p w:rsidR="00BD6426" w:rsidRPr="009A2156" w:rsidRDefault="00715DF7" w:rsidP="00715DF7">
      <w:pPr>
        <w:ind w:left="567" w:hanging="567"/>
        <w:rPr>
          <w:i/>
          <w:lang w:eastAsia="sv-SE"/>
        </w:rPr>
      </w:pPr>
      <w:r w:rsidRPr="009A2156">
        <w:rPr>
          <w:i/>
          <w:lang w:eastAsia="sv-SE"/>
        </w:rPr>
        <w:t>2b.</w:t>
      </w:r>
      <w:r w:rsidRPr="009A2156">
        <w:rPr>
          <w:i/>
          <w:lang w:eastAsia="sv-SE"/>
        </w:rPr>
        <w:tab/>
        <w:t xml:space="preserve">Should the scope of the </w:t>
      </w:r>
      <w:r w:rsidRPr="009A2156">
        <w:rPr>
          <w:b/>
          <w:i/>
          <w:lang w:eastAsia="sv-SE"/>
        </w:rPr>
        <w:t>WEEE Directive</w:t>
      </w:r>
      <w:r w:rsidRPr="009A2156">
        <w:rPr>
          <w:i/>
          <w:lang w:eastAsia="sv-SE"/>
        </w:rPr>
        <w:t xml:space="preserve"> be defined by</w:t>
      </w:r>
      <w:r w:rsidR="00BD6426" w:rsidRPr="009A2156">
        <w:rPr>
          <w:i/>
          <w:lang w:eastAsia="sv-SE"/>
        </w:rPr>
        <w:t xml:space="preserve"> the inclusion of</w:t>
      </w:r>
      <w:r w:rsidRPr="009A2156">
        <w:rPr>
          <w:i/>
          <w:lang w:eastAsia="sv-SE"/>
        </w:rPr>
        <w:t xml:space="preserve"> a minimum list of electrical and electronic equipment (as in the existing legislation)?</w:t>
      </w:r>
    </w:p>
    <w:p w:rsidR="00BD6426" w:rsidRPr="009A2156" w:rsidRDefault="00BD6426" w:rsidP="00715DF7">
      <w:pPr>
        <w:ind w:left="567" w:hanging="567"/>
      </w:pPr>
    </w:p>
    <w:p w:rsidR="00BD6426" w:rsidRPr="009A2156" w:rsidRDefault="00BD6426" w:rsidP="00BD6426">
      <w:r w:rsidRPr="009A2156">
        <w:t>Ordförandeskapet hoppas få bekräftat av medlemsstaterna att direktiven</w:t>
      </w:r>
      <w:r w:rsidR="000D4AAA" w:rsidRPr="009A2156">
        <w:t>s</w:t>
      </w:r>
      <w:r w:rsidRPr="009A2156">
        <w:t xml:space="preserve"> omfattning bör separeras samt att RoHS-direktivet bör ändras så att alla produkter omfattas om inte särskilda undantag anges. För WEEE-direktivet kan en del medlemsstater anse att rådet bör utvidga omfattningen av direktivet. </w:t>
      </w:r>
      <w:r w:rsidR="000D4AAA" w:rsidRPr="009A2156">
        <w:t>Ordförandeskapet kommer utifrån de svar MS ger fortsätta att förhandla övriga frågor som ingår i omarbetningen</w:t>
      </w:r>
    </w:p>
    <w:p w:rsidR="00715DF7" w:rsidRPr="009A2156" w:rsidRDefault="00715DF7">
      <w:pPr>
        <w:pStyle w:val="RKnormal"/>
      </w:pPr>
    </w:p>
    <w:p w:rsidR="00715DF7" w:rsidRPr="009A2156" w:rsidRDefault="000D4AAA" w:rsidP="00715DF7">
      <w:pPr>
        <w:pStyle w:val="RKnormal"/>
      </w:pPr>
      <w:r w:rsidRPr="009A2156">
        <w:t>Ur svenskt synvinkel</w:t>
      </w:r>
      <w:r w:rsidR="00715DF7" w:rsidRPr="009A2156">
        <w:t xml:space="preserve"> välkomnar </w:t>
      </w:r>
      <w:r w:rsidRPr="009A2156">
        <w:t xml:space="preserve">vi </w:t>
      </w:r>
      <w:r w:rsidR="00715DF7" w:rsidRPr="009A2156">
        <w:t xml:space="preserve">kommissionens förslag till omarbetning av RoHS-direktivet och ser positivt på ambitionen att få en mer enhetlig syn på direktivet genom att harmonisera tolkningar och definitioner. </w:t>
      </w:r>
    </w:p>
    <w:p w:rsidR="00715DF7" w:rsidRPr="009A2156" w:rsidRDefault="00715DF7" w:rsidP="00715DF7">
      <w:pPr>
        <w:pStyle w:val="RKnormal"/>
      </w:pPr>
    </w:p>
    <w:p w:rsidR="00715DF7" w:rsidRPr="009A2156" w:rsidRDefault="00715DF7" w:rsidP="00715DF7">
      <w:pPr>
        <w:pStyle w:val="RKnormal"/>
      </w:pPr>
      <w:r w:rsidRPr="009A2156">
        <w:t xml:space="preserve">En övergripande svensk strävan bör vara att så långt möjligt minska användningen av farliga ämnen i elektriska och elektroniska produkter. Omfattningsområdet för RoHS-direktivet skall vara så stort som möjligt med hänsyn till vad som är tekniskt möjligt och ekonomiskt rimligt. </w:t>
      </w:r>
    </w:p>
    <w:p w:rsidR="00715DF7" w:rsidRPr="009A2156" w:rsidRDefault="00715DF7" w:rsidP="00715DF7">
      <w:pPr>
        <w:pStyle w:val="RKnormal"/>
      </w:pPr>
    </w:p>
    <w:p w:rsidR="00715DF7" w:rsidRPr="009A2156" w:rsidRDefault="00715DF7" w:rsidP="00715DF7">
      <w:pPr>
        <w:pStyle w:val="RKnormal"/>
      </w:pPr>
      <w:r w:rsidRPr="009A2156">
        <w:t xml:space="preserve">Undantag från förbuden i direktivet bör vara så få som möjligt samt begränsade i giltighetstid och omfattning. Det är även viktigt att minska den administrativa bördan för såväl företag som myndigheter. </w:t>
      </w:r>
    </w:p>
    <w:p w:rsidR="00715DF7" w:rsidRPr="009A2156" w:rsidRDefault="00715DF7">
      <w:pPr>
        <w:pStyle w:val="RKnormal"/>
      </w:pPr>
      <w:r w:rsidRPr="009A2156">
        <w:t xml:space="preserve">Vid utformning av regler och krav är det av vikt att beakta ett högt miljöskydd utan onödiga merkostnader för företag och myndigheter. </w:t>
      </w:r>
    </w:p>
    <w:p w:rsidR="00715DF7" w:rsidRPr="009A2156" w:rsidRDefault="00715DF7">
      <w:pPr>
        <w:pStyle w:val="RKnormal"/>
      </w:pPr>
    </w:p>
    <w:p w:rsidR="002F2071" w:rsidRPr="009A2156" w:rsidRDefault="002F2071">
      <w:pPr>
        <w:pStyle w:val="RKrubrik"/>
      </w:pPr>
      <w:r w:rsidRPr="009A2156">
        <w:t>Europaparlamentets inställning</w:t>
      </w:r>
    </w:p>
    <w:p w:rsidR="002F2071" w:rsidRPr="009A2156" w:rsidRDefault="00CC7CE1">
      <w:pPr>
        <w:pStyle w:val="RKnormal"/>
      </w:pPr>
      <w:r w:rsidRPr="009A2156">
        <w:t>Europaparlamentet har ännu inge position i frågan utan väntas ta ställning i maj 2010.</w:t>
      </w:r>
    </w:p>
    <w:p w:rsidR="002F2071" w:rsidRPr="009A2156" w:rsidRDefault="002F2071">
      <w:pPr>
        <w:pStyle w:val="RKrubrik"/>
        <w:rPr>
          <w:i/>
          <w:iCs/>
        </w:rPr>
      </w:pPr>
      <w:r w:rsidRPr="009A2156">
        <w:rPr>
          <w:i/>
          <w:iCs/>
        </w:rPr>
        <w:t>Förslaget</w:t>
      </w:r>
    </w:p>
    <w:p w:rsidR="00901983" w:rsidRPr="009A2156" w:rsidRDefault="00901983" w:rsidP="00901983">
      <w:pPr>
        <w:spacing w:line="240" w:lineRule="auto"/>
      </w:pPr>
      <w:r w:rsidRPr="009A2156">
        <w:t>Kommissionen har identifierat en rad problem med direktiven och föreslår nu att de ska revideras. De viktigaste delarna av förslagen är:</w:t>
      </w:r>
    </w:p>
    <w:p w:rsidR="00901983" w:rsidRPr="009A2156" w:rsidRDefault="00901983" w:rsidP="00901983">
      <w:pPr>
        <w:pStyle w:val="RKnormal"/>
      </w:pPr>
    </w:p>
    <w:p w:rsidR="00901983" w:rsidRPr="009A2156" w:rsidRDefault="00901983" w:rsidP="00901983">
      <w:pPr>
        <w:pStyle w:val="RKnormal"/>
        <w:numPr>
          <w:ilvl w:val="0"/>
          <w:numId w:val="1"/>
        </w:numPr>
      </w:pPr>
      <w:r w:rsidRPr="009A2156">
        <w:t>Flytta produktlistan från WEEE till RoHS pga rättslig grund.</w:t>
      </w:r>
    </w:p>
    <w:p w:rsidR="00901983" w:rsidRPr="009A2156" w:rsidRDefault="00901983" w:rsidP="00901983">
      <w:pPr>
        <w:pStyle w:val="RKnormal"/>
        <w:numPr>
          <w:ilvl w:val="0"/>
          <w:numId w:val="1"/>
        </w:numPr>
      </w:pPr>
      <w:r w:rsidRPr="009A2156">
        <w:t>Harmonisering av vissa definitioner och tolkningar.</w:t>
      </w:r>
    </w:p>
    <w:p w:rsidR="00901983" w:rsidRPr="009A2156" w:rsidRDefault="00901983" w:rsidP="00901983">
      <w:pPr>
        <w:pStyle w:val="RKnormal"/>
        <w:numPr>
          <w:ilvl w:val="0"/>
          <w:numId w:val="1"/>
        </w:numPr>
      </w:pPr>
      <w:r w:rsidRPr="009A2156">
        <w:t xml:space="preserve">Omfatta medicintekniska produkter och övervaknings- och kontrollutrustning i direktivet. </w:t>
      </w:r>
    </w:p>
    <w:p w:rsidR="002F2071" w:rsidRPr="009A2156" w:rsidRDefault="00901983">
      <w:pPr>
        <w:pStyle w:val="RKnormal"/>
        <w:numPr>
          <w:ilvl w:val="0"/>
          <w:numId w:val="1"/>
        </w:numPr>
      </w:pPr>
      <w:r w:rsidRPr="009A2156">
        <w:t>Lägga till 4 ämnen till en prioriteringslista över ytterligare farliga ämnen som kan bli aktuella att reglera.</w:t>
      </w:r>
    </w:p>
    <w:p w:rsidR="002F2071" w:rsidRPr="009A2156" w:rsidRDefault="002F2071">
      <w:pPr>
        <w:pStyle w:val="RKrubrik"/>
        <w:rPr>
          <w:i/>
          <w:iCs/>
        </w:rPr>
      </w:pPr>
      <w:r w:rsidRPr="009A2156">
        <w:rPr>
          <w:i/>
          <w:iCs/>
        </w:rPr>
        <w:t>Gällande svenska regler och förslagets effekter på dessa</w:t>
      </w:r>
    </w:p>
    <w:p w:rsidR="00901983" w:rsidRPr="009A2156" w:rsidRDefault="00901983" w:rsidP="00901983">
      <w:pPr>
        <w:pStyle w:val="RKnormal"/>
      </w:pPr>
      <w:r w:rsidRPr="009A2156">
        <w:t>RoHS-direktivet är genomfört i svensk lagstiftning i miljöbalken (1998:808) och genom förordning (SFS 1998:944) om förbud m.m. i vissa fall i samband med hantering, införsel och utförsel av kemiska produkter. EU-gemensamma undantag för viss användning av de i direktivet reglerade ämnena är genomförda i svensk rätt genom Kemikalieinspektionens föreskrifter (KIFS 2008:2) om kemiska produkter och biotekniska organismer. RoHS-direktivets omarbetning kommer innebära att de svenska bestämmelserna måste ändras i viss omfattning, men exakt vilka paragrafer som påverkas är ännu oklart men kommer klargöras senare i förhandlingarna.</w:t>
      </w:r>
    </w:p>
    <w:p w:rsidR="002F2071" w:rsidRPr="009A2156" w:rsidRDefault="002F2071">
      <w:pPr>
        <w:pStyle w:val="RKnormal"/>
      </w:pPr>
    </w:p>
    <w:p w:rsidR="002F2071" w:rsidRPr="009A2156" w:rsidRDefault="002F2071">
      <w:pPr>
        <w:pStyle w:val="RKrubrik"/>
      </w:pPr>
      <w:r w:rsidRPr="009A2156">
        <w:t>Ekonomiska konsekvenser</w:t>
      </w:r>
    </w:p>
    <w:p w:rsidR="00901983" w:rsidRPr="009A2156" w:rsidRDefault="00901983" w:rsidP="00901983">
      <w:r w:rsidRPr="009A2156">
        <w:t xml:space="preserve">Konsekvenser för berörda myndigheter är i dagsläget svåra att bedöma men omarbetningen av direktivet förväntas inte leda till betydande konsekvenser för den svenska statsbudgeten. </w:t>
      </w:r>
      <w:r w:rsidR="00DD291B" w:rsidRPr="009A2156">
        <w:rPr>
          <w:iCs/>
        </w:rPr>
        <w:t>Utgångspunkten är att eventuella budgetära konsekvenser på nationell nivå samt ökningar av den svenska EU-avgiften ska finansieras genom omprioriteringar inom befintliga anslagsramar.</w:t>
      </w:r>
    </w:p>
    <w:p w:rsidR="003958C1" w:rsidRPr="009A2156" w:rsidRDefault="003958C1" w:rsidP="00901983"/>
    <w:p w:rsidR="003958C1" w:rsidRPr="009A2156" w:rsidRDefault="003958C1" w:rsidP="00901983">
      <w:r w:rsidRPr="009A2156">
        <w:t>Omarbetningen förväntas inte heller ge några betydande konsekvenser för tillverkare och importörer då ett av syfte är regelförenkling.</w:t>
      </w:r>
    </w:p>
    <w:p w:rsidR="00DD291B" w:rsidRPr="009A2156" w:rsidRDefault="00DD291B" w:rsidP="00901983"/>
    <w:p w:rsidR="002F2071" w:rsidRPr="009A2156" w:rsidRDefault="002F2071">
      <w:pPr>
        <w:pStyle w:val="RKrubrik"/>
      </w:pPr>
      <w:r w:rsidRPr="009A2156">
        <w:t>Övrigt</w:t>
      </w:r>
    </w:p>
    <w:p w:rsidR="00E36971" w:rsidRPr="009A2156" w:rsidRDefault="00901983" w:rsidP="00715DF7">
      <w:pPr>
        <w:ind w:firstLine="142"/>
      </w:pPr>
      <w:r w:rsidRPr="009A2156">
        <w:t xml:space="preserve">Rådets behandling av förslaget </w:t>
      </w:r>
      <w:r w:rsidR="00E3101F" w:rsidRPr="009A2156">
        <w:t xml:space="preserve">har påbörjats </w:t>
      </w:r>
      <w:r w:rsidRPr="009A2156">
        <w:t>under våren 2009</w:t>
      </w:r>
      <w:r w:rsidR="00E3101F" w:rsidRPr="009A2156">
        <w:t xml:space="preserve"> och fortsätter under svenskt ordförandeskap</w:t>
      </w:r>
      <w:r w:rsidRPr="009A2156">
        <w:t xml:space="preserve">. Den första </w:t>
      </w:r>
      <w:r w:rsidR="003958C1" w:rsidRPr="009A2156">
        <w:t>behandlingen</w:t>
      </w:r>
      <w:r w:rsidRPr="009A2156">
        <w:t xml:space="preserve"> i Europaparlamentet och en politisk överenskommelse i rådet bör kunna nås under 2010. Senast 2011 bör en slutlig överenskommelse kunna nås. Utgående från denna tidpunkt skulle direktivet kunna vara infört i medlemsstaternas lagstiftning år 2016. </w:t>
      </w:r>
    </w:p>
    <w:sectPr w:rsidR="00E36971" w:rsidRPr="009A215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099" w:rsidRPr="009A2156" w:rsidRDefault="00943099">
      <w:r w:rsidRPr="009A2156">
        <w:separator/>
      </w:r>
    </w:p>
  </w:endnote>
  <w:endnote w:type="continuationSeparator" w:id="0">
    <w:p w:rsidR="00943099" w:rsidRPr="009A2156" w:rsidRDefault="00943099">
      <w:r w:rsidRPr="009A21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099" w:rsidRPr="009A2156" w:rsidRDefault="00943099">
      <w:r w:rsidRPr="009A2156">
        <w:separator/>
      </w:r>
    </w:p>
  </w:footnote>
  <w:footnote w:type="continuationSeparator" w:id="0">
    <w:p w:rsidR="00943099" w:rsidRPr="009A2156" w:rsidRDefault="00943099">
      <w:r w:rsidRPr="009A21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7D7" w:rsidRPr="009A2156" w:rsidRDefault="00D057D7">
    <w:pPr>
      <w:pStyle w:val="Sidhuvud"/>
      <w:framePr w:wrap="around" w:vAnchor="text" w:hAnchor="margin" w:xAlign="right" w:y="1"/>
      <w:rPr>
        <w:rStyle w:val="Sidnummer"/>
      </w:rPr>
    </w:pPr>
    <w:r w:rsidRPr="009A2156">
      <w:rPr>
        <w:rStyle w:val="Sidnummer"/>
      </w:rPr>
      <w:fldChar w:fldCharType="begin" w:fldLock="1"/>
    </w:r>
    <w:r w:rsidRPr="009A2156">
      <w:rPr>
        <w:rStyle w:val="Sidnummer"/>
      </w:rPr>
      <w:instrText xml:space="preserve">PAGE  </w:instrText>
    </w:r>
    <w:r w:rsidRPr="009A2156">
      <w:rPr>
        <w:rStyle w:val="Sidnummer"/>
      </w:rPr>
      <w:fldChar w:fldCharType="separate"/>
    </w:r>
    <w:r w:rsidR="008C6B0D" w:rsidRPr="009A2156">
      <w:rPr>
        <w:rStyle w:val="Sidnummer"/>
      </w:rPr>
      <w:t>4</w:t>
    </w:r>
    <w:r w:rsidRPr="009A215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057D7" w:rsidRPr="009A215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057D7" w:rsidRPr="009A2156" w:rsidRDefault="00D057D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057D7" w:rsidRPr="009A2156" w:rsidRDefault="00D057D7">
          <w:pPr>
            <w:pStyle w:val="Sidhuvud"/>
            <w:ind w:right="360"/>
          </w:pPr>
        </w:p>
      </w:tc>
      <w:tc>
        <w:tcPr>
          <w:tcW w:w="1525" w:type="dxa"/>
        </w:tcPr>
        <w:p w:rsidR="00D057D7" w:rsidRPr="009A2156" w:rsidRDefault="00D057D7">
          <w:pPr>
            <w:pStyle w:val="Sidhuvud"/>
            <w:ind w:right="360"/>
          </w:pPr>
        </w:p>
      </w:tc>
    </w:tr>
  </w:tbl>
  <w:p w:rsidR="00D057D7" w:rsidRPr="009A2156" w:rsidRDefault="00D057D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7D7" w:rsidRPr="009A2156" w:rsidRDefault="00D057D7">
    <w:pPr>
      <w:pStyle w:val="Sidhuvud"/>
      <w:framePr w:wrap="around" w:vAnchor="text" w:hAnchor="margin" w:xAlign="right" w:y="1"/>
      <w:rPr>
        <w:rStyle w:val="Sidnummer"/>
      </w:rPr>
    </w:pPr>
    <w:r w:rsidRPr="009A2156">
      <w:rPr>
        <w:rStyle w:val="Sidnummer"/>
      </w:rPr>
      <w:fldChar w:fldCharType="begin" w:fldLock="1"/>
    </w:r>
    <w:r w:rsidRPr="009A2156">
      <w:rPr>
        <w:rStyle w:val="Sidnummer"/>
      </w:rPr>
      <w:instrText xml:space="preserve">PAGE  </w:instrText>
    </w:r>
    <w:r w:rsidRPr="009A2156">
      <w:rPr>
        <w:rStyle w:val="Sidnummer"/>
      </w:rPr>
      <w:fldChar w:fldCharType="separate"/>
    </w:r>
    <w:r w:rsidR="008C6B0D" w:rsidRPr="009A2156">
      <w:rPr>
        <w:rStyle w:val="Sidnummer"/>
      </w:rPr>
      <w:t>3</w:t>
    </w:r>
    <w:r w:rsidRPr="009A215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057D7" w:rsidRPr="009A215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057D7" w:rsidRPr="009A2156" w:rsidRDefault="00D057D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057D7" w:rsidRPr="009A2156" w:rsidRDefault="00D057D7">
          <w:pPr>
            <w:pStyle w:val="Sidhuvud"/>
            <w:ind w:right="360"/>
          </w:pPr>
        </w:p>
      </w:tc>
      <w:tc>
        <w:tcPr>
          <w:tcW w:w="1525" w:type="dxa"/>
        </w:tcPr>
        <w:p w:rsidR="00D057D7" w:rsidRPr="009A2156" w:rsidRDefault="00D057D7">
          <w:pPr>
            <w:pStyle w:val="Sidhuvud"/>
            <w:ind w:right="360"/>
          </w:pPr>
        </w:p>
      </w:tc>
    </w:tr>
  </w:tbl>
  <w:p w:rsidR="00D057D7" w:rsidRPr="009A2156" w:rsidRDefault="00D057D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57D7" w:rsidRPr="009A2156" w:rsidRDefault="009A2156">
    <w:pPr>
      <w:framePr w:w="2948" w:h="1321" w:hRule="exact" w:wrap="notBeside" w:vAnchor="page" w:hAnchor="page" w:x="1362" w:y="653"/>
    </w:pPr>
    <w:r w:rsidRPr="009A2156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57D7" w:rsidRPr="009A2156" w:rsidRDefault="00D057D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057D7" w:rsidRPr="009A2156" w:rsidRDefault="00D057D7">
    <w:pPr>
      <w:rPr>
        <w:rFonts w:ascii="TradeGothic" w:hAnsi="TradeGothic"/>
        <w:b/>
        <w:bCs/>
        <w:spacing w:val="12"/>
        <w:sz w:val="22"/>
      </w:rPr>
    </w:pPr>
  </w:p>
  <w:p w:rsidR="00D057D7" w:rsidRPr="009A2156" w:rsidRDefault="00D057D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057D7" w:rsidRPr="009A2156" w:rsidRDefault="00D057D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089E"/>
    <w:multiLevelType w:val="hybridMultilevel"/>
    <w:tmpl w:val="254E75B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953B8"/>
    <w:multiLevelType w:val="hybridMultilevel"/>
    <w:tmpl w:val="09EE68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525929">
    <w:abstractNumId w:val="1"/>
  </w:num>
  <w:num w:numId="2" w16cid:durableId="174807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2F2071"/>
    <w:rsid w:val="000D4AAA"/>
    <w:rsid w:val="00150384"/>
    <w:rsid w:val="001805B7"/>
    <w:rsid w:val="001E4B28"/>
    <w:rsid w:val="002E340A"/>
    <w:rsid w:val="002F2071"/>
    <w:rsid w:val="003958C1"/>
    <w:rsid w:val="004966AB"/>
    <w:rsid w:val="004A328D"/>
    <w:rsid w:val="004B180F"/>
    <w:rsid w:val="00511646"/>
    <w:rsid w:val="006E4E11"/>
    <w:rsid w:val="00715DF7"/>
    <w:rsid w:val="007242A3"/>
    <w:rsid w:val="008C6B0D"/>
    <w:rsid w:val="00901983"/>
    <w:rsid w:val="00943099"/>
    <w:rsid w:val="009A2156"/>
    <w:rsid w:val="009C65F9"/>
    <w:rsid w:val="009E7E90"/>
    <w:rsid w:val="00A6087F"/>
    <w:rsid w:val="00A87B14"/>
    <w:rsid w:val="00BD6426"/>
    <w:rsid w:val="00BF435B"/>
    <w:rsid w:val="00CA793A"/>
    <w:rsid w:val="00CB04DA"/>
    <w:rsid w:val="00CC7CE1"/>
    <w:rsid w:val="00CF24F4"/>
    <w:rsid w:val="00D057D7"/>
    <w:rsid w:val="00DD291B"/>
    <w:rsid w:val="00E3101F"/>
    <w:rsid w:val="00E36971"/>
    <w:rsid w:val="00EA45FE"/>
    <w:rsid w:val="00EC25F9"/>
    <w:rsid w:val="00F55CDA"/>
    <w:rsid w:val="00F9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90DD46-7A10-45E4-86A2-E5A6E8D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901983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4968</Characters>
  <Application>Microsoft Office Word</Application>
  <DocSecurity>4</DocSecurity>
  <Lines>141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2025-12-17T23:54:00Z</dcterms:created>
  <dcterms:modified xsi:type="dcterms:W3CDTF">2025-12-17T23:54:00Z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iarienummer">
    <vt:lpwstr/>
  </property>
  <property fmtid="{D5CDD505-2E9C-101B-9397-08002B2CF9AE}" pid="6" name="RKOrdnaSearchKeywords">
    <vt:lpwstr/>
  </property>
  <property fmtid="{D5CDD505-2E9C-101B-9397-08002B2CF9AE}" pid="7" name="RKOrdnaSarskildSkyddsvard">
    <vt:lpwstr>0</vt:lpwstr>
  </property>
  <property fmtid="{D5CDD505-2E9C-101B-9397-08002B2CF9AE}" pid="8" name="ContentType">
    <vt:lpwstr>Word</vt:lpwstr>
  </property>
  <property fmtid="{D5CDD505-2E9C-101B-9397-08002B2CF9AE}" pid="9" name="RKOrdnaDepartement">
    <vt:lpwstr>Miljödepartementet</vt:lpwstr>
  </property>
  <property fmtid="{D5CDD505-2E9C-101B-9397-08002B2CF9AE}" pid="10" name="RKOrdnaActivityCategory">
    <vt:lpwstr>4.1. Europeiska unionen</vt:lpwstr>
  </property>
</Properties>
</file>