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C86" w:rsidRDefault="00C50C86" w:rsidP="00891F9F">
      <w:pPr>
        <w:pStyle w:val="RKnormal"/>
        <w:ind w:left="-1418"/>
      </w:pPr>
    </w:p>
    <w:p w:rsidR="00C50C86" w:rsidRDefault="00C50C86" w:rsidP="00891F9F">
      <w:pPr>
        <w:pStyle w:val="RKnormal"/>
        <w:ind w:left="-1418"/>
        <w:jc w:val="center"/>
        <w:rPr>
          <w:b/>
          <w:bCs/>
        </w:rPr>
      </w:pPr>
    </w:p>
    <w:p w:rsidR="00C50C86" w:rsidRDefault="00C50C86" w:rsidP="00891F9F">
      <w:pPr>
        <w:pStyle w:val="RKnormal"/>
        <w:rPr>
          <w:b/>
          <w:bCs/>
        </w:rPr>
      </w:pPr>
    </w:p>
    <w:p w:rsidR="00C50C86" w:rsidRDefault="00C50C86" w:rsidP="00F042C8">
      <w:pPr>
        <w:pStyle w:val="RKnormal"/>
        <w:ind w:left="-1418"/>
      </w:pPr>
      <w:r w:rsidRPr="00BC0255">
        <w:rPr>
          <w:b/>
          <w:bCs/>
        </w:rPr>
        <w:t>Rubrik</w:t>
      </w:r>
      <w:r>
        <w:rPr>
          <w:bCs/>
        </w:rPr>
        <w:t xml:space="preserve">: </w:t>
      </w:r>
      <w:r>
        <w:t>Förslag till rådets förordning om anpassning med verkan från och med den 1 juli 2012 av lönerna och pensionerna för tjänstemän och övriga anställda i Europeiska unionen och av de på dessa löner och pensioner tillämpliga korrigeringskoefficienterna</w:t>
      </w:r>
    </w:p>
    <w:p w:rsidR="00C50C86" w:rsidRDefault="00C50C86" w:rsidP="00F042C8">
      <w:pPr>
        <w:pStyle w:val="RKnormal"/>
        <w:ind w:left="-1418"/>
      </w:pPr>
    </w:p>
    <w:p w:rsidR="00C50C86" w:rsidRDefault="00C50C86" w:rsidP="00891F9F">
      <w:pPr>
        <w:pStyle w:val="RKnormal"/>
        <w:ind w:left="-1418"/>
        <w:rPr>
          <w:b/>
          <w:bCs/>
        </w:rPr>
      </w:pPr>
      <w:r w:rsidRPr="00BC0255">
        <w:rPr>
          <w:b/>
        </w:rPr>
        <w:t>Dokumentnummer</w:t>
      </w:r>
      <w:r>
        <w:t xml:space="preserve">: </w:t>
      </w:r>
      <w:r w:rsidRPr="00205CEB">
        <w:t>17428/12 STAT 48 FIN 1023</w:t>
      </w:r>
    </w:p>
    <w:p w:rsidR="00C50C86" w:rsidRDefault="00C50C86" w:rsidP="00891F9F">
      <w:pPr>
        <w:pStyle w:val="RKnormal"/>
      </w:pPr>
    </w:p>
    <w:p w:rsidR="00C50C86" w:rsidRDefault="00C50C86" w:rsidP="00891F9F">
      <w:pPr>
        <w:pStyle w:val="RKnormal"/>
        <w:ind w:left="-1418"/>
        <w:outlineLvl w:val="0"/>
      </w:pPr>
      <w:r w:rsidRPr="00532127">
        <w:rPr>
          <w:b/>
        </w:rPr>
        <w:t>Ansvarigt statsråd</w:t>
      </w:r>
      <w:r>
        <w:rPr>
          <w:b/>
        </w:rPr>
        <w:t>:</w:t>
      </w:r>
      <w:r w:rsidRPr="00532127">
        <w:rPr>
          <w:b/>
        </w:rPr>
        <w:t xml:space="preserve"> </w:t>
      </w:r>
      <w:r>
        <w:t>Stefan Attefall</w:t>
      </w:r>
    </w:p>
    <w:p w:rsidR="00C50C86" w:rsidRDefault="00C50C86" w:rsidP="00891F9F">
      <w:pPr>
        <w:pStyle w:val="RKnormal"/>
        <w:ind w:left="-1418"/>
        <w:rPr>
          <w:b/>
        </w:rPr>
      </w:pPr>
    </w:p>
    <w:p w:rsidR="00C50C86" w:rsidRDefault="00C50C86" w:rsidP="00891F9F">
      <w:pPr>
        <w:pStyle w:val="RKnormal"/>
        <w:ind w:left="-1418"/>
      </w:pPr>
      <w:r>
        <w:rPr>
          <w:b/>
        </w:rPr>
        <w:t xml:space="preserve">Tidigare behandling i riksdagen: </w:t>
      </w:r>
      <w:r>
        <w:t>-</w:t>
      </w:r>
    </w:p>
    <w:p w:rsidR="00C50C86" w:rsidRDefault="00C50C86" w:rsidP="00891F9F">
      <w:pPr>
        <w:pStyle w:val="RKnormal"/>
        <w:ind w:left="-1418"/>
      </w:pPr>
    </w:p>
    <w:p w:rsidR="00C50C86" w:rsidRDefault="00C50C86" w:rsidP="00891F9F">
      <w:pPr>
        <w:pStyle w:val="RKnormal"/>
        <w:ind w:left="-1418"/>
      </w:pPr>
      <w:r>
        <w:rPr>
          <w:b/>
        </w:rPr>
        <w:t>Tidigare behandling vid rådsmöte:</w:t>
      </w:r>
      <w:r>
        <w:t xml:space="preserve"> -</w:t>
      </w:r>
    </w:p>
    <w:p w:rsidR="00C50C86" w:rsidRDefault="00C50C86" w:rsidP="00891F9F">
      <w:pPr>
        <w:pStyle w:val="RKnormal"/>
        <w:ind w:left="-1418"/>
      </w:pPr>
    </w:p>
    <w:p w:rsidR="00C50C86" w:rsidRDefault="00C50C86" w:rsidP="00891F9F">
      <w:pPr>
        <w:pStyle w:val="RK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18"/>
        <w:rPr>
          <w:b/>
        </w:rPr>
      </w:pPr>
    </w:p>
    <w:p w:rsidR="00C50C86" w:rsidRDefault="00C50C86" w:rsidP="00891F9F">
      <w:pPr>
        <w:pStyle w:val="RK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18"/>
      </w:pPr>
      <w:r w:rsidRPr="00533334">
        <w:rPr>
          <w:b/>
        </w:rPr>
        <w:t>Avsikt med behandlingen</w:t>
      </w:r>
      <w:r>
        <w:rPr>
          <w:b/>
        </w:rPr>
        <w:t xml:space="preserve"> i rådet</w:t>
      </w:r>
      <w:r w:rsidRPr="00533334">
        <w:rPr>
          <w:b/>
        </w:rPr>
        <w:t xml:space="preserve">: </w:t>
      </w:r>
      <w:r>
        <w:t>Rådet föreslås anta noten som bekräftar att kommissionens förslag inte fick stöd vid behandlingen</w:t>
      </w:r>
      <w:r w:rsidRPr="00776EB2">
        <w:t xml:space="preserve"> </w:t>
      </w:r>
      <w:r>
        <w:t>i Coreper I den 14 december 2012.</w:t>
      </w:r>
    </w:p>
    <w:p w:rsidR="00C50C86" w:rsidRDefault="00C50C86" w:rsidP="00891F9F">
      <w:pPr>
        <w:pStyle w:val="RK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18"/>
      </w:pPr>
    </w:p>
    <w:p w:rsidR="00C50C86" w:rsidRDefault="00C50C86" w:rsidP="00891F9F">
      <w:pPr>
        <w:pStyle w:val="RK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18"/>
      </w:pPr>
      <w:r>
        <w:rPr>
          <w:b/>
        </w:rPr>
        <w:t>Hur regeringen ställer sig till den blivande A-punkten</w:t>
      </w:r>
      <w:r w:rsidRPr="00124059">
        <w:rPr>
          <w:b/>
        </w:rPr>
        <w:t>:</w:t>
      </w:r>
      <w:r>
        <w:rPr>
          <w:b/>
        </w:rPr>
        <w:t xml:space="preserve"> </w:t>
      </w:r>
      <w:r>
        <w:t>R</w:t>
      </w:r>
      <w:r w:rsidRPr="008B452F">
        <w:t>egeringen</w:t>
      </w:r>
      <w:r>
        <w:t xml:space="preserve"> avser godkänna noten som bekräftar att kommissionens förslag inte fick stöd samt att regeringen röstade nej till förslaget vid behandlingen i Coreper I den 14 december 2012.</w:t>
      </w:r>
    </w:p>
    <w:p w:rsidR="00C50C86" w:rsidRDefault="00C50C86" w:rsidP="00891F9F">
      <w:pPr>
        <w:pStyle w:val="RK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18"/>
        <w:rPr>
          <w:b/>
        </w:rPr>
      </w:pPr>
    </w:p>
    <w:p w:rsidR="00C50C86" w:rsidRDefault="00C50C86" w:rsidP="00BA7D32">
      <w:pPr>
        <w:pStyle w:val="RK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18"/>
      </w:pPr>
      <w:r>
        <w:rPr>
          <w:b/>
        </w:rPr>
        <w:t>Bakgrund:</w:t>
      </w:r>
      <w:r>
        <w:t xml:space="preserve"> </w:t>
      </w:r>
    </w:p>
    <w:p w:rsidR="00C50C86" w:rsidRDefault="00C50C86" w:rsidP="00AC50DF">
      <w:pPr>
        <w:pStyle w:val="RK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18"/>
      </w:pPr>
      <w:r>
        <w:t xml:space="preserve">I tjänsteföreskrifterna stipuleras att rådet varje år ska göra en översyn av lönerna för institutionernas tjänstemän och i samband med detta ta ställning till huruvida det är lämpligt att anpassa lönerna. I tjänsteföreskrifterna finns även en </w:t>
      </w:r>
      <w:r w:rsidRPr="00417B70">
        <w:t>undantagsklausul.</w:t>
      </w:r>
      <w:r>
        <w:t xml:space="preserve"> En tillämpning av undantagsklausulen innebär att kommissionen har möjlighet</w:t>
      </w:r>
      <w:r w:rsidRPr="00CD55A6">
        <w:t xml:space="preserve"> att</w:t>
      </w:r>
      <w:r>
        <w:t xml:space="preserve"> </w:t>
      </w:r>
      <w:r w:rsidRPr="00CD55A6">
        <w:t>lägga fram ett förslag om ett annat omräkningstal än det som faller ut strikt från den ordinarie beräkningsmetoden.</w:t>
      </w:r>
      <w:r>
        <w:t xml:space="preserve"> Detta kan endast ske om det föreligger en plötslig och allvarlig försämring av det ekonomiska och sociala läget inom EU.</w:t>
      </w:r>
    </w:p>
    <w:p w:rsidR="00C50C86" w:rsidRDefault="00C50C86" w:rsidP="00BA7D32">
      <w:pPr>
        <w:pStyle w:val="RK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18"/>
      </w:pPr>
    </w:p>
    <w:p w:rsidR="00C50C86" w:rsidRPr="00BA7D32" w:rsidRDefault="00C50C86" w:rsidP="00BA7D32">
      <w:pPr>
        <w:pStyle w:val="RK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18"/>
      </w:pPr>
      <w:r>
        <w:t xml:space="preserve">Kommissionen lade den 5 december 2012 ett förslag till </w:t>
      </w:r>
      <w:r>
        <w:rPr>
          <w:bCs/>
        </w:rPr>
        <w:t xml:space="preserve">omräkningstal för justering av löner, pensioner och vissa lönetillägg, samt på dessa tillämpliga korrektionskoefficienter, för tjänstemän och övriga anställda inom EU. </w:t>
      </w:r>
      <w:r w:rsidRPr="001C292D">
        <w:rPr>
          <w:bCs/>
          <w:u w:val="single"/>
        </w:rPr>
        <w:t>Förslaget till omräkningstal uppgick till 1,7 procent</w:t>
      </w:r>
      <w:r>
        <w:t xml:space="preserve">. </w:t>
      </w:r>
      <w:r w:rsidRPr="00CD55A6">
        <w:t>Inf</w:t>
      </w:r>
      <w:r>
        <w:t xml:space="preserve">ör det att kommissionen lade sitt förslag </w:t>
      </w:r>
      <w:r w:rsidRPr="00CD55A6">
        <w:t xml:space="preserve">uppmanade rådet </w:t>
      </w:r>
      <w:r>
        <w:t>kommissionen</w:t>
      </w:r>
      <w:r w:rsidRPr="00CD55A6">
        <w:t xml:space="preserve"> att </w:t>
      </w:r>
      <w:r>
        <w:t xml:space="preserve">analysera huruvida </w:t>
      </w:r>
      <w:r w:rsidRPr="00CD55A6">
        <w:t>den</w:t>
      </w:r>
      <w:r>
        <w:t xml:space="preserve"> s.k.</w:t>
      </w:r>
      <w:r w:rsidRPr="00CD55A6">
        <w:t xml:space="preserve"> </w:t>
      </w:r>
      <w:r w:rsidRPr="00BA7D32">
        <w:t>undantagsklausulen</w:t>
      </w:r>
      <w:r w:rsidRPr="00CD55A6">
        <w:t xml:space="preserve"> </w:t>
      </w:r>
      <w:r>
        <w:t>var tillämplig. Kommissionen</w:t>
      </w:r>
      <w:r w:rsidRPr="00CD55A6">
        <w:t xml:space="preserve"> </w:t>
      </w:r>
      <w:r>
        <w:t>meddelade vid två tillfällen under hösten 2012 att</w:t>
      </w:r>
      <w:r w:rsidRPr="00CD55A6">
        <w:t xml:space="preserve"> </w:t>
      </w:r>
      <w:r>
        <w:t xml:space="preserve">dess </w:t>
      </w:r>
      <w:r w:rsidRPr="00CD55A6">
        <w:t>analys</w:t>
      </w:r>
      <w:r>
        <w:t>er visat på att</w:t>
      </w:r>
      <w:r w:rsidRPr="00CD55A6">
        <w:t xml:space="preserve"> det inte </w:t>
      </w:r>
      <w:r>
        <w:t>har förelegat</w:t>
      </w:r>
      <w:r w:rsidRPr="00CD55A6">
        <w:t xml:space="preserve"> någon plötslig försämring av</w:t>
      </w:r>
      <w:r>
        <w:t xml:space="preserve"> det ekonomiska läget i unionen under mätperioden, och att </w:t>
      </w:r>
      <w:r w:rsidRPr="00E1702A">
        <w:rPr>
          <w:u w:val="single"/>
        </w:rPr>
        <w:t>undantagsklausulen</w:t>
      </w:r>
      <w:r w:rsidRPr="001C292D">
        <w:rPr>
          <w:u w:val="single"/>
        </w:rPr>
        <w:t xml:space="preserve"> därmed inte varit tillämplig</w:t>
      </w:r>
      <w:r>
        <w:t>.</w:t>
      </w:r>
      <w:bookmarkStart w:id="0" w:name="_GoBack"/>
      <w:bookmarkEnd w:id="0"/>
    </w:p>
    <w:p w:rsidR="00C50C86" w:rsidRDefault="00C50C86" w:rsidP="00891F9F">
      <w:pPr>
        <w:pStyle w:val="RK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18"/>
      </w:pPr>
    </w:p>
    <w:p w:rsidR="00C50C86" w:rsidRPr="00706FAB" w:rsidRDefault="00C50C86" w:rsidP="00891F9F">
      <w:pPr>
        <w:pStyle w:val="RK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18"/>
      </w:pPr>
      <w:r>
        <w:t xml:space="preserve">Vid behandlingen av frågan i Coreper I den 14 december avvisades kommissionens förslag då en kvalificerad majoritet av medlemsstaterna inte kunde stödja förslaget. </w:t>
      </w:r>
    </w:p>
    <w:p w:rsidR="00C50C86" w:rsidRDefault="00C50C86" w:rsidP="00891F9F">
      <w:pPr>
        <w:pStyle w:val="RKnormal"/>
        <w:rPr>
          <w:b/>
        </w:rPr>
      </w:pPr>
    </w:p>
    <w:sectPr w:rsidR="00C50C86" w:rsidSect="001A2D31">
      <w:headerReference w:type="default" r:id="rId6"/>
      <w:headerReference w:type="first" r:id="rId7"/>
      <w:pgSz w:w="11907" w:h="16840" w:code="9"/>
      <w:pgMar w:top="567" w:right="1701" w:bottom="1134" w:left="2835" w:header="720" w:footer="539" w:gutter="0"/>
      <w:cols w:space="720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C86" w:rsidRDefault="00C50C86" w:rsidP="00706E70">
      <w:r>
        <w:separator/>
      </w:r>
    </w:p>
  </w:endnote>
  <w:endnote w:type="continuationSeparator" w:id="0">
    <w:p w:rsidR="00C50C86" w:rsidRDefault="00C50C86" w:rsidP="00706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rigGarmnd BT">
    <w:altName w:val="Constant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C86" w:rsidRDefault="00C50C86" w:rsidP="00706E70">
      <w:r>
        <w:separator/>
      </w:r>
    </w:p>
  </w:footnote>
  <w:footnote w:type="continuationSeparator" w:id="0">
    <w:p w:rsidR="00C50C86" w:rsidRDefault="00C50C86" w:rsidP="00706E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C86" w:rsidRDefault="00C50C86">
    <w:pPr>
      <w:pStyle w:val="Head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50C86" w:rsidRDefault="00C50C86">
    <w:pPr>
      <w:pStyle w:val="Header"/>
      <w:ind w:right="360"/>
    </w:pPr>
  </w:p>
  <w:p w:rsidR="00C50C86" w:rsidRDefault="00C50C86">
    <w:pPr>
      <w:pStyle w:val="Header"/>
      <w:ind w:right="357" w:firstLine="35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C86" w:rsidRDefault="00C50C86">
    <w:pPr>
      <w:framePr w:w="2948" w:h="1321" w:hRule="exact" w:wrap="notBeside" w:vAnchor="page" w:hAnchor="page" w:x="1362" w:y="653"/>
    </w:pPr>
    <w:r w:rsidRPr="00E930F4">
      <w:rPr>
        <w:noProof/>
        <w:lang w:val="sv-SE" w:eastAsia="sv-S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objekt 1" o:spid="_x0000_i1026" type="#_x0000_t75" style="width:147pt;height:66.6pt;visibility:visible">
          <v:imagedata r:id="rId1" o:title=""/>
        </v:shape>
      </w:pict>
    </w:r>
  </w:p>
  <w:p w:rsidR="00C50C86" w:rsidRPr="008935BD" w:rsidRDefault="00C50C86">
    <w:pPr>
      <w:pStyle w:val="Header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F9F"/>
    <w:rsid w:val="00086F5C"/>
    <w:rsid w:val="000F448A"/>
    <w:rsid w:val="00124059"/>
    <w:rsid w:val="001A2D31"/>
    <w:rsid w:val="001C292D"/>
    <w:rsid w:val="001E12E1"/>
    <w:rsid w:val="00205CEB"/>
    <w:rsid w:val="00417B70"/>
    <w:rsid w:val="00532127"/>
    <w:rsid w:val="00533334"/>
    <w:rsid w:val="00706E70"/>
    <w:rsid w:val="00706FAB"/>
    <w:rsid w:val="00776EB2"/>
    <w:rsid w:val="00891F9F"/>
    <w:rsid w:val="008935BD"/>
    <w:rsid w:val="008B452F"/>
    <w:rsid w:val="00A336EB"/>
    <w:rsid w:val="00AC50DF"/>
    <w:rsid w:val="00BA7D32"/>
    <w:rsid w:val="00BC0255"/>
    <w:rsid w:val="00C50C86"/>
    <w:rsid w:val="00CD55A6"/>
    <w:rsid w:val="00CF0BE5"/>
    <w:rsid w:val="00DF32D2"/>
    <w:rsid w:val="00E1702A"/>
    <w:rsid w:val="00E930F4"/>
    <w:rsid w:val="00ED6AAC"/>
    <w:rsid w:val="00F042C8"/>
    <w:rsid w:val="00F80B81"/>
    <w:rsid w:val="00F85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F9F"/>
    <w:rPr>
      <w:rFonts w:ascii="Times New Roman" w:eastAsia="Times New Roman" w:hAnsi="Times New Roman"/>
      <w:sz w:val="20"/>
      <w:szCs w:val="20"/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86F5C"/>
    <w:pPr>
      <w:spacing w:before="122" w:line="245" w:lineRule="exact"/>
      <w:jc w:val="both"/>
    </w:pPr>
    <w:rPr>
      <w:rFonts w:ascii="Tahoma" w:hAnsi="Tahoma" w:cs="Tahoma"/>
      <w:sz w:val="16"/>
      <w:szCs w:val="16"/>
      <w:lang w:eastAsia="sv-S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6F5C"/>
    <w:rPr>
      <w:rFonts w:ascii="Tahoma" w:hAnsi="Tahoma" w:cs="Tahoma"/>
      <w:sz w:val="16"/>
      <w:szCs w:val="16"/>
      <w:lang w:eastAsia="sv-SE"/>
    </w:rPr>
  </w:style>
  <w:style w:type="paragraph" w:styleId="Header">
    <w:name w:val="header"/>
    <w:basedOn w:val="Normal"/>
    <w:link w:val="HeaderChar"/>
    <w:uiPriority w:val="99"/>
    <w:rsid w:val="00891F9F"/>
    <w:pPr>
      <w:tabs>
        <w:tab w:val="center" w:pos="4153"/>
        <w:tab w:val="right" w:pos="8306"/>
      </w:tabs>
      <w:spacing w:line="320" w:lineRule="atLeast"/>
    </w:pPr>
    <w:rPr>
      <w:rFonts w:ascii="OrigGarmnd BT" w:hAnsi="OrigGarmnd BT"/>
      <w:sz w:val="24"/>
      <w:lang w:val="sv-SE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91F9F"/>
    <w:rPr>
      <w:rFonts w:ascii="OrigGarmnd BT" w:hAnsi="OrigGarmnd BT" w:cs="Times New Roman"/>
      <w:sz w:val="20"/>
      <w:szCs w:val="20"/>
    </w:rPr>
  </w:style>
  <w:style w:type="paragraph" w:customStyle="1" w:styleId="RKnormal">
    <w:name w:val="RKnormal"/>
    <w:basedOn w:val="Normal"/>
    <w:uiPriority w:val="99"/>
    <w:rsid w:val="00891F9F"/>
    <w:pPr>
      <w:tabs>
        <w:tab w:val="left" w:pos="2835"/>
      </w:tabs>
      <w:spacing w:line="240" w:lineRule="atLeast"/>
    </w:pPr>
    <w:rPr>
      <w:rFonts w:ascii="OrigGarmnd BT" w:hAnsi="OrigGarmnd BT"/>
      <w:sz w:val="24"/>
      <w:lang w:val="sv-SE"/>
    </w:rPr>
  </w:style>
  <w:style w:type="character" w:styleId="PageNumber">
    <w:name w:val="page number"/>
    <w:basedOn w:val="DefaultParagraphFont"/>
    <w:uiPriority w:val="99"/>
    <w:rsid w:val="00891F9F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891F9F"/>
    <w:pPr>
      <w:overflowPunct w:val="0"/>
      <w:autoSpaceDE w:val="0"/>
      <w:autoSpaceDN w:val="0"/>
      <w:adjustRightInd w:val="0"/>
      <w:spacing w:line="320" w:lineRule="exact"/>
      <w:textAlignment w:val="baseline"/>
    </w:pPr>
    <w:rPr>
      <w:rFonts w:ascii="Garamond" w:hAnsi="Garamond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91F9F"/>
    <w:rPr>
      <w:rFonts w:ascii="Garamond" w:hAnsi="Garamond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320</Words>
  <Characters>1912</Characters>
  <Application>Microsoft Office Outlook</Application>
  <DocSecurity>0</DocSecurity>
  <Lines>0</Lines>
  <Paragraphs>0</Paragraphs>
  <ScaleCrop>false</ScaleCrop>
  <Company>Regeringskansliet RK IT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Rubrik: Förslag till rådets förordning om anpassning med verkan från och med den 1 juli 2012 av lönerna och pensionerna för tjänstemän och övriga anställda i Europeiska unionen och av de på dessa löner och pensioner tillämpliga korrigeringskoefficientern</dc:title>
  <dc:subject/>
  <dc:creator>Lina Törner</dc:creator>
  <cp:keywords/>
  <dc:description/>
  <cp:lastModifiedBy>ha0808ab</cp:lastModifiedBy>
  <cp:revision>2</cp:revision>
  <dcterms:created xsi:type="dcterms:W3CDTF">2012-12-17T18:00:00Z</dcterms:created>
  <dcterms:modified xsi:type="dcterms:W3CDTF">2012-12-17T18:00:00Z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0x01010053E1D612BA3F4E21AA250ECD751942B300E6E5CCA515A8684CB3C9296B1B387ABE</vt:lpwstr>
  </property>
  <property fmtid="{D5CDD505-2E9C-101B-9397-08002B2CF9AE}" pid="3" name="_dlc_DocIdItemGuid">
    <vt:lpwstr>5e89a040-bdbe-47fb-a23e-44e0c5f30d64</vt:lpwstr>
  </property>
  <property fmtid="{D5CDD505-2E9C-101B-9397-08002B2CF9AE}" pid="4" name="TaxCatchAll">
    <vt:lpwstr/>
  </property>
  <property fmtid="{D5CDD505-2E9C-101B-9397-08002B2CF9AE}" pid="5" name="Nyckelord">
    <vt:lpwstr/>
  </property>
  <property fmtid="{D5CDD505-2E9C-101B-9397-08002B2CF9AE}" pid="6" name="Diarienummer">
    <vt:lpwstr/>
  </property>
  <property fmtid="{D5CDD505-2E9C-101B-9397-08002B2CF9AE}" pid="7" name="c9cd366cc722410295b9eacffbd73909">
    <vt:lpwstr/>
  </property>
  <property fmtid="{D5CDD505-2E9C-101B-9397-08002B2CF9AE}" pid="8" name="Sekretess m.m.">
    <vt:lpwstr/>
  </property>
  <property fmtid="{D5CDD505-2E9C-101B-9397-08002B2CF9AE}" pid="9" name="k46d94c0acf84ab9a79866a9d8b1905f">
    <vt:lpwstr/>
  </property>
  <property fmtid="{D5CDD505-2E9C-101B-9397-08002B2CF9AE}" pid="10" name="_dlc_DocId">
    <vt:lpwstr>452YSHYUWUE4-5-1392</vt:lpwstr>
  </property>
  <property fmtid="{D5CDD505-2E9C-101B-9397-08002B2CF9AE}" pid="11" name="_dlc_DocIdUrl">
    <vt:lpwstr>http://rkdhs-s/enhet/esa/_layouts/DocIdRedir.aspx?ID=452YSHYUWUE4-5-1392, 452YSHYUWUE4-5-1392</vt:lpwstr>
  </property>
</Properties>
</file>