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DE1AB" w14:textId="77777777" w:rsidR="00FB32B9" w:rsidRDefault="004C16BA" w:rsidP="00FB32B9">
      <w:pPr>
        <w:pStyle w:val="UDrubrik"/>
        <w:tabs>
          <w:tab w:val="left" w:pos="1701"/>
          <w:tab w:val="left" w:pos="1985"/>
        </w:tabs>
        <w:rPr>
          <w:rFonts w:cs="Arial"/>
          <w:sz w:val="28"/>
        </w:rPr>
      </w:pPr>
      <w:bookmarkStart w:id="0" w:name="_GoBack"/>
      <w:bookmarkEnd w:id="0"/>
    </w:p>
    <w:p w14:paraId="44BDE1AC" w14:textId="77777777" w:rsidR="00FB32B9" w:rsidRDefault="004C16BA" w:rsidP="00FB32B9">
      <w:pPr>
        <w:pStyle w:val="UDrubrik"/>
        <w:tabs>
          <w:tab w:val="left" w:pos="1701"/>
          <w:tab w:val="left" w:pos="1985"/>
        </w:tabs>
        <w:rPr>
          <w:rFonts w:cs="Arial"/>
          <w:sz w:val="28"/>
        </w:rPr>
      </w:pPr>
    </w:p>
    <w:p w14:paraId="44BDE1AD" w14:textId="77777777" w:rsidR="00FB32B9" w:rsidRDefault="004C16BA" w:rsidP="00FB32B9">
      <w:pPr>
        <w:pStyle w:val="UDrubrik"/>
        <w:tabs>
          <w:tab w:val="left" w:pos="1701"/>
          <w:tab w:val="left" w:pos="1985"/>
        </w:tabs>
        <w:rPr>
          <w:rFonts w:cs="Arial"/>
          <w:sz w:val="28"/>
        </w:rPr>
      </w:pPr>
    </w:p>
    <w:p w14:paraId="44BDE1AE" w14:textId="77777777" w:rsidR="00FB32B9" w:rsidRDefault="004C16BA" w:rsidP="00FB32B9">
      <w:pPr>
        <w:pStyle w:val="UDrubrik"/>
        <w:tabs>
          <w:tab w:val="left" w:pos="1701"/>
          <w:tab w:val="left" w:pos="1985"/>
        </w:tabs>
        <w:rPr>
          <w:rFonts w:cs="Arial"/>
          <w:sz w:val="28"/>
        </w:rPr>
      </w:pPr>
    </w:p>
    <w:p w14:paraId="44BDE1AF" w14:textId="78055CD3" w:rsidR="00FB32B9" w:rsidRDefault="00C57F73" w:rsidP="00FB32B9">
      <w:pPr>
        <w:pStyle w:val="UDrubrik"/>
        <w:tabs>
          <w:tab w:val="left" w:pos="1701"/>
          <w:tab w:val="left" w:pos="1985"/>
        </w:tabs>
        <w:rPr>
          <w:rFonts w:cs="Arial"/>
          <w:sz w:val="28"/>
        </w:rPr>
      </w:pPr>
      <w:r>
        <w:rPr>
          <w:rFonts w:cs="Arial"/>
          <w:sz w:val="28"/>
        </w:rPr>
        <w:t xml:space="preserve">Troliga A-punkter inför kommande rådsmöten som förväntas godkännas vid Coreper I </w:t>
      </w:r>
      <w:r w:rsidR="004D18F9">
        <w:rPr>
          <w:rFonts w:cs="Arial"/>
          <w:sz w:val="28"/>
        </w:rPr>
        <w:t>onsdagen den 25 november 2015 vecka 48.</w:t>
      </w:r>
    </w:p>
    <w:p w14:paraId="44BDE1B0" w14:textId="77777777" w:rsidR="00FB32B9" w:rsidRDefault="004C16BA" w:rsidP="00FB32B9">
      <w:pPr>
        <w:pStyle w:val="Brdtext"/>
      </w:pPr>
    </w:p>
    <w:p w14:paraId="44BDE1B1" w14:textId="60EC06B8" w:rsidR="00FB32B9" w:rsidRDefault="00C57F73" w:rsidP="00FB32B9">
      <w:pPr>
        <w:pStyle w:val="Brdtext"/>
      </w:pPr>
      <w:r>
        <w:t xml:space="preserve">Överlämnas för skriftligt samråd till </w:t>
      </w:r>
      <w:r w:rsidR="004D18F9">
        <w:t>torsdagen den 26 november 2015, kl 08.30.</w:t>
      </w:r>
    </w:p>
    <w:p w14:paraId="44BDE1B2" w14:textId="77777777" w:rsidR="00FB32B9" w:rsidRDefault="00C57F73">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44BDE1B3" w14:textId="77777777" w:rsidR="00D957FB" w:rsidRPr="00FB32B9" w:rsidRDefault="00C57F73">
          <w:pPr>
            <w:pStyle w:val="Innehllsfrteckningsrubrik"/>
            <w:rPr>
              <w:color w:val="auto"/>
            </w:rPr>
          </w:pPr>
          <w:r w:rsidRPr="00FB32B9">
            <w:rPr>
              <w:color w:val="auto"/>
            </w:rPr>
            <w:t>Innehållsförteckning</w:t>
          </w:r>
        </w:p>
        <w:p w14:paraId="44BDE1B4" w14:textId="77777777" w:rsidR="00DA7250" w:rsidRPr="00DA7250" w:rsidRDefault="004C16BA" w:rsidP="00DA7250">
          <w:pPr>
            <w:rPr>
              <w:lang w:val="en-US" w:eastAsia="ja-JP"/>
            </w:rPr>
          </w:pPr>
        </w:p>
        <w:p w14:paraId="1D5FB8CE" w14:textId="77777777" w:rsidR="008549BE" w:rsidRDefault="00C57F73">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6209786" w:history="1">
            <w:r w:rsidR="008549BE" w:rsidRPr="006B633E">
              <w:rPr>
                <w:rStyle w:val="Hyperlnk"/>
                <w:noProof/>
              </w:rPr>
              <w:t>1.</w:t>
            </w:r>
            <w:r w:rsidR="008549BE">
              <w:rPr>
                <w:rFonts w:asciiTheme="minorHAnsi" w:eastAsiaTheme="minorEastAsia" w:hAnsiTheme="minorHAnsi" w:cstheme="minorBidi"/>
                <w:noProof/>
                <w:lang w:eastAsia="sv-SE"/>
              </w:rPr>
              <w:tab/>
            </w:r>
            <w:r w:rsidR="008549BE" w:rsidRPr="006B633E">
              <w:rPr>
                <w:rStyle w:val="Hyperlnk"/>
                <w:noProof/>
              </w:rPr>
              <w:t>Réponses aux questions écrites posées au Conseil par des membres du Parlement européen (+)</w:t>
            </w:r>
            <w:r w:rsidR="008549BE">
              <w:rPr>
                <w:noProof/>
                <w:webHidden/>
              </w:rPr>
              <w:tab/>
            </w:r>
            <w:r w:rsidR="008549BE">
              <w:rPr>
                <w:noProof/>
                <w:webHidden/>
              </w:rPr>
              <w:fldChar w:fldCharType="begin"/>
            </w:r>
            <w:r w:rsidR="008549BE">
              <w:rPr>
                <w:noProof/>
                <w:webHidden/>
              </w:rPr>
              <w:instrText xml:space="preserve"> PAGEREF _Toc436209786 \h </w:instrText>
            </w:r>
            <w:r w:rsidR="008549BE">
              <w:rPr>
                <w:noProof/>
                <w:webHidden/>
              </w:rPr>
            </w:r>
            <w:r w:rsidR="008549BE">
              <w:rPr>
                <w:noProof/>
                <w:webHidden/>
              </w:rPr>
              <w:fldChar w:fldCharType="separate"/>
            </w:r>
            <w:r w:rsidR="008549BE">
              <w:rPr>
                <w:noProof/>
                <w:webHidden/>
              </w:rPr>
              <w:t>3</w:t>
            </w:r>
            <w:r w:rsidR="008549BE">
              <w:rPr>
                <w:noProof/>
                <w:webHidden/>
              </w:rPr>
              <w:fldChar w:fldCharType="end"/>
            </w:r>
          </w:hyperlink>
        </w:p>
        <w:p w14:paraId="7C417A7E" w14:textId="77777777" w:rsidR="008549BE" w:rsidRDefault="004C16BA">
          <w:pPr>
            <w:pStyle w:val="Innehll1"/>
            <w:tabs>
              <w:tab w:val="left" w:pos="440"/>
              <w:tab w:val="right" w:leader="dot" w:pos="9062"/>
            </w:tabs>
            <w:rPr>
              <w:rFonts w:asciiTheme="minorHAnsi" w:eastAsiaTheme="minorEastAsia" w:hAnsiTheme="minorHAnsi" w:cstheme="minorBidi"/>
              <w:noProof/>
              <w:lang w:eastAsia="sv-SE"/>
            </w:rPr>
          </w:pPr>
          <w:hyperlink w:anchor="_Toc436209787" w:history="1">
            <w:r w:rsidR="008549BE" w:rsidRPr="006B633E">
              <w:rPr>
                <w:rStyle w:val="Hyperlnk"/>
                <w:noProof/>
              </w:rPr>
              <w:t>2.</w:t>
            </w:r>
            <w:r w:rsidR="008549BE">
              <w:rPr>
                <w:rFonts w:asciiTheme="minorHAnsi" w:eastAsiaTheme="minorEastAsia" w:hAnsiTheme="minorHAnsi" w:cstheme="minorBidi"/>
                <w:noProof/>
                <w:lang w:eastAsia="sv-SE"/>
              </w:rPr>
              <w:tab/>
            </w:r>
            <w:r w:rsidR="008549BE" w:rsidRPr="006B633E">
              <w:rPr>
                <w:rStyle w:val="Hyperlnk"/>
                <w:noProof/>
              </w:rPr>
              <w:t>Arrêt de la Cour de Justice (Grand Chambre) du 6 octobre 2015 dans l'affaire ITLOS (C 73/14)</w:t>
            </w:r>
            <w:r w:rsidR="008549BE">
              <w:rPr>
                <w:noProof/>
                <w:webHidden/>
              </w:rPr>
              <w:tab/>
            </w:r>
            <w:r w:rsidR="008549BE">
              <w:rPr>
                <w:noProof/>
                <w:webHidden/>
              </w:rPr>
              <w:fldChar w:fldCharType="begin"/>
            </w:r>
            <w:r w:rsidR="008549BE">
              <w:rPr>
                <w:noProof/>
                <w:webHidden/>
              </w:rPr>
              <w:instrText xml:space="preserve"> PAGEREF _Toc436209787 \h </w:instrText>
            </w:r>
            <w:r w:rsidR="008549BE">
              <w:rPr>
                <w:noProof/>
                <w:webHidden/>
              </w:rPr>
            </w:r>
            <w:r w:rsidR="008549BE">
              <w:rPr>
                <w:noProof/>
                <w:webHidden/>
              </w:rPr>
              <w:fldChar w:fldCharType="separate"/>
            </w:r>
            <w:r w:rsidR="008549BE">
              <w:rPr>
                <w:noProof/>
                <w:webHidden/>
              </w:rPr>
              <w:t>3</w:t>
            </w:r>
            <w:r w:rsidR="008549BE">
              <w:rPr>
                <w:noProof/>
                <w:webHidden/>
              </w:rPr>
              <w:fldChar w:fldCharType="end"/>
            </w:r>
          </w:hyperlink>
        </w:p>
        <w:p w14:paraId="770534CC" w14:textId="77777777" w:rsidR="008549BE" w:rsidRDefault="004C16BA">
          <w:pPr>
            <w:pStyle w:val="Innehll1"/>
            <w:tabs>
              <w:tab w:val="left" w:pos="440"/>
              <w:tab w:val="right" w:leader="dot" w:pos="9062"/>
            </w:tabs>
            <w:rPr>
              <w:rFonts w:asciiTheme="minorHAnsi" w:eastAsiaTheme="minorEastAsia" w:hAnsiTheme="minorHAnsi" w:cstheme="minorBidi"/>
              <w:noProof/>
              <w:lang w:eastAsia="sv-SE"/>
            </w:rPr>
          </w:pPr>
          <w:hyperlink w:anchor="_Toc436209788" w:history="1">
            <w:r w:rsidR="008549BE" w:rsidRPr="006B633E">
              <w:rPr>
                <w:rStyle w:val="Hyperlnk"/>
                <w:noProof/>
              </w:rPr>
              <w:t>3.</w:t>
            </w:r>
            <w:r w:rsidR="008549BE">
              <w:rPr>
                <w:rFonts w:asciiTheme="minorHAnsi" w:eastAsiaTheme="minorEastAsia" w:hAnsiTheme="minorHAnsi" w:cstheme="minorBidi"/>
                <w:noProof/>
                <w:lang w:eastAsia="sv-SE"/>
              </w:rPr>
              <w:tab/>
            </w:r>
            <w:r w:rsidR="008549BE" w:rsidRPr="006B633E">
              <w:rPr>
                <w:rStyle w:val="Hyperlnk"/>
                <w:noProof/>
              </w:rPr>
              <w:t>Règlement (UE) …/… de la Commission du XXX modifiant l’annexe I du règlement (CE) nº 1334/2008 du Parlement européen et du Conseil en ce qui concerne l'ajout de la substance gamma-glutamyl-valyl-glycine à la liste de l’Union des substances aromatisantes</w:t>
            </w:r>
            <w:r w:rsidR="008549BE">
              <w:rPr>
                <w:noProof/>
                <w:webHidden/>
              </w:rPr>
              <w:tab/>
            </w:r>
            <w:r w:rsidR="008549BE">
              <w:rPr>
                <w:noProof/>
                <w:webHidden/>
              </w:rPr>
              <w:fldChar w:fldCharType="begin"/>
            </w:r>
            <w:r w:rsidR="008549BE">
              <w:rPr>
                <w:noProof/>
                <w:webHidden/>
              </w:rPr>
              <w:instrText xml:space="preserve"> PAGEREF _Toc436209788 \h </w:instrText>
            </w:r>
            <w:r w:rsidR="008549BE">
              <w:rPr>
                <w:noProof/>
                <w:webHidden/>
              </w:rPr>
            </w:r>
            <w:r w:rsidR="008549BE">
              <w:rPr>
                <w:noProof/>
                <w:webHidden/>
              </w:rPr>
              <w:fldChar w:fldCharType="separate"/>
            </w:r>
            <w:r w:rsidR="008549BE">
              <w:rPr>
                <w:noProof/>
                <w:webHidden/>
              </w:rPr>
              <w:t>4</w:t>
            </w:r>
            <w:r w:rsidR="008549BE">
              <w:rPr>
                <w:noProof/>
                <w:webHidden/>
              </w:rPr>
              <w:fldChar w:fldCharType="end"/>
            </w:r>
          </w:hyperlink>
        </w:p>
        <w:p w14:paraId="1DC76E12" w14:textId="77777777" w:rsidR="008549BE" w:rsidRDefault="004C16BA">
          <w:pPr>
            <w:pStyle w:val="Innehll1"/>
            <w:tabs>
              <w:tab w:val="left" w:pos="440"/>
              <w:tab w:val="right" w:leader="dot" w:pos="9062"/>
            </w:tabs>
            <w:rPr>
              <w:rFonts w:asciiTheme="minorHAnsi" w:eastAsiaTheme="minorEastAsia" w:hAnsiTheme="minorHAnsi" w:cstheme="minorBidi"/>
              <w:noProof/>
              <w:lang w:eastAsia="sv-SE"/>
            </w:rPr>
          </w:pPr>
          <w:hyperlink w:anchor="_Toc436209789" w:history="1">
            <w:r w:rsidR="008549BE" w:rsidRPr="006B633E">
              <w:rPr>
                <w:rStyle w:val="Hyperlnk"/>
                <w:noProof/>
              </w:rPr>
              <w:t>4.</w:t>
            </w:r>
            <w:r w:rsidR="008549BE">
              <w:rPr>
                <w:rFonts w:asciiTheme="minorHAnsi" w:eastAsiaTheme="minorEastAsia" w:hAnsiTheme="minorHAnsi" w:cstheme="minorBidi"/>
                <w:noProof/>
                <w:lang w:eastAsia="sv-SE"/>
              </w:rPr>
              <w:tab/>
            </w:r>
            <w:r w:rsidR="008549BE" w:rsidRPr="006B633E">
              <w:rPr>
                <w:rStyle w:val="Hyperlnk"/>
                <w:noProof/>
              </w:rPr>
              <w:t>Règlement (UE) …/… de la Commission du XXX modifiant l'annexe II du règlement (CE) nº 1333/2008 du Parlement européen et du Conseil en ce qui concerne l'utilisation d'extraits de romarin (E 392) dans les matières grasses tartinables</w:t>
            </w:r>
            <w:r w:rsidR="008549BE">
              <w:rPr>
                <w:noProof/>
                <w:webHidden/>
              </w:rPr>
              <w:tab/>
            </w:r>
            <w:r w:rsidR="008549BE">
              <w:rPr>
                <w:noProof/>
                <w:webHidden/>
              </w:rPr>
              <w:fldChar w:fldCharType="begin"/>
            </w:r>
            <w:r w:rsidR="008549BE">
              <w:rPr>
                <w:noProof/>
                <w:webHidden/>
              </w:rPr>
              <w:instrText xml:space="preserve"> PAGEREF _Toc436209789 \h </w:instrText>
            </w:r>
            <w:r w:rsidR="008549BE">
              <w:rPr>
                <w:noProof/>
                <w:webHidden/>
              </w:rPr>
            </w:r>
            <w:r w:rsidR="008549BE">
              <w:rPr>
                <w:noProof/>
                <w:webHidden/>
              </w:rPr>
              <w:fldChar w:fldCharType="separate"/>
            </w:r>
            <w:r w:rsidR="008549BE">
              <w:rPr>
                <w:noProof/>
                <w:webHidden/>
              </w:rPr>
              <w:t>4</w:t>
            </w:r>
            <w:r w:rsidR="008549BE">
              <w:rPr>
                <w:noProof/>
                <w:webHidden/>
              </w:rPr>
              <w:fldChar w:fldCharType="end"/>
            </w:r>
          </w:hyperlink>
        </w:p>
        <w:p w14:paraId="06D67B0A" w14:textId="77777777" w:rsidR="008549BE" w:rsidRDefault="004C16BA">
          <w:pPr>
            <w:pStyle w:val="Innehll1"/>
            <w:tabs>
              <w:tab w:val="left" w:pos="440"/>
              <w:tab w:val="right" w:leader="dot" w:pos="9062"/>
            </w:tabs>
            <w:rPr>
              <w:rFonts w:asciiTheme="minorHAnsi" w:eastAsiaTheme="minorEastAsia" w:hAnsiTheme="minorHAnsi" w:cstheme="minorBidi"/>
              <w:noProof/>
              <w:lang w:eastAsia="sv-SE"/>
            </w:rPr>
          </w:pPr>
          <w:hyperlink w:anchor="_Toc436209790" w:history="1">
            <w:r w:rsidR="008549BE" w:rsidRPr="006B633E">
              <w:rPr>
                <w:rStyle w:val="Hyperlnk"/>
                <w:noProof/>
              </w:rPr>
              <w:t>5.</w:t>
            </w:r>
            <w:r w:rsidR="008549BE">
              <w:rPr>
                <w:rFonts w:asciiTheme="minorHAnsi" w:eastAsiaTheme="minorEastAsia" w:hAnsiTheme="minorHAnsi" w:cstheme="minorBidi"/>
                <w:noProof/>
                <w:lang w:eastAsia="sv-SE"/>
              </w:rPr>
              <w:tab/>
            </w:r>
            <w:r w:rsidR="008549BE" w:rsidRPr="006B633E">
              <w:rPr>
                <w:rStyle w:val="Hyperlnk"/>
                <w:noProof/>
              </w:rPr>
              <w:t>Règlement délégué (UE) …/… de la Commission du 12.10.2015 révisant les valeurs harmonisées de rendement de référence pour la production séparée d’électricité et de chaleur en application de la directive 2012/27/UE du Parlement européen et du Conseil et abrogeant la décision d'exécution 2011/877/UE de la Commission</w:t>
            </w:r>
            <w:r w:rsidR="008549BE">
              <w:rPr>
                <w:noProof/>
                <w:webHidden/>
              </w:rPr>
              <w:tab/>
            </w:r>
            <w:r w:rsidR="008549BE">
              <w:rPr>
                <w:noProof/>
                <w:webHidden/>
              </w:rPr>
              <w:fldChar w:fldCharType="begin"/>
            </w:r>
            <w:r w:rsidR="008549BE">
              <w:rPr>
                <w:noProof/>
                <w:webHidden/>
              </w:rPr>
              <w:instrText xml:space="preserve"> PAGEREF _Toc436209790 \h </w:instrText>
            </w:r>
            <w:r w:rsidR="008549BE">
              <w:rPr>
                <w:noProof/>
                <w:webHidden/>
              </w:rPr>
            </w:r>
            <w:r w:rsidR="008549BE">
              <w:rPr>
                <w:noProof/>
                <w:webHidden/>
              </w:rPr>
              <w:fldChar w:fldCharType="separate"/>
            </w:r>
            <w:r w:rsidR="008549BE">
              <w:rPr>
                <w:noProof/>
                <w:webHidden/>
              </w:rPr>
              <w:t>4</w:t>
            </w:r>
            <w:r w:rsidR="008549BE">
              <w:rPr>
                <w:noProof/>
                <w:webHidden/>
              </w:rPr>
              <w:fldChar w:fldCharType="end"/>
            </w:r>
          </w:hyperlink>
        </w:p>
        <w:p w14:paraId="6D3AE195" w14:textId="77777777" w:rsidR="008549BE" w:rsidRDefault="004C16BA">
          <w:pPr>
            <w:pStyle w:val="Innehll1"/>
            <w:tabs>
              <w:tab w:val="left" w:pos="440"/>
              <w:tab w:val="right" w:leader="dot" w:pos="9062"/>
            </w:tabs>
            <w:rPr>
              <w:rFonts w:asciiTheme="minorHAnsi" w:eastAsiaTheme="minorEastAsia" w:hAnsiTheme="minorHAnsi" w:cstheme="minorBidi"/>
              <w:noProof/>
              <w:lang w:eastAsia="sv-SE"/>
            </w:rPr>
          </w:pPr>
          <w:hyperlink w:anchor="_Toc436209791" w:history="1">
            <w:r w:rsidR="008549BE" w:rsidRPr="006B633E">
              <w:rPr>
                <w:rStyle w:val="Hyperlnk"/>
                <w:noProof/>
              </w:rPr>
              <w:t>6.</w:t>
            </w:r>
            <w:r w:rsidR="008549BE">
              <w:rPr>
                <w:rFonts w:asciiTheme="minorHAnsi" w:eastAsiaTheme="minorEastAsia" w:hAnsiTheme="minorHAnsi" w:cstheme="minorBidi"/>
                <w:noProof/>
                <w:lang w:eastAsia="sv-SE"/>
              </w:rPr>
              <w:tab/>
            </w:r>
            <w:r w:rsidR="008549BE" w:rsidRPr="006B633E">
              <w:rPr>
                <w:rStyle w:val="Hyperlnk"/>
                <w:noProof/>
              </w:rPr>
              <w:t>Projet décision du Conseil relative à la position au sujet de la décision n° 1/2015 à prendre au nom de l'Union européenne au sein du Comité mixte vétérinaire institué par l'accord entre la Communauté européenne et la Confédération suisse relatif aux échanges de produits agricoles, concernant la modification des appendices 1, 2, 3, 4, 5, 6, 7, 10 et 11 de l'annexe 11</w:t>
            </w:r>
            <w:r w:rsidR="008549BE">
              <w:rPr>
                <w:noProof/>
                <w:webHidden/>
              </w:rPr>
              <w:tab/>
            </w:r>
            <w:r w:rsidR="008549BE">
              <w:rPr>
                <w:noProof/>
                <w:webHidden/>
              </w:rPr>
              <w:fldChar w:fldCharType="begin"/>
            </w:r>
            <w:r w:rsidR="008549BE">
              <w:rPr>
                <w:noProof/>
                <w:webHidden/>
              </w:rPr>
              <w:instrText xml:space="preserve"> PAGEREF _Toc436209791 \h </w:instrText>
            </w:r>
            <w:r w:rsidR="008549BE">
              <w:rPr>
                <w:noProof/>
                <w:webHidden/>
              </w:rPr>
            </w:r>
            <w:r w:rsidR="008549BE">
              <w:rPr>
                <w:noProof/>
                <w:webHidden/>
              </w:rPr>
              <w:fldChar w:fldCharType="separate"/>
            </w:r>
            <w:r w:rsidR="008549BE">
              <w:rPr>
                <w:noProof/>
                <w:webHidden/>
              </w:rPr>
              <w:t>5</w:t>
            </w:r>
            <w:r w:rsidR="008549BE">
              <w:rPr>
                <w:noProof/>
                <w:webHidden/>
              </w:rPr>
              <w:fldChar w:fldCharType="end"/>
            </w:r>
          </w:hyperlink>
        </w:p>
        <w:p w14:paraId="06ECFEC1" w14:textId="77777777" w:rsidR="008549BE" w:rsidRDefault="004C16BA">
          <w:pPr>
            <w:pStyle w:val="Innehll1"/>
            <w:tabs>
              <w:tab w:val="left" w:pos="440"/>
              <w:tab w:val="right" w:leader="dot" w:pos="9062"/>
            </w:tabs>
            <w:rPr>
              <w:rFonts w:asciiTheme="minorHAnsi" w:eastAsiaTheme="minorEastAsia" w:hAnsiTheme="minorHAnsi" w:cstheme="minorBidi"/>
              <w:noProof/>
              <w:lang w:eastAsia="sv-SE"/>
            </w:rPr>
          </w:pPr>
          <w:hyperlink w:anchor="_Toc436209792" w:history="1">
            <w:r w:rsidR="008549BE" w:rsidRPr="006B633E">
              <w:rPr>
                <w:rStyle w:val="Hyperlnk"/>
                <w:noProof/>
              </w:rPr>
              <w:t>7.</w:t>
            </w:r>
            <w:r w:rsidR="008549BE">
              <w:rPr>
                <w:rFonts w:asciiTheme="minorHAnsi" w:eastAsiaTheme="minorEastAsia" w:hAnsiTheme="minorHAnsi" w:cstheme="minorBidi"/>
                <w:noProof/>
                <w:lang w:eastAsia="sv-SE"/>
              </w:rPr>
              <w:tab/>
            </w:r>
            <w:r w:rsidR="008549BE" w:rsidRPr="006B633E">
              <w:rPr>
                <w:rStyle w:val="Hyperlnk"/>
                <w:noProof/>
              </w:rPr>
              <w:t>Déclaration entre l'Union européenne et le Royaume de Bhoutan sur la coopération en matière de changements climatiques</w:t>
            </w:r>
            <w:r w:rsidR="008549BE">
              <w:rPr>
                <w:noProof/>
                <w:webHidden/>
              </w:rPr>
              <w:tab/>
            </w:r>
            <w:r w:rsidR="008549BE">
              <w:rPr>
                <w:noProof/>
                <w:webHidden/>
              </w:rPr>
              <w:fldChar w:fldCharType="begin"/>
            </w:r>
            <w:r w:rsidR="008549BE">
              <w:rPr>
                <w:noProof/>
                <w:webHidden/>
              </w:rPr>
              <w:instrText xml:space="preserve"> PAGEREF _Toc436209792 \h </w:instrText>
            </w:r>
            <w:r w:rsidR="008549BE">
              <w:rPr>
                <w:noProof/>
                <w:webHidden/>
              </w:rPr>
            </w:r>
            <w:r w:rsidR="008549BE">
              <w:rPr>
                <w:noProof/>
                <w:webHidden/>
              </w:rPr>
              <w:fldChar w:fldCharType="separate"/>
            </w:r>
            <w:r w:rsidR="008549BE">
              <w:rPr>
                <w:noProof/>
                <w:webHidden/>
              </w:rPr>
              <w:t>5</w:t>
            </w:r>
            <w:r w:rsidR="008549BE">
              <w:rPr>
                <w:noProof/>
                <w:webHidden/>
              </w:rPr>
              <w:fldChar w:fldCharType="end"/>
            </w:r>
          </w:hyperlink>
        </w:p>
        <w:p w14:paraId="44BDE1BB" w14:textId="77777777" w:rsidR="00D957FB" w:rsidRDefault="00C57F73">
          <w:r>
            <w:rPr>
              <w:b/>
              <w:bCs/>
              <w:noProof/>
            </w:rPr>
            <w:fldChar w:fldCharType="end"/>
          </w:r>
        </w:p>
      </w:sdtContent>
    </w:sdt>
    <w:p w14:paraId="44BDE1BC" w14:textId="77777777" w:rsidR="00D957FB" w:rsidRDefault="00C57F73">
      <w:pPr>
        <w:ind w:left="0"/>
      </w:pPr>
      <w:r>
        <w:br w:type="page"/>
      </w:r>
    </w:p>
    <w:p w14:paraId="44BDE1BD" w14:textId="77777777" w:rsidR="00643D86" w:rsidRDefault="004C16BA" w:rsidP="00643D86">
      <w:pPr>
        <w:pStyle w:val="Rubrik1"/>
        <w:numPr>
          <w:ilvl w:val="0"/>
          <w:numId w:val="0"/>
        </w:numPr>
      </w:pPr>
      <w:bookmarkStart w:id="1" w:name="_Toc364854645"/>
    </w:p>
    <w:p w14:paraId="44BDE1BE" w14:textId="77777777" w:rsidR="00643D86" w:rsidRPr="00A57A61" w:rsidRDefault="00C57F73" w:rsidP="00643D86">
      <w:pPr>
        <w:pStyle w:val="Rubrik1"/>
        <w:rPr>
          <w:lang w:val="en-US"/>
        </w:rPr>
      </w:pPr>
      <w:bookmarkStart w:id="2" w:name="_Toc436209786"/>
      <w:r w:rsidRPr="00A57A61">
        <w:rPr>
          <w:noProof/>
          <w:lang w:val="en-US"/>
        </w:rPr>
        <w:t>Réponses aux questions écrites posées au Conseil par des membres du Parlement européen (+)</w:t>
      </w:r>
      <w:bookmarkEnd w:id="2"/>
    </w:p>
    <w:p w14:paraId="44BDE1BF" w14:textId="31946AA1" w:rsidR="00643D86" w:rsidRPr="004D18F9" w:rsidRDefault="00C57F73" w:rsidP="004D18F9">
      <w:pPr>
        <w:pStyle w:val="Liststycke"/>
        <w:numPr>
          <w:ilvl w:val="0"/>
          <w:numId w:val="3"/>
        </w:numPr>
        <w:rPr>
          <w:lang w:val="en-US"/>
        </w:rPr>
      </w:pPr>
      <w:r w:rsidRPr="004D18F9">
        <w:rPr>
          <w:lang w:val="en-US"/>
        </w:rPr>
        <w:t xml:space="preserve">E-008880/2015 - Geoffrey Van </w:t>
      </w:r>
      <w:proofErr w:type="spellStart"/>
      <w:r w:rsidRPr="004D18F9">
        <w:rPr>
          <w:lang w:val="en-US"/>
        </w:rPr>
        <w:t>Orden</w:t>
      </w:r>
      <w:proofErr w:type="spellEnd"/>
      <w:r w:rsidRPr="004D18F9">
        <w:rPr>
          <w:lang w:val="en-US"/>
        </w:rPr>
        <w:t xml:space="preserve"> (ECR) Proposed operation in the Mediterranean</w:t>
      </w:r>
      <w:r w:rsidR="004D18F9">
        <w:rPr>
          <w:lang w:val="en-US"/>
        </w:rPr>
        <w:t xml:space="preserve"> </w:t>
      </w:r>
      <w:r w:rsidR="004D18F9">
        <w:rPr>
          <w:lang w:val="en-US"/>
        </w:rPr>
        <w:br/>
      </w:r>
      <w:r w:rsidRPr="004D18F9">
        <w:rPr>
          <w:lang w:val="en-US"/>
        </w:rPr>
        <w:t>b)</w:t>
      </w:r>
      <w:r w:rsidR="004D18F9">
        <w:rPr>
          <w:lang w:val="en-US"/>
        </w:rPr>
        <w:t xml:space="preserve"> </w:t>
      </w:r>
      <w:r w:rsidRPr="004D18F9">
        <w:rPr>
          <w:lang w:val="en-US"/>
        </w:rPr>
        <w:t>E-012011/2015 - Julie Ward (</w:t>
      </w:r>
      <w:proofErr w:type="spellStart"/>
      <w:r w:rsidRPr="004D18F9">
        <w:rPr>
          <w:lang w:val="en-US"/>
        </w:rPr>
        <w:t>S&amp;amp;D</w:t>
      </w:r>
      <w:proofErr w:type="spellEnd"/>
      <w:r w:rsidRPr="004D18F9">
        <w:rPr>
          <w:lang w:val="en-US"/>
        </w:rPr>
        <w:t xml:space="preserve">) Accountability for the destruction of EU-funded humanitarian infrastructure, including in </w:t>
      </w:r>
      <w:proofErr w:type="spellStart"/>
      <w:r w:rsidRPr="004D18F9">
        <w:rPr>
          <w:lang w:val="en-US"/>
        </w:rPr>
        <w:t>Susiya</w:t>
      </w:r>
      <w:proofErr w:type="spellEnd"/>
      <w:r w:rsidR="004D18F9">
        <w:rPr>
          <w:lang w:val="en-US"/>
        </w:rPr>
        <w:br/>
      </w:r>
      <w:r w:rsidRPr="004D18F9">
        <w:rPr>
          <w:lang w:val="en-US"/>
        </w:rPr>
        <w:t>c)</w:t>
      </w:r>
      <w:r w:rsidR="004D18F9">
        <w:rPr>
          <w:lang w:val="en-US"/>
        </w:rPr>
        <w:t xml:space="preserve"> </w:t>
      </w:r>
      <w:r w:rsidRPr="004D18F9">
        <w:rPr>
          <w:lang w:val="en-US"/>
        </w:rPr>
        <w:t>E-012293/2015 - David Casa (PPE) Clamping down on corruption in China</w:t>
      </w:r>
      <w:r w:rsidR="004D18F9">
        <w:rPr>
          <w:lang w:val="en-US"/>
        </w:rPr>
        <w:br/>
      </w:r>
      <w:r w:rsidRPr="004D18F9">
        <w:rPr>
          <w:lang w:val="en-US"/>
        </w:rPr>
        <w:t xml:space="preserve">d)E-012716/2015 - </w:t>
      </w:r>
      <w:proofErr w:type="spellStart"/>
      <w:r w:rsidRPr="004D18F9">
        <w:rPr>
          <w:lang w:val="en-US"/>
        </w:rPr>
        <w:t>Vilija</w:t>
      </w:r>
      <w:proofErr w:type="spellEnd"/>
      <w:r w:rsidRPr="004D18F9">
        <w:rPr>
          <w:lang w:val="en-US"/>
        </w:rPr>
        <w:t xml:space="preserve"> </w:t>
      </w:r>
      <w:proofErr w:type="spellStart"/>
      <w:r w:rsidRPr="004D18F9">
        <w:rPr>
          <w:lang w:val="en-US"/>
        </w:rPr>
        <w:t>Blinkevičiūtė</w:t>
      </w:r>
      <w:proofErr w:type="spellEnd"/>
      <w:r w:rsidRPr="004D18F9">
        <w:rPr>
          <w:lang w:val="en-US"/>
        </w:rPr>
        <w:t xml:space="preserve"> (</w:t>
      </w:r>
      <w:proofErr w:type="spellStart"/>
      <w:r w:rsidRPr="004D18F9">
        <w:rPr>
          <w:lang w:val="en-US"/>
        </w:rPr>
        <w:t>S&amp;amp;D</w:t>
      </w:r>
      <w:proofErr w:type="spellEnd"/>
      <w:r w:rsidRPr="004D18F9">
        <w:rPr>
          <w:lang w:val="en-US"/>
        </w:rPr>
        <w:t>) Digital literacy</w:t>
      </w:r>
      <w:r w:rsidR="004D18F9">
        <w:rPr>
          <w:lang w:val="en-US"/>
        </w:rPr>
        <w:br/>
      </w:r>
      <w:r w:rsidRPr="004D18F9">
        <w:rPr>
          <w:lang w:val="en-US"/>
        </w:rPr>
        <w:t>e)</w:t>
      </w:r>
      <w:r w:rsidR="004D18F9">
        <w:rPr>
          <w:lang w:val="en-US"/>
        </w:rPr>
        <w:t xml:space="preserve"> </w:t>
      </w:r>
      <w:r w:rsidRPr="004D18F9">
        <w:rPr>
          <w:lang w:val="en-US"/>
        </w:rPr>
        <w:t xml:space="preserve">E-012852/2015 - Kostas </w:t>
      </w:r>
      <w:proofErr w:type="spellStart"/>
      <w:r w:rsidRPr="004D18F9">
        <w:rPr>
          <w:lang w:val="en-US"/>
        </w:rPr>
        <w:t>Chrysogonos</w:t>
      </w:r>
      <w:proofErr w:type="spellEnd"/>
      <w:r w:rsidRPr="004D18F9">
        <w:rPr>
          <w:lang w:val="en-US"/>
        </w:rPr>
        <w:t xml:space="preserve"> (GUE/NGL) European unemployment benefit</w:t>
      </w:r>
      <w:r w:rsidR="004D18F9">
        <w:rPr>
          <w:lang w:val="en-US"/>
        </w:rPr>
        <w:br/>
      </w:r>
      <w:r w:rsidRPr="004D18F9">
        <w:rPr>
          <w:lang w:val="en-US"/>
        </w:rPr>
        <w:t>f)</w:t>
      </w:r>
      <w:r w:rsidR="004D18F9">
        <w:rPr>
          <w:lang w:val="en-US"/>
        </w:rPr>
        <w:t xml:space="preserve"> </w:t>
      </w:r>
      <w:r w:rsidRPr="004D18F9">
        <w:rPr>
          <w:lang w:val="en-US"/>
        </w:rPr>
        <w:t>E-013266/2015 - Bogdan Andrzej Zdrojewski (PPE) Regulation on the use of drones for civil purposes</w:t>
      </w:r>
      <w:r w:rsidR="004D18F9">
        <w:rPr>
          <w:lang w:val="en-US"/>
        </w:rPr>
        <w:br/>
      </w:r>
      <w:r w:rsidRPr="004D18F9">
        <w:rPr>
          <w:lang w:val="en-US"/>
        </w:rPr>
        <w:t xml:space="preserve">g)E-013595/2015 - </w:t>
      </w:r>
      <w:proofErr w:type="spellStart"/>
      <w:r w:rsidRPr="004D18F9">
        <w:rPr>
          <w:lang w:val="en-US"/>
        </w:rPr>
        <w:t>Takis</w:t>
      </w:r>
      <w:proofErr w:type="spellEnd"/>
      <w:r w:rsidRPr="004D18F9">
        <w:rPr>
          <w:lang w:val="en-US"/>
        </w:rPr>
        <w:t xml:space="preserve"> </w:t>
      </w:r>
      <w:proofErr w:type="spellStart"/>
      <w:r w:rsidRPr="004D18F9">
        <w:rPr>
          <w:lang w:val="en-US"/>
        </w:rPr>
        <w:t>Hadjigeorgiou</w:t>
      </w:r>
      <w:proofErr w:type="spellEnd"/>
      <w:r w:rsidRPr="004D18F9">
        <w:rPr>
          <w:lang w:val="en-US"/>
        </w:rPr>
        <w:t xml:space="preserve"> (GUE/NGL) Common European unemployment fund and insurance</w:t>
      </w:r>
      <w:r w:rsidRPr="004D18F9">
        <w:rPr>
          <w:lang w:val="en-US"/>
        </w:rPr>
        <w:br/>
      </w:r>
      <w:r w:rsidRPr="004D18F9">
        <w:rPr>
          <w:noProof/>
          <w:lang w:val="en-US"/>
        </w:rPr>
        <w:t>13487</w:t>
      </w:r>
      <w:r w:rsidRPr="004D18F9">
        <w:rPr>
          <w:lang w:val="en-US"/>
        </w:rPr>
        <w:t>/15 PE-QE 540 13626/15 PE-QE 545 13488/15 PE-QE 541 13639/15 PE-QE 546 13642/15 PE-QE 547 13644/15 PE-QE 548 13567/15 PE-QE 543</w:t>
      </w:r>
    </w:p>
    <w:p w14:paraId="44BDE1C0" w14:textId="77777777" w:rsidR="00643D86" w:rsidRDefault="00C57F73" w:rsidP="00643D86">
      <w:r>
        <w:rPr>
          <w:b/>
        </w:rPr>
        <w:t>Ansvarigt statsråd</w:t>
      </w:r>
      <w:r>
        <w:rPr>
          <w:b/>
        </w:rPr>
        <w:br/>
      </w:r>
      <w:r>
        <w:rPr>
          <w:noProof/>
        </w:rPr>
        <w:t>Stefan Löfven</w:t>
      </w:r>
    </w:p>
    <w:p w14:paraId="44BDE1C3" w14:textId="77777777" w:rsidR="00643D86" w:rsidRDefault="00C57F73" w:rsidP="00643D86">
      <w:r w:rsidRPr="00B44CE2">
        <w:rPr>
          <w:b/>
        </w:rPr>
        <w:t>Annotering</w:t>
      </w:r>
      <w:r>
        <w:rPr>
          <w:b/>
        </w:rPr>
        <w:br/>
      </w:r>
      <w:r>
        <w:t>Föranleder ingen annotering.</w:t>
      </w:r>
    </w:p>
    <w:p w14:paraId="44BDE1C4" w14:textId="77777777" w:rsidR="00643D86" w:rsidRPr="00A57A61" w:rsidRDefault="00C57F73" w:rsidP="00643D86">
      <w:pPr>
        <w:pStyle w:val="Rubrik1"/>
        <w:rPr>
          <w:lang w:val="en-US"/>
        </w:rPr>
      </w:pPr>
      <w:bookmarkStart w:id="3" w:name="_Toc436209787"/>
      <w:r w:rsidRPr="00A57A61">
        <w:rPr>
          <w:noProof/>
          <w:lang w:val="en-US"/>
        </w:rPr>
        <w:t>Arrêt de la Cour de Justice (Grand Chambre) du 6 octobre 2015 dans l'affaire ITLOS (C 73/14)</w:t>
      </w:r>
      <w:bookmarkEnd w:id="3"/>
    </w:p>
    <w:p w14:paraId="44BDE1C5" w14:textId="02F4B773" w:rsidR="00643D86" w:rsidRPr="00A57A61" w:rsidRDefault="00C57F73" w:rsidP="00643D86">
      <w:r w:rsidRPr="00A57A61">
        <w:rPr>
          <w:noProof/>
        </w:rPr>
        <w:t>–</w:t>
      </w:r>
      <w:r w:rsidRPr="00A57A61">
        <w:t>Note d'information à l'attention du Comité des représentants permanents (1re partie)</w:t>
      </w:r>
      <w:r w:rsidR="004D18F9" w:rsidRPr="00A57A61">
        <w:br/>
      </w:r>
      <w:r w:rsidRPr="00A57A61">
        <w:rPr>
          <w:noProof/>
        </w:rPr>
        <w:t>14358</w:t>
      </w:r>
      <w:r w:rsidRPr="00A57A61">
        <w:t>/15 JUR 739 PECHE 439 COMAR 7 COJUR 5 RELEX 951</w:t>
      </w:r>
    </w:p>
    <w:p w14:paraId="44BDE1C6" w14:textId="77777777" w:rsidR="00643D86" w:rsidRDefault="00C57F73" w:rsidP="00643D86">
      <w:r>
        <w:rPr>
          <w:b/>
        </w:rPr>
        <w:t>Ansvarigt statsråd</w:t>
      </w:r>
      <w:r>
        <w:rPr>
          <w:b/>
        </w:rPr>
        <w:br/>
      </w:r>
      <w:r>
        <w:rPr>
          <w:noProof/>
        </w:rPr>
        <w:t>Margot Wallström</w:t>
      </w:r>
    </w:p>
    <w:p w14:paraId="44BDE1C9" w14:textId="77777777" w:rsidR="00643D86" w:rsidRDefault="00C57F73" w:rsidP="00643D86">
      <w:r w:rsidRPr="00B44CE2">
        <w:rPr>
          <w:b/>
        </w:rPr>
        <w:t>Annotering</w:t>
      </w:r>
      <w:r>
        <w:rPr>
          <w:b/>
        </w:rPr>
        <w:br/>
      </w:r>
      <w:r>
        <w:rPr>
          <w:b/>
          <w:bCs/>
        </w:rPr>
        <w:t>Avsikt med behandlingen i rådet:</w:t>
      </w:r>
      <w:r>
        <w:t xml:space="preserve"> Information om EU-domstolens dom i mål C-73/14.  </w:t>
      </w:r>
    </w:p>
    <w:p w14:paraId="44BDE1CA" w14:textId="77777777" w:rsidR="00491214" w:rsidRDefault="00C57F73">
      <w:pPr>
        <w:spacing w:after="280" w:afterAutospacing="1"/>
      </w:pPr>
      <w:r>
        <w:rPr>
          <w:b/>
          <w:bCs/>
        </w:rPr>
        <w:t>Hur regeringen ställer sig till den blivande A-punkten:</w:t>
      </w:r>
      <w:r>
        <w:t xml:space="preserve"> Regeringen har ingen erinran mot denna informationspunkt.  </w:t>
      </w:r>
    </w:p>
    <w:p w14:paraId="44BDE1CC" w14:textId="57880A6A" w:rsidR="00FB32B9" w:rsidRDefault="00C57F73">
      <w:pPr>
        <w:spacing w:after="280" w:afterAutospacing="1"/>
        <w:rPr>
          <w:noProof/>
        </w:rPr>
      </w:pPr>
      <w:r>
        <w:rPr>
          <w:b/>
          <w:bCs/>
        </w:rPr>
        <w:t xml:space="preserve">Bakgrund: </w:t>
      </w:r>
      <w:r>
        <w:t xml:space="preserve">Kommissionen och rådet </w:t>
      </w:r>
      <w:r w:rsidR="004D18F9">
        <w:t>har haft</w:t>
      </w:r>
      <w:r>
        <w:t xml:space="preserve"> olika uppfattning i frågan om kommissionen behöver rådets tillåtelse för att skicka ett skriftligt yttrande för unionens räkning till Internationella havsrättsdomstolen. Den 27 november 2013 beslutades det på Coreper att unionen inte hade någon gemensamt fastslagen position angående ett eventuellt yttrande och att något yttrande därför inte kunde skickas för unionens räkning. Den 29 november 2013 underrättade kommissionen rådet om att ett yttrande hade skickats in för unionens räkning. Rådet väckte därför talan mot kommissionen vid EU-domstolen och gjorde bl.a. gällande att kommissionen hade åsidosatt den institutionella balansen och principen om lojalt samarbete. Genom den nu aktuella domen ogillades rådets talan.</w:t>
      </w:r>
    </w:p>
    <w:p w14:paraId="44BDE1CD" w14:textId="77777777" w:rsidR="00643D86" w:rsidRDefault="00C57F73" w:rsidP="00643D86">
      <w:pPr>
        <w:pStyle w:val="Rubrik1"/>
      </w:pPr>
      <w:bookmarkStart w:id="4" w:name="_Toc436209788"/>
      <w:r>
        <w:rPr>
          <w:noProof/>
        </w:rPr>
        <w:lastRenderedPageBreak/>
        <w:t>Règlement (UE) …/… de la Commission du XXX modifiant l’annexe I du règlement (CE) nº 1334/2008 du Parlement européen et du Conseil en ce qui concerne l'ajout de la substance gamma-glutamyl-valyl-glycine à la liste de l’Union des substances aromatisantes</w:t>
      </w:r>
      <w:bookmarkEnd w:id="4"/>
    </w:p>
    <w:p w14:paraId="44BDE1CE" w14:textId="1BBC3FB5" w:rsidR="00643D86" w:rsidRDefault="00C57F73" w:rsidP="00643D86">
      <w:pPr>
        <w:rPr>
          <w:lang w:val="en-US"/>
        </w:rPr>
      </w:pPr>
      <w:r>
        <w:rPr>
          <w:noProof/>
          <w:lang w:val="en-US"/>
        </w:rPr>
        <w:t>–</w:t>
      </w:r>
      <w:r>
        <w:rPr>
          <w:lang w:val="en-US"/>
        </w:rPr>
        <w:t>Décision de ne pas s'opposer à l'adoption</w:t>
      </w:r>
      <w:r w:rsidR="004D18F9">
        <w:rPr>
          <w:lang w:val="en-US"/>
        </w:rPr>
        <w:br/>
      </w:r>
      <w:r>
        <w:rPr>
          <w:noProof/>
          <w:lang w:val="en-US"/>
        </w:rPr>
        <w:t>14062</w:t>
      </w:r>
      <w:r>
        <w:rPr>
          <w:lang w:val="en-US"/>
        </w:rPr>
        <w:t>/15 DENLEG 148 AGRI 595 SAN 37713654/15 DENLEG 140 AGRI 564 SAN 360+ ADD 1</w:t>
      </w:r>
    </w:p>
    <w:p w14:paraId="44BDE1CF" w14:textId="77777777" w:rsidR="00643D86" w:rsidRDefault="00C57F73" w:rsidP="00643D86">
      <w:r>
        <w:rPr>
          <w:b/>
        </w:rPr>
        <w:t>Ansvarigt statsråd</w:t>
      </w:r>
      <w:r>
        <w:rPr>
          <w:b/>
        </w:rPr>
        <w:br/>
      </w:r>
      <w:r>
        <w:rPr>
          <w:noProof/>
        </w:rPr>
        <w:t>Sven-Erik Bucht</w:t>
      </w:r>
    </w:p>
    <w:p w14:paraId="44BDE1D2" w14:textId="77777777" w:rsidR="00643D86" w:rsidRDefault="00C57F73" w:rsidP="00643D86">
      <w:r w:rsidRPr="00B44CE2">
        <w:rPr>
          <w:b/>
        </w:rPr>
        <w:t>Annotering</w:t>
      </w:r>
      <w:r>
        <w:rPr>
          <w:b/>
        </w:rPr>
        <w:br/>
      </w:r>
      <w:r>
        <w:t>Föranleder ingen annotering.</w:t>
      </w:r>
    </w:p>
    <w:p w14:paraId="44BDE1D3" w14:textId="77777777" w:rsidR="00643D86" w:rsidRDefault="00C57F73" w:rsidP="00643D86">
      <w:pPr>
        <w:pStyle w:val="Rubrik1"/>
      </w:pPr>
      <w:bookmarkStart w:id="5" w:name="_Toc436209789"/>
      <w:r>
        <w:rPr>
          <w:noProof/>
        </w:rPr>
        <w:t>Règlement (UE) …/… de la Commission du XXX modifiant l'annexe II du règlement (CE) nº 1333/2008 du Parlement européen et du Conseil en ce qui concerne l'utilisation d'extraits de romarin (E 392) dans les matières grasses tartinables</w:t>
      </w:r>
      <w:bookmarkEnd w:id="5"/>
    </w:p>
    <w:p w14:paraId="7D9B6C69" w14:textId="77777777" w:rsidR="004D18F9" w:rsidRDefault="00C57F73" w:rsidP="00643D86">
      <w:pPr>
        <w:rPr>
          <w:lang w:val="en-US"/>
        </w:rPr>
      </w:pPr>
      <w:r>
        <w:rPr>
          <w:noProof/>
          <w:lang w:val="en-US"/>
        </w:rPr>
        <w:t>–</w:t>
      </w:r>
      <w:r>
        <w:rPr>
          <w:lang w:val="en-US"/>
        </w:rPr>
        <w:t>Décision de ne pas s'opposer à l'adoption</w:t>
      </w:r>
    </w:p>
    <w:p w14:paraId="44BDE1D4" w14:textId="73F87FA5" w:rsidR="00643D86" w:rsidRDefault="00C57F73" w:rsidP="00643D86">
      <w:pPr>
        <w:rPr>
          <w:lang w:val="en-US"/>
        </w:rPr>
      </w:pPr>
      <w:r>
        <w:rPr>
          <w:noProof/>
          <w:lang w:val="en-US"/>
        </w:rPr>
        <w:t>14063</w:t>
      </w:r>
      <w:r>
        <w:rPr>
          <w:lang w:val="en-US"/>
        </w:rPr>
        <w:t>/15 DENLEG 149 AGRI 596 SAN 378</w:t>
      </w:r>
      <w:r w:rsidR="004D18F9">
        <w:rPr>
          <w:lang w:val="en-US"/>
        </w:rPr>
        <w:t xml:space="preserve"> </w:t>
      </w:r>
      <w:r>
        <w:rPr>
          <w:lang w:val="en-US"/>
        </w:rPr>
        <w:t>13762/15 DENLEG 142 AGRI 575 SAN 367+ ADD 1</w:t>
      </w:r>
    </w:p>
    <w:p w14:paraId="44BDE1D5" w14:textId="77777777" w:rsidR="00643D86" w:rsidRDefault="00C57F73" w:rsidP="00643D86">
      <w:r>
        <w:rPr>
          <w:b/>
        </w:rPr>
        <w:t>Ansvarigt statsråd</w:t>
      </w:r>
      <w:r>
        <w:rPr>
          <w:b/>
        </w:rPr>
        <w:br/>
      </w:r>
      <w:r>
        <w:rPr>
          <w:noProof/>
        </w:rPr>
        <w:t>Sven-Erik Bucht</w:t>
      </w:r>
    </w:p>
    <w:p w14:paraId="44BDE1D8" w14:textId="77777777" w:rsidR="00643D86" w:rsidRDefault="00C57F73" w:rsidP="00643D86">
      <w:r w:rsidRPr="00B44CE2">
        <w:rPr>
          <w:b/>
        </w:rPr>
        <w:t>Annotering</w:t>
      </w:r>
      <w:r>
        <w:rPr>
          <w:b/>
        </w:rPr>
        <w:br/>
      </w:r>
      <w:r>
        <w:t>Föranleder ingen annotering.</w:t>
      </w:r>
    </w:p>
    <w:p w14:paraId="44BDE1D9" w14:textId="77777777" w:rsidR="00643D86" w:rsidRDefault="00C57F73" w:rsidP="00643D86">
      <w:pPr>
        <w:pStyle w:val="Rubrik1"/>
      </w:pPr>
      <w:bookmarkStart w:id="6" w:name="_Toc436209790"/>
      <w:r>
        <w:rPr>
          <w:noProof/>
        </w:rPr>
        <w:t>Règlement délégué (UE) …/… de la Commission du 12.10.2015 révisant les valeurs harmonisées de rendement de référence pour la production séparée d’électricité et de chaleur en application de la directive 2012/27/UE du Parlement européen et du Conseil et abrogeant la décision d'exécution 2011/877/UE de la Commission</w:t>
      </w:r>
      <w:bookmarkEnd w:id="6"/>
    </w:p>
    <w:p w14:paraId="2739F4AE" w14:textId="77777777" w:rsidR="004D18F9" w:rsidRDefault="00C57F73" w:rsidP="00643D86">
      <w:pPr>
        <w:rPr>
          <w:lang w:val="en-US"/>
        </w:rPr>
      </w:pPr>
      <w:r>
        <w:rPr>
          <w:noProof/>
          <w:lang w:val="en-US"/>
        </w:rPr>
        <w:t>–</w:t>
      </w:r>
      <w:r>
        <w:rPr>
          <w:lang w:val="en-US"/>
        </w:rPr>
        <w:t>Intention de ne pas exprimer d'objections à l'égard d'un acte délégué</w:t>
      </w:r>
    </w:p>
    <w:p w14:paraId="44BDE1DA" w14:textId="71EF97D5" w:rsidR="00643D86" w:rsidRPr="00A57A61" w:rsidRDefault="00C57F73" w:rsidP="00643D86">
      <w:r w:rsidRPr="00A57A61">
        <w:rPr>
          <w:noProof/>
        </w:rPr>
        <w:t>13927</w:t>
      </w:r>
      <w:r w:rsidRPr="00A57A61">
        <w:t>/15 ENER 383 ENV 685 DELACT 151</w:t>
      </w:r>
      <w:r w:rsidR="004D18F9" w:rsidRPr="00A57A61">
        <w:t xml:space="preserve"> </w:t>
      </w:r>
      <w:r w:rsidRPr="00A57A61">
        <w:t>13021/15 ENER 354 ENV 627 DELACT 136+ ADD 1+ ADD 2 (en)</w:t>
      </w:r>
    </w:p>
    <w:p w14:paraId="44BDE1DB" w14:textId="77777777" w:rsidR="00643D86" w:rsidRDefault="00C57F73" w:rsidP="00643D86">
      <w:r>
        <w:rPr>
          <w:b/>
        </w:rPr>
        <w:t>Ansvarigt statsråd</w:t>
      </w:r>
      <w:r>
        <w:rPr>
          <w:b/>
        </w:rPr>
        <w:br/>
      </w:r>
      <w:r>
        <w:rPr>
          <w:noProof/>
        </w:rPr>
        <w:t>Ibrahim Baylan</w:t>
      </w:r>
    </w:p>
    <w:p w14:paraId="44BDE1DE" w14:textId="77777777" w:rsidR="00643D86" w:rsidRDefault="00C57F73" w:rsidP="00643D86">
      <w:r w:rsidRPr="00B44CE2">
        <w:rPr>
          <w:b/>
        </w:rPr>
        <w:t>Annotering</w:t>
      </w:r>
      <w:r>
        <w:rPr>
          <w:b/>
        </w:rPr>
        <w:br/>
      </w:r>
      <w:r>
        <w:rPr>
          <w:b/>
          <w:bCs/>
        </w:rPr>
        <w:t>Avsikt med behandlingen i rådet:</w:t>
      </w:r>
      <w:r>
        <w:t xml:space="preserve"> Godkännande av EU-kommissionens förslag till delegerad akt. </w:t>
      </w:r>
    </w:p>
    <w:p w14:paraId="44BDE1DF" w14:textId="77777777" w:rsidR="00491214" w:rsidRDefault="00C57F73">
      <w:pPr>
        <w:spacing w:after="280" w:afterAutospacing="1"/>
      </w:pPr>
      <w:r>
        <w:rPr>
          <w:b/>
          <w:bCs/>
        </w:rPr>
        <w:t>Hur regeringen ställer sig till den blivande A-punkten:</w:t>
      </w:r>
      <w:r>
        <w:t xml:space="preserve"> Regeringen stödjer EU-kommissionens förslag till delegerad akt. </w:t>
      </w:r>
    </w:p>
    <w:p w14:paraId="44BDE1E1" w14:textId="41B92151" w:rsidR="00FB32B9" w:rsidRDefault="00C57F73">
      <w:pPr>
        <w:spacing w:after="280" w:afterAutospacing="1"/>
        <w:rPr>
          <w:noProof/>
        </w:rPr>
      </w:pPr>
      <w:r>
        <w:rPr>
          <w:b/>
          <w:bCs/>
        </w:rPr>
        <w:t xml:space="preserve">Bakgrund: </w:t>
      </w:r>
      <w:r>
        <w:t xml:space="preserve">Enligt artikel 22 i Energieffektiviseringsdirektivet (2012/27/EU) har EU-kommissionen befogenhet att anta delegerade akter i enlighet med artikel 23, för att anpassa </w:t>
      </w:r>
      <w:r>
        <w:lastRenderedPageBreak/>
        <w:t>värdena, beräkningsmetoderna, standardkoefficienterna för primärenergi och kraven i bilagorna I-V, VII-X och XII till de tekniska framstegen. Bilaga II till Energieffektiviseringsdirektivet innehåller bestämmelser om metod för att fastställa kraftvärmeprocessens effektivitet. Under 2015 har EU-kommissionen m.h.a. en expertgrupp utarbetat ett förslag till delegerad akt med reviderade referensvärden för separat el- och värmeproduktion, vilka används för bestämmande av kraftvärmeprocessens effektivitet. Sverige har deltagit aktivt i utarbetandet av förslaget till delegerad akt och fått gehör för framförda synpunkter.</w:t>
      </w:r>
    </w:p>
    <w:p w14:paraId="44BDE1E2" w14:textId="77777777" w:rsidR="00643D86" w:rsidRDefault="00C57F73" w:rsidP="00643D86">
      <w:pPr>
        <w:pStyle w:val="Rubrik1"/>
      </w:pPr>
      <w:bookmarkStart w:id="7" w:name="_Toc436209791"/>
      <w:r>
        <w:rPr>
          <w:noProof/>
        </w:rPr>
        <w:t>Projet décision du Conseil relative à la position au sujet de la décision n° 1/2015 à prendre au nom de l'Union européenne au sein du Comité mixte vétérinaire institué par l'accord entre la Communauté européenne et la Confédération suisse relatif aux échanges de produits agricoles, concernant la modification des appendices 1, 2, 3, 4, 5, 6, 7, 10 et 11 de l'annexe 11</w:t>
      </w:r>
      <w:bookmarkEnd w:id="7"/>
    </w:p>
    <w:p w14:paraId="671AE58A" w14:textId="77777777" w:rsidR="004D18F9" w:rsidRDefault="00C57F73" w:rsidP="00643D86">
      <w:pPr>
        <w:rPr>
          <w:lang w:val="en-US"/>
        </w:rPr>
      </w:pPr>
      <w:r>
        <w:rPr>
          <w:noProof/>
          <w:lang w:val="en-US"/>
        </w:rPr>
        <w:t>–</w:t>
      </w:r>
      <w:r>
        <w:rPr>
          <w:lang w:val="en-US"/>
        </w:rPr>
        <w:t>Adoption</w:t>
      </w:r>
    </w:p>
    <w:p w14:paraId="44BDE1E3" w14:textId="71EF207B" w:rsidR="00643D86" w:rsidRDefault="00C57F73" w:rsidP="00643D86">
      <w:pPr>
        <w:rPr>
          <w:lang w:val="en-US"/>
        </w:rPr>
      </w:pPr>
      <w:r>
        <w:rPr>
          <w:noProof/>
          <w:lang w:val="en-US"/>
        </w:rPr>
        <w:t>13800</w:t>
      </w:r>
      <w:r>
        <w:rPr>
          <w:lang w:val="en-US"/>
        </w:rPr>
        <w:t>/15 AELE 52 CH 28 AGRILEG 214 VETER 97 AGRI 579 13618/15 AELE 49 CH 25 AGRILEG 207 VETER 92 AGRI 560</w:t>
      </w:r>
    </w:p>
    <w:p w14:paraId="44BDE1E4" w14:textId="77777777" w:rsidR="00643D86" w:rsidRDefault="00C57F73" w:rsidP="00643D86">
      <w:r>
        <w:rPr>
          <w:b/>
        </w:rPr>
        <w:t>Ansvarigt statsråd</w:t>
      </w:r>
      <w:r>
        <w:rPr>
          <w:b/>
        </w:rPr>
        <w:br/>
      </w:r>
      <w:r>
        <w:rPr>
          <w:noProof/>
        </w:rPr>
        <w:t>Sven-Erik Bucht</w:t>
      </w:r>
    </w:p>
    <w:p w14:paraId="44BDE1E8" w14:textId="04B4EECF" w:rsidR="00491214" w:rsidRDefault="00C57F73" w:rsidP="004D18F9">
      <w:r w:rsidRPr="00B44CE2">
        <w:rPr>
          <w:b/>
        </w:rPr>
        <w:t>Annotering</w:t>
      </w:r>
      <w:r>
        <w:rPr>
          <w:b/>
        </w:rPr>
        <w:br/>
      </w:r>
      <w:r w:rsidRPr="004D18F9">
        <w:rPr>
          <w:b/>
        </w:rPr>
        <w:t>Avsikt med behandlingen i rådet:</w:t>
      </w:r>
      <w:r w:rsidR="004D18F9">
        <w:t xml:space="preserve"> </w:t>
      </w:r>
      <w:r>
        <w:t>Rådet föreslås anta beslutet.</w:t>
      </w:r>
    </w:p>
    <w:p w14:paraId="44BDE1E9" w14:textId="0060716D" w:rsidR="00491214" w:rsidRDefault="00C57F73">
      <w:pPr>
        <w:spacing w:after="280" w:afterAutospacing="1"/>
      </w:pPr>
      <w:r w:rsidRPr="004D18F9">
        <w:rPr>
          <w:b/>
        </w:rPr>
        <w:t>Hur regeringen ställer sig till den blivande A-punkten</w:t>
      </w:r>
      <w:r>
        <w:t>:</w:t>
      </w:r>
      <w:r w:rsidR="004D18F9">
        <w:t xml:space="preserve"> </w:t>
      </w:r>
      <w:r>
        <w:t>Regeringen avser rösta ja till antagande av beslutet om ändringarna i handelsavtalet med Schweiz.</w:t>
      </w:r>
    </w:p>
    <w:p w14:paraId="44BDE1EA" w14:textId="2FB7BD3B" w:rsidR="00491214" w:rsidRDefault="00C57F73">
      <w:pPr>
        <w:spacing w:after="280" w:afterAutospacing="1"/>
      </w:pPr>
      <w:r w:rsidRPr="004D18F9">
        <w:rPr>
          <w:b/>
        </w:rPr>
        <w:t>Bakgrund</w:t>
      </w:r>
      <w:r w:rsidR="004D18F9" w:rsidRPr="004D18F9">
        <w:rPr>
          <w:b/>
        </w:rPr>
        <w:t xml:space="preserve">: </w:t>
      </w:r>
      <w:r>
        <w:t xml:space="preserve">Kommissionen lade fram förslaget till beslut om ändringar i handelsavtalet med Schweiz den 26 juni 2015. </w:t>
      </w:r>
      <w:r>
        <w:br/>
        <w:t>Ändringarna syftar till att förlänga Schweiz’ möjligheter till vissa lättnader i trikinkontrollen för inhemska svin till slutet av 2016. Förslaget syftar också till att godkänna den åtgärdsplan som Schweiz har tagit fram för sin fjäderfäproduktion samt uppdatera avtalet tekniskt.</w:t>
      </w:r>
    </w:p>
    <w:p w14:paraId="174F1B11" w14:textId="67EA3E97" w:rsidR="00FC2D0A" w:rsidRDefault="00C57F73" w:rsidP="00FC2D0A">
      <w:pPr>
        <w:spacing w:after="280" w:afterAutospacing="1"/>
      </w:pPr>
      <w:r>
        <w:t>Eftersom förslaget kom sent hann man inte med att godkänna och underteckna avtalet innan det tidigare undantaget löpte ut. Därför reviderades texten något på inrådan av rådets rättstjänst för att möjliggöra en retroaktiv tillämpning från den 1 januari 2015. Dessa ändringar och en del uppdateringar av hänvisningar till gällande lagstiftning i EU och Schweiz kommunicerades till delegationerna genom dokument 13365/15.</w:t>
      </w:r>
    </w:p>
    <w:p w14:paraId="1F2BF363" w14:textId="0C497E07" w:rsidR="00FC2D0A" w:rsidRPr="00FC2D0A" w:rsidRDefault="00FC2D0A" w:rsidP="00FC2D0A">
      <w:pPr>
        <w:pStyle w:val="Rubrik1"/>
        <w:rPr>
          <w:noProof/>
        </w:rPr>
      </w:pPr>
      <w:bookmarkStart w:id="8" w:name="_Toc436209792"/>
      <w:r w:rsidRPr="00FC2D0A">
        <w:rPr>
          <w:noProof/>
        </w:rPr>
        <w:t>Déclaration entre l'Union européenne et le Royaume de Bhoutan sur la coopération en matière de changements climatiques</w:t>
      </w:r>
      <w:bookmarkEnd w:id="8"/>
    </w:p>
    <w:p w14:paraId="7424EA83" w14:textId="77777777" w:rsidR="00FC2D0A" w:rsidRPr="00FC2D0A" w:rsidRDefault="00FC2D0A" w:rsidP="00FC2D0A">
      <w:pPr>
        <w:rPr>
          <w:noProof/>
        </w:rPr>
      </w:pPr>
      <w:r w:rsidRPr="00FC2D0A">
        <w:rPr>
          <w:noProof/>
        </w:rPr>
        <w:t>Approbation de la signature au nom de l'Union européenne</w:t>
      </w:r>
    </w:p>
    <w:p w14:paraId="67BA0BBF" w14:textId="72856CE1" w:rsidR="00FC2D0A" w:rsidRDefault="00FC2D0A" w:rsidP="00FC2D0A">
      <w:pPr>
        <w:rPr>
          <w:lang w:val="it-IT"/>
        </w:rPr>
      </w:pPr>
      <w:r>
        <w:rPr>
          <w:lang w:val="it-IT"/>
        </w:rPr>
        <w:t>14483/15 CLIMA 140 ENV 727 COASI 182</w:t>
      </w:r>
    </w:p>
    <w:p w14:paraId="48E7C22E" w14:textId="09B254E9" w:rsidR="00FC2D0A" w:rsidRPr="00043A74" w:rsidRDefault="00FC2D0A" w:rsidP="00FC2D0A">
      <w:pPr>
        <w:rPr>
          <w:lang w:val="it-IT"/>
        </w:rPr>
      </w:pPr>
      <w:r w:rsidRPr="00FC2D0A">
        <w:rPr>
          <w:b/>
        </w:rPr>
        <w:t xml:space="preserve">Ansvarigt </w:t>
      </w:r>
      <w:proofErr w:type="gramStart"/>
      <w:r w:rsidRPr="00FC2D0A">
        <w:rPr>
          <w:b/>
        </w:rPr>
        <w:t>statsråd :</w:t>
      </w:r>
      <w:proofErr w:type="gramEnd"/>
      <w:r w:rsidR="00043A74">
        <w:rPr>
          <w:b/>
        </w:rPr>
        <w:br/>
      </w:r>
      <w:r w:rsidR="00043A74" w:rsidRPr="00043A74">
        <w:rPr>
          <w:lang w:val="it-IT"/>
        </w:rPr>
        <w:t>Åsa Romson</w:t>
      </w:r>
      <w:r w:rsidRPr="00043A74">
        <w:rPr>
          <w:lang w:val="it-IT"/>
        </w:rPr>
        <w:t xml:space="preserve"> </w:t>
      </w:r>
    </w:p>
    <w:p w14:paraId="5567A9D1" w14:textId="19701828" w:rsidR="00043A74" w:rsidRPr="00043A74" w:rsidRDefault="00FC2D0A" w:rsidP="00043A74">
      <w:pPr>
        <w:shd w:val="clear" w:color="auto" w:fill="FFFFFF"/>
        <w:textAlignment w:val="top"/>
        <w:rPr>
          <w:lang w:val="it-IT"/>
        </w:rPr>
      </w:pPr>
      <w:r>
        <w:rPr>
          <w:b/>
        </w:rPr>
        <w:lastRenderedPageBreak/>
        <w:t>A</w:t>
      </w:r>
      <w:r w:rsidRPr="00B44CE2">
        <w:rPr>
          <w:b/>
        </w:rPr>
        <w:t>nnotering</w:t>
      </w:r>
      <w:r>
        <w:rPr>
          <w:b/>
        </w:rPr>
        <w:br/>
      </w:r>
      <w:r w:rsidR="00043A74" w:rsidRPr="00043A74">
        <w:rPr>
          <w:b/>
          <w:lang w:val="it-IT"/>
        </w:rPr>
        <w:t>Avsikt med behandlingen i rådet:</w:t>
      </w:r>
      <w:r w:rsidR="00043A74">
        <w:rPr>
          <w:lang w:val="it-IT"/>
        </w:rPr>
        <w:t xml:space="preserve"> </w:t>
      </w:r>
      <w:r w:rsidR="00043A74" w:rsidRPr="00043A74">
        <w:rPr>
          <w:lang w:val="it-IT"/>
        </w:rPr>
        <w:t xml:space="preserve">Rådet föreslås anta undertecknande av en deklaration om samarbetet mellan EU och Bhutan gällande klimatförändringar. </w:t>
      </w:r>
    </w:p>
    <w:p w14:paraId="04EA9BB5" w14:textId="7C5B8221" w:rsidR="00043A74" w:rsidRPr="00043A74" w:rsidRDefault="00043A74" w:rsidP="00043A74">
      <w:pPr>
        <w:shd w:val="clear" w:color="auto" w:fill="FFFFFF"/>
        <w:spacing w:before="100" w:beforeAutospacing="1" w:after="100" w:afterAutospacing="1" w:line="240" w:lineRule="auto"/>
        <w:textAlignment w:val="top"/>
        <w:rPr>
          <w:lang w:val="it-IT"/>
        </w:rPr>
      </w:pPr>
      <w:r w:rsidRPr="00043A74">
        <w:rPr>
          <w:b/>
          <w:lang w:val="it-IT"/>
        </w:rPr>
        <w:t>Hur regeringen ställer sig till den blivande A-punkten</w:t>
      </w:r>
      <w:r w:rsidRPr="00043A74">
        <w:rPr>
          <w:lang w:val="it-IT"/>
        </w:rPr>
        <w:t>:</w:t>
      </w:r>
      <w:r>
        <w:rPr>
          <w:lang w:val="it-IT"/>
        </w:rPr>
        <w:t xml:space="preserve"> </w:t>
      </w:r>
      <w:r w:rsidRPr="00043A74">
        <w:rPr>
          <w:lang w:val="it-IT"/>
        </w:rPr>
        <w:t xml:space="preserve">Regeringen avser rösta ja till att anta undertecknande av deklarationen mellan EU och Bhutan gällande klimatförändringar. </w:t>
      </w:r>
    </w:p>
    <w:p w14:paraId="37642DFF" w14:textId="5D9C36C1" w:rsidR="00043A74" w:rsidRPr="00043A74" w:rsidRDefault="00043A74" w:rsidP="00043A74">
      <w:pPr>
        <w:shd w:val="clear" w:color="auto" w:fill="FFFFFF"/>
        <w:spacing w:before="100" w:beforeAutospacing="1" w:after="100" w:afterAutospacing="1" w:line="240" w:lineRule="auto"/>
        <w:textAlignment w:val="top"/>
        <w:rPr>
          <w:lang w:val="it-IT"/>
        </w:rPr>
      </w:pPr>
      <w:r w:rsidRPr="00043A74">
        <w:rPr>
          <w:b/>
          <w:lang w:val="it-IT"/>
        </w:rPr>
        <w:t>Bakgrund:</w:t>
      </w:r>
      <w:r w:rsidRPr="00043A74">
        <w:rPr>
          <w:lang w:val="it-IT"/>
        </w:rPr>
        <w:t xml:space="preserve"> </w:t>
      </w:r>
      <w:r>
        <w:rPr>
          <w:lang w:val="it-IT"/>
        </w:rPr>
        <w:t xml:space="preserve"> </w:t>
      </w:r>
      <w:r w:rsidRPr="00043A74">
        <w:rPr>
          <w:lang w:val="it-IT"/>
        </w:rPr>
        <w:t xml:space="preserve">Deklarationen om samarbete mellan EU och Bhutan gällande klimatförändringar erkänner vikten av Bhutans tänka nationella bidrag till ett nytt klimatavtal, s.k. intended internationally determined contribution, INDC. Bhutan är ett av de länder som lämnat in ett mycket ambitiös bidrag som bl.a. anger att landet ska gå mot koldoixidneutralitet (carbon neutrality). Deklarationen tydliggör också Bhutans och EUs gemensamma arbete för att COP21 i Paris ska resultera i ett avtal med ett långsiktigt mål, en dynamisk ambitionsmekanism och ett robust regelverk för transparens. Deklarationen beskriver också det bilaterala samarbetet mellan EU och Bhutan kring klimatförändringar och avsikten att fortsätta och stärka detta. </w:t>
      </w:r>
    </w:p>
    <w:p w14:paraId="3F0EEC53" w14:textId="6858A72A" w:rsidR="00FC2D0A" w:rsidRPr="00FC2D0A" w:rsidRDefault="00FC2D0A">
      <w:pPr>
        <w:spacing w:after="280" w:afterAutospacing="1"/>
        <w:rPr>
          <w:b/>
        </w:rPr>
      </w:pPr>
    </w:p>
    <w:bookmarkEnd w:id="1"/>
    <w:p w14:paraId="44BDE1ED" w14:textId="77777777" w:rsidR="00643D86" w:rsidRPr="00A57A61" w:rsidRDefault="004C16BA" w:rsidP="00643D86">
      <w:pPr>
        <w:ind w:left="0"/>
      </w:pPr>
    </w:p>
    <w:sectPr w:rsidR="00643D86" w:rsidRPr="00A57A61" w:rsidSect="006E71D7">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32DE1" w14:textId="77777777" w:rsidR="004C16BA" w:rsidRDefault="004C16BA">
      <w:pPr>
        <w:spacing w:after="0" w:line="240" w:lineRule="auto"/>
      </w:pPr>
      <w:r>
        <w:separator/>
      </w:r>
    </w:p>
  </w:endnote>
  <w:endnote w:type="continuationSeparator" w:id="0">
    <w:p w14:paraId="636E3C94" w14:textId="77777777" w:rsidR="004C16BA" w:rsidRDefault="004C1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03074" w14:textId="77777777" w:rsidR="004C16BA" w:rsidRDefault="004C16BA">
      <w:pPr>
        <w:spacing w:after="0" w:line="240" w:lineRule="auto"/>
      </w:pPr>
      <w:r>
        <w:separator/>
      </w:r>
    </w:p>
  </w:footnote>
  <w:footnote w:type="continuationSeparator" w:id="0">
    <w:p w14:paraId="707237C1" w14:textId="77777777" w:rsidR="004C16BA" w:rsidRDefault="004C1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5033252"/>
      <w:docPartObj>
        <w:docPartGallery w:val="Page Numbers (Top of Page)"/>
        <w:docPartUnique/>
      </w:docPartObj>
    </w:sdtPr>
    <w:sdtEndPr/>
    <w:sdtContent>
      <w:p w14:paraId="0A24C532" w14:textId="0B389AEA" w:rsidR="004D18F9" w:rsidRDefault="004D18F9">
        <w:pPr>
          <w:pStyle w:val="Sidhuvud"/>
          <w:jc w:val="right"/>
        </w:pPr>
        <w:r>
          <w:fldChar w:fldCharType="begin"/>
        </w:r>
        <w:r>
          <w:instrText>PAGE   \* MERGEFORMAT</w:instrText>
        </w:r>
        <w:r>
          <w:fldChar w:fldCharType="separate"/>
        </w:r>
        <w:r w:rsidR="00A57A61">
          <w:rPr>
            <w:noProof/>
          </w:rPr>
          <w:t>4</w:t>
        </w:r>
        <w:r>
          <w:fldChar w:fldCharType="end"/>
        </w:r>
      </w:p>
    </w:sdtContent>
  </w:sdt>
  <w:p w14:paraId="44BDE1EF" w14:textId="77777777" w:rsidR="006F1C0D" w:rsidRDefault="004C16BA"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491214" w14:paraId="44BDE1F5" w14:textId="77777777" w:rsidTr="006E71D7">
      <w:tc>
        <w:tcPr>
          <w:tcW w:w="4606" w:type="dxa"/>
        </w:tcPr>
        <w:p w14:paraId="44BDE1F0" w14:textId="77777777" w:rsidR="006E71D7" w:rsidRDefault="00C57F73" w:rsidP="00752770">
          <w:pPr>
            <w:pStyle w:val="Sidhuvud"/>
            <w:ind w:left="0"/>
          </w:pPr>
          <w:r>
            <w:rPr>
              <w:noProof/>
              <w:lang w:eastAsia="sv-SE"/>
            </w:rPr>
            <w:drawing>
              <wp:inline distT="0" distB="0" distL="0" distR="0" wp14:anchorId="44BDE1FB" wp14:editId="44BDE1FC">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44BDE1F1" w14:textId="77777777" w:rsidR="00FB32B9" w:rsidRDefault="004C16BA" w:rsidP="00FB32B9">
          <w:pPr>
            <w:ind w:right="916"/>
            <w:rPr>
              <w:rFonts w:ascii="TradeGothic" w:hAnsi="TradeGothic"/>
              <w:b/>
            </w:rPr>
          </w:pPr>
        </w:p>
        <w:p w14:paraId="44BDE1F2" w14:textId="77777777" w:rsidR="00FB32B9" w:rsidRDefault="00C57F73" w:rsidP="00FB32B9">
          <w:pPr>
            <w:ind w:right="916"/>
          </w:pPr>
          <w:r>
            <w:rPr>
              <w:rFonts w:ascii="TradeGothic" w:hAnsi="TradeGothic"/>
              <w:b/>
            </w:rPr>
            <w:t>Promemoria</w:t>
          </w:r>
        </w:p>
        <w:p w14:paraId="44BDE1F3" w14:textId="77777777" w:rsidR="00FB32B9" w:rsidRDefault="004C16BA" w:rsidP="00FB32B9">
          <w:pPr>
            <w:jc w:val="right"/>
          </w:pPr>
        </w:p>
        <w:p w14:paraId="44BDE1F4" w14:textId="7D606D4F" w:rsidR="006E71D7" w:rsidRDefault="00C57F73" w:rsidP="00FB32B9">
          <w:pPr>
            <w:ind w:right="916"/>
          </w:pPr>
          <w:r>
            <w:rPr>
              <w:rFonts w:ascii="TradeGothic" w:hAnsi="TradeGothic"/>
              <w:b/>
              <w:noProof/>
            </w:rPr>
            <w:t>2015-11-2</w:t>
          </w:r>
          <w:r w:rsidR="004D18F9">
            <w:rPr>
              <w:rFonts w:ascii="TradeGothic" w:hAnsi="TradeGothic"/>
              <w:b/>
              <w:noProof/>
            </w:rPr>
            <w:t>5</w:t>
          </w:r>
          <w:r w:rsidRPr="00934953">
            <w:t xml:space="preserve"> </w:t>
          </w:r>
        </w:p>
      </w:tc>
    </w:tr>
  </w:tbl>
  <w:p w14:paraId="44BDE1F6" w14:textId="77777777" w:rsidR="00FB32B9" w:rsidRDefault="004C16BA" w:rsidP="00FB32B9">
    <w:pPr>
      <w:pStyle w:val="Avsndare"/>
      <w:framePr w:w="0" w:hRule="auto" w:hSpace="0" w:wrap="auto" w:vAnchor="margin" w:hAnchor="text" w:xAlign="left" w:yAlign="inline"/>
      <w:rPr>
        <w:b/>
        <w:i w:val="0"/>
        <w:sz w:val="22"/>
      </w:rPr>
    </w:pPr>
  </w:p>
  <w:p w14:paraId="44BDE1F7" w14:textId="77777777" w:rsidR="00FB32B9" w:rsidRDefault="00C57F73" w:rsidP="00FB32B9">
    <w:pPr>
      <w:pStyle w:val="Avsndare"/>
      <w:framePr w:w="0" w:hRule="auto" w:hSpace="0" w:wrap="auto" w:vAnchor="margin" w:hAnchor="text" w:xAlign="left" w:yAlign="inline"/>
      <w:rPr>
        <w:b/>
        <w:i w:val="0"/>
        <w:sz w:val="22"/>
      </w:rPr>
    </w:pPr>
    <w:r>
      <w:rPr>
        <w:b/>
        <w:i w:val="0"/>
        <w:sz w:val="22"/>
      </w:rPr>
      <w:t>Statsrådsberedningen</w:t>
    </w:r>
  </w:p>
  <w:p w14:paraId="44BDE1F8" w14:textId="77777777" w:rsidR="00FB32B9" w:rsidRDefault="004C16BA" w:rsidP="00FB32B9">
    <w:pPr>
      <w:pStyle w:val="Avsndare"/>
      <w:framePr w:w="0" w:hRule="auto" w:hSpace="0" w:wrap="auto" w:vAnchor="margin" w:hAnchor="text" w:xAlign="left" w:yAlign="inline"/>
    </w:pPr>
  </w:p>
  <w:p w14:paraId="44BDE1F9" w14:textId="77777777" w:rsidR="00FB32B9" w:rsidRDefault="00C57F73" w:rsidP="00FB32B9">
    <w:pPr>
      <w:pStyle w:val="Avsndare"/>
      <w:framePr w:w="0" w:hRule="auto" w:hSpace="0" w:wrap="auto" w:vAnchor="margin" w:hAnchor="text" w:xAlign="left" w:yAlign="inline"/>
    </w:pPr>
    <w:r>
      <w:t>EU-kansliet</w:t>
    </w:r>
  </w:p>
  <w:p w14:paraId="44BDE1FA" w14:textId="77777777" w:rsidR="0012376B" w:rsidRDefault="004C16B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96E77"/>
    <w:multiLevelType w:val="multilevel"/>
    <w:tmpl w:val="3A588F10"/>
    <w:name w:val="Points"/>
    <w:lvl w:ilvl="0">
      <w:start w:val="51"/>
      <w:numFmt w:val="decimal"/>
      <w:lvlRestart w:val="0"/>
      <w:pStyle w:val="Point123"/>
      <w:lvlText w:val="%1."/>
      <w:lvlJc w:val="left"/>
      <w:pPr>
        <w:tabs>
          <w:tab w:val="num" w:pos="567"/>
        </w:tabs>
        <w:ind w:left="567" w:hanging="567"/>
      </w:pPr>
      <w:rPr>
        <w:rFonts w:hint="default"/>
      </w:rPr>
    </w:lvl>
    <w:lvl w:ilvl="1">
      <w:start w:val="1"/>
      <w:numFmt w:val="lowerLetter"/>
      <w:pStyle w:val="Pointabc"/>
      <w:lvlText w:val="%2)"/>
      <w:lvlJc w:val="left"/>
      <w:pPr>
        <w:tabs>
          <w:tab w:val="num" w:pos="567"/>
        </w:tabs>
        <w:ind w:left="567" w:hanging="567"/>
      </w:pPr>
      <w:rPr>
        <w:rFonts w:hint="default"/>
      </w:rPr>
    </w:lvl>
    <w:lvl w:ilvl="2">
      <w:start w:val="1"/>
      <w:numFmt w:val="decimal"/>
      <w:pStyle w:val="Point1231"/>
      <w:lvlText w:val="%3."/>
      <w:lvlJc w:val="left"/>
      <w:pPr>
        <w:tabs>
          <w:tab w:val="num" w:pos="1134"/>
        </w:tabs>
        <w:ind w:left="1134" w:hanging="567"/>
      </w:pPr>
      <w:rPr>
        <w:rFonts w:hint="default"/>
      </w:rPr>
    </w:lvl>
    <w:lvl w:ilvl="3">
      <w:start w:val="1"/>
      <w:numFmt w:val="lowerLetter"/>
      <w:pStyle w:val="Pointabc1"/>
      <w:lvlText w:val="%4)"/>
      <w:lvlJc w:val="left"/>
      <w:pPr>
        <w:tabs>
          <w:tab w:val="num" w:pos="1134"/>
        </w:tabs>
        <w:ind w:left="1134" w:hanging="567"/>
      </w:pPr>
      <w:rPr>
        <w:rFonts w:hint="default"/>
      </w:rPr>
    </w:lvl>
    <w:lvl w:ilvl="4">
      <w:start w:val="1"/>
      <w:numFmt w:val="decimal"/>
      <w:pStyle w:val="Point1232"/>
      <w:lvlText w:val="%5."/>
      <w:lvlJc w:val="left"/>
      <w:pPr>
        <w:tabs>
          <w:tab w:val="num" w:pos="1701"/>
        </w:tabs>
        <w:ind w:left="1701" w:hanging="567"/>
      </w:pPr>
      <w:rPr>
        <w:rFonts w:hint="default"/>
      </w:rPr>
    </w:lvl>
    <w:lvl w:ilvl="5">
      <w:start w:val="1"/>
      <w:numFmt w:val="lowerLetter"/>
      <w:pStyle w:val="Pointabc2"/>
      <w:lvlText w:val="%6)"/>
      <w:lvlJc w:val="left"/>
      <w:pPr>
        <w:tabs>
          <w:tab w:val="num" w:pos="1701"/>
        </w:tabs>
        <w:ind w:left="1701" w:hanging="567"/>
      </w:pPr>
      <w:rPr>
        <w:rFonts w:hint="default"/>
      </w:rPr>
    </w:lvl>
    <w:lvl w:ilvl="6">
      <w:start w:val="1"/>
      <w:numFmt w:val="decimal"/>
      <w:pStyle w:val="Point1233"/>
      <w:lvlText w:val="%7."/>
      <w:lvlJc w:val="left"/>
      <w:pPr>
        <w:tabs>
          <w:tab w:val="num" w:pos="2268"/>
        </w:tabs>
        <w:ind w:left="2268" w:hanging="567"/>
      </w:pPr>
      <w:rPr>
        <w:rFonts w:hint="default"/>
      </w:rPr>
    </w:lvl>
    <w:lvl w:ilvl="7">
      <w:start w:val="1"/>
      <w:numFmt w:val="lowerLetter"/>
      <w:pStyle w:val="Pointabc3"/>
      <w:lvlText w:val="%8)"/>
      <w:lvlJc w:val="left"/>
      <w:pPr>
        <w:tabs>
          <w:tab w:val="num" w:pos="2268"/>
        </w:tabs>
        <w:ind w:left="2268" w:hanging="567"/>
      </w:pPr>
      <w:rPr>
        <w:rFonts w:hint="default"/>
      </w:rPr>
    </w:lvl>
    <w:lvl w:ilvl="8">
      <w:start w:val="1"/>
      <w:numFmt w:val="lowerLetter"/>
      <w:pStyle w:val="Pointabc4"/>
      <w:lvlText w:val="%9)"/>
      <w:lvlJc w:val="left"/>
      <w:pPr>
        <w:tabs>
          <w:tab w:val="num" w:pos="2835"/>
        </w:tabs>
        <w:ind w:left="2835" w:hanging="567"/>
      </w:pPr>
      <w:rPr>
        <w:rFonts w:hint="default"/>
      </w:rPr>
    </w:lvl>
  </w:abstractNum>
  <w:abstractNum w:abstractNumId="1" w15:restartNumberingAfterBreak="0">
    <w:nsid w:val="6A410AE9"/>
    <w:multiLevelType w:val="hybridMultilevel"/>
    <w:tmpl w:val="5E0C4660"/>
    <w:lvl w:ilvl="0" w:tplc="5254E7AE">
      <w:start w:val="1"/>
      <w:numFmt w:val="decimal"/>
      <w:pStyle w:val="Rubrik1"/>
      <w:lvlText w:val="%1."/>
      <w:lvlJc w:val="left"/>
      <w:pPr>
        <w:ind w:left="720" w:hanging="360"/>
      </w:pPr>
    </w:lvl>
    <w:lvl w:ilvl="1" w:tplc="7F984FA6" w:tentative="1">
      <w:start w:val="1"/>
      <w:numFmt w:val="lowerLetter"/>
      <w:lvlText w:val="%2."/>
      <w:lvlJc w:val="left"/>
      <w:pPr>
        <w:ind w:left="1440" w:hanging="360"/>
      </w:pPr>
    </w:lvl>
    <w:lvl w:ilvl="2" w:tplc="F8021FEA" w:tentative="1">
      <w:start w:val="1"/>
      <w:numFmt w:val="lowerRoman"/>
      <w:lvlText w:val="%3."/>
      <w:lvlJc w:val="right"/>
      <w:pPr>
        <w:ind w:left="2160" w:hanging="180"/>
      </w:pPr>
    </w:lvl>
    <w:lvl w:ilvl="3" w:tplc="D1986ACC" w:tentative="1">
      <w:start w:val="1"/>
      <w:numFmt w:val="decimal"/>
      <w:lvlText w:val="%4."/>
      <w:lvlJc w:val="left"/>
      <w:pPr>
        <w:ind w:left="2880" w:hanging="360"/>
      </w:pPr>
    </w:lvl>
    <w:lvl w:ilvl="4" w:tplc="B2F627FC" w:tentative="1">
      <w:start w:val="1"/>
      <w:numFmt w:val="lowerLetter"/>
      <w:lvlText w:val="%5."/>
      <w:lvlJc w:val="left"/>
      <w:pPr>
        <w:ind w:left="3600" w:hanging="360"/>
      </w:pPr>
    </w:lvl>
    <w:lvl w:ilvl="5" w:tplc="3D5092D8" w:tentative="1">
      <w:start w:val="1"/>
      <w:numFmt w:val="lowerRoman"/>
      <w:lvlText w:val="%6."/>
      <w:lvlJc w:val="right"/>
      <w:pPr>
        <w:ind w:left="4320" w:hanging="180"/>
      </w:pPr>
    </w:lvl>
    <w:lvl w:ilvl="6" w:tplc="0B2AAAD6" w:tentative="1">
      <w:start w:val="1"/>
      <w:numFmt w:val="decimal"/>
      <w:lvlText w:val="%7."/>
      <w:lvlJc w:val="left"/>
      <w:pPr>
        <w:ind w:left="5040" w:hanging="360"/>
      </w:pPr>
    </w:lvl>
    <w:lvl w:ilvl="7" w:tplc="5C1C195E" w:tentative="1">
      <w:start w:val="1"/>
      <w:numFmt w:val="lowerLetter"/>
      <w:lvlText w:val="%8."/>
      <w:lvlJc w:val="left"/>
      <w:pPr>
        <w:ind w:left="5760" w:hanging="360"/>
      </w:pPr>
    </w:lvl>
    <w:lvl w:ilvl="8" w:tplc="A0C0971C" w:tentative="1">
      <w:start w:val="1"/>
      <w:numFmt w:val="lowerRoman"/>
      <w:lvlText w:val="%9."/>
      <w:lvlJc w:val="right"/>
      <w:pPr>
        <w:ind w:left="6480" w:hanging="180"/>
      </w:pPr>
    </w:lvl>
  </w:abstractNum>
  <w:abstractNum w:abstractNumId="2" w15:restartNumberingAfterBreak="0">
    <w:nsid w:val="73990993"/>
    <w:multiLevelType w:val="hybridMultilevel"/>
    <w:tmpl w:val="3BD822EE"/>
    <w:lvl w:ilvl="0" w:tplc="88E8973A">
      <w:start w:val="1"/>
      <w:numFmt w:val="decimal"/>
      <w:lvlText w:val="%1."/>
      <w:lvlJc w:val="left"/>
      <w:pPr>
        <w:ind w:left="360" w:hanging="360"/>
      </w:pPr>
      <w:rPr>
        <w:b w:val="0"/>
      </w:rPr>
    </w:lvl>
    <w:lvl w:ilvl="1" w:tplc="239C5A52" w:tentative="1">
      <w:start w:val="1"/>
      <w:numFmt w:val="lowerLetter"/>
      <w:lvlText w:val="%2."/>
      <w:lvlJc w:val="left"/>
      <w:pPr>
        <w:ind w:left="1080" w:hanging="360"/>
      </w:pPr>
    </w:lvl>
    <w:lvl w:ilvl="2" w:tplc="8F40F538" w:tentative="1">
      <w:start w:val="1"/>
      <w:numFmt w:val="lowerRoman"/>
      <w:lvlText w:val="%3."/>
      <w:lvlJc w:val="right"/>
      <w:pPr>
        <w:ind w:left="1800" w:hanging="180"/>
      </w:pPr>
    </w:lvl>
    <w:lvl w:ilvl="3" w:tplc="EA6AAC72" w:tentative="1">
      <w:start w:val="1"/>
      <w:numFmt w:val="decimal"/>
      <w:lvlText w:val="%4."/>
      <w:lvlJc w:val="left"/>
      <w:pPr>
        <w:ind w:left="2520" w:hanging="360"/>
      </w:pPr>
    </w:lvl>
    <w:lvl w:ilvl="4" w:tplc="1212883A" w:tentative="1">
      <w:start w:val="1"/>
      <w:numFmt w:val="lowerLetter"/>
      <w:lvlText w:val="%5."/>
      <w:lvlJc w:val="left"/>
      <w:pPr>
        <w:ind w:left="3240" w:hanging="360"/>
      </w:pPr>
    </w:lvl>
    <w:lvl w:ilvl="5" w:tplc="985A1DEE" w:tentative="1">
      <w:start w:val="1"/>
      <w:numFmt w:val="lowerRoman"/>
      <w:lvlText w:val="%6."/>
      <w:lvlJc w:val="right"/>
      <w:pPr>
        <w:ind w:left="3960" w:hanging="180"/>
      </w:pPr>
    </w:lvl>
    <w:lvl w:ilvl="6" w:tplc="A80A0614" w:tentative="1">
      <w:start w:val="1"/>
      <w:numFmt w:val="decimal"/>
      <w:lvlText w:val="%7."/>
      <w:lvlJc w:val="left"/>
      <w:pPr>
        <w:ind w:left="4680" w:hanging="360"/>
      </w:pPr>
    </w:lvl>
    <w:lvl w:ilvl="7" w:tplc="992221BA" w:tentative="1">
      <w:start w:val="1"/>
      <w:numFmt w:val="lowerLetter"/>
      <w:lvlText w:val="%8."/>
      <w:lvlJc w:val="left"/>
      <w:pPr>
        <w:ind w:left="5400" w:hanging="360"/>
      </w:pPr>
    </w:lvl>
    <w:lvl w:ilvl="8" w:tplc="1F1E15D8" w:tentative="1">
      <w:start w:val="1"/>
      <w:numFmt w:val="lowerRoman"/>
      <w:lvlText w:val="%9."/>
      <w:lvlJc w:val="right"/>
      <w:pPr>
        <w:ind w:left="6120" w:hanging="180"/>
      </w:pPr>
    </w:lvl>
  </w:abstractNum>
  <w:abstractNum w:abstractNumId="3" w15:restartNumberingAfterBreak="0">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4" w15:restartNumberingAfterBreak="0">
    <w:nsid w:val="7AEA2C76"/>
    <w:multiLevelType w:val="hybridMultilevel"/>
    <w:tmpl w:val="296EC2A4"/>
    <w:lvl w:ilvl="0" w:tplc="5B58BACE">
      <w:start w:val="1"/>
      <w:numFmt w:val="lowerLetter"/>
      <w:lvlText w:val="%1)"/>
      <w:lvlJc w:val="left"/>
      <w:pPr>
        <w:ind w:left="1074" w:hanging="360"/>
      </w:pPr>
      <w:rPr>
        <w:rFonts w:hint="default"/>
      </w:rPr>
    </w:lvl>
    <w:lvl w:ilvl="1" w:tplc="041D0019" w:tentative="1">
      <w:start w:val="1"/>
      <w:numFmt w:val="lowerLetter"/>
      <w:lvlText w:val="%2."/>
      <w:lvlJc w:val="left"/>
      <w:pPr>
        <w:ind w:left="1794" w:hanging="360"/>
      </w:pPr>
    </w:lvl>
    <w:lvl w:ilvl="2" w:tplc="041D001B" w:tentative="1">
      <w:start w:val="1"/>
      <w:numFmt w:val="lowerRoman"/>
      <w:lvlText w:val="%3."/>
      <w:lvlJc w:val="right"/>
      <w:pPr>
        <w:ind w:left="2514" w:hanging="180"/>
      </w:pPr>
    </w:lvl>
    <w:lvl w:ilvl="3" w:tplc="041D000F" w:tentative="1">
      <w:start w:val="1"/>
      <w:numFmt w:val="decimal"/>
      <w:lvlText w:val="%4."/>
      <w:lvlJc w:val="left"/>
      <w:pPr>
        <w:ind w:left="3234" w:hanging="360"/>
      </w:pPr>
    </w:lvl>
    <w:lvl w:ilvl="4" w:tplc="041D0019" w:tentative="1">
      <w:start w:val="1"/>
      <w:numFmt w:val="lowerLetter"/>
      <w:lvlText w:val="%5."/>
      <w:lvlJc w:val="left"/>
      <w:pPr>
        <w:ind w:left="3954" w:hanging="360"/>
      </w:pPr>
    </w:lvl>
    <w:lvl w:ilvl="5" w:tplc="041D001B" w:tentative="1">
      <w:start w:val="1"/>
      <w:numFmt w:val="lowerRoman"/>
      <w:lvlText w:val="%6."/>
      <w:lvlJc w:val="right"/>
      <w:pPr>
        <w:ind w:left="4674" w:hanging="180"/>
      </w:pPr>
    </w:lvl>
    <w:lvl w:ilvl="6" w:tplc="041D000F" w:tentative="1">
      <w:start w:val="1"/>
      <w:numFmt w:val="decimal"/>
      <w:lvlText w:val="%7."/>
      <w:lvlJc w:val="left"/>
      <w:pPr>
        <w:ind w:left="5394" w:hanging="360"/>
      </w:pPr>
    </w:lvl>
    <w:lvl w:ilvl="7" w:tplc="041D0019" w:tentative="1">
      <w:start w:val="1"/>
      <w:numFmt w:val="lowerLetter"/>
      <w:lvlText w:val="%8."/>
      <w:lvlJc w:val="left"/>
      <w:pPr>
        <w:ind w:left="6114" w:hanging="360"/>
      </w:pPr>
    </w:lvl>
    <w:lvl w:ilvl="8" w:tplc="041D001B" w:tentative="1">
      <w:start w:val="1"/>
      <w:numFmt w:val="lowerRoman"/>
      <w:lvlText w:val="%9."/>
      <w:lvlJc w:val="right"/>
      <w:pPr>
        <w:ind w:left="6834" w:hanging="180"/>
      </w:pPr>
    </w:lvl>
  </w:abstractNum>
  <w:num w:numId="1">
    <w:abstractNumId w:val="2"/>
  </w:num>
  <w:num w:numId="2">
    <w:abstractNumId w:val="1"/>
  </w:num>
  <w:num w:numId="3">
    <w:abstractNumId w:val="4"/>
  </w:num>
  <w:num w:numId="4">
    <w:abstractNumId w:val="3"/>
    <w:lvlOverride w:ilvl="0">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214"/>
    <w:rsid w:val="00043A74"/>
    <w:rsid w:val="000A361C"/>
    <w:rsid w:val="00420EF3"/>
    <w:rsid w:val="00491214"/>
    <w:rsid w:val="004C16BA"/>
    <w:rsid w:val="004D18F9"/>
    <w:rsid w:val="008549BE"/>
    <w:rsid w:val="00A57A61"/>
    <w:rsid w:val="00C57F73"/>
    <w:rsid w:val="00D04259"/>
    <w:rsid w:val="00E54083"/>
    <w:rsid w:val="00FC2D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E1AB"/>
  <w15:docId w15:val="{CEFF1BB1-FFA8-466C-9C6F-9AD7F7B3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4D18F9"/>
    <w:pPr>
      <w:ind w:left="720"/>
      <w:contextualSpacing/>
    </w:pPr>
  </w:style>
  <w:style w:type="paragraph" w:customStyle="1" w:styleId="Text3">
    <w:name w:val="Text 3"/>
    <w:basedOn w:val="Normal"/>
    <w:rsid w:val="00FC2D0A"/>
    <w:pPr>
      <w:spacing w:after="0" w:line="240" w:lineRule="auto"/>
      <w:ind w:left="1701"/>
      <w:outlineLvl w:val="2"/>
    </w:pPr>
    <w:rPr>
      <w:rFonts w:eastAsia="Times New Roman"/>
      <w:sz w:val="24"/>
      <w:szCs w:val="24"/>
      <w:lang w:val="fr-FR"/>
    </w:rPr>
  </w:style>
  <w:style w:type="paragraph" w:customStyle="1" w:styleId="Pointabc">
    <w:name w:val="Point abc"/>
    <w:basedOn w:val="Normal"/>
    <w:rsid w:val="00FC2D0A"/>
    <w:pPr>
      <w:numPr>
        <w:ilvl w:val="1"/>
        <w:numId w:val="6"/>
      </w:numPr>
      <w:spacing w:before="200" w:after="0" w:line="240" w:lineRule="auto"/>
    </w:pPr>
    <w:rPr>
      <w:rFonts w:eastAsia="Times New Roman"/>
      <w:sz w:val="24"/>
      <w:szCs w:val="24"/>
      <w:lang w:val="fr-FR"/>
    </w:rPr>
  </w:style>
  <w:style w:type="paragraph" w:customStyle="1" w:styleId="Pointabc1">
    <w:name w:val="Point abc (1)"/>
    <w:basedOn w:val="Normal"/>
    <w:rsid w:val="00FC2D0A"/>
    <w:pPr>
      <w:numPr>
        <w:ilvl w:val="3"/>
        <w:numId w:val="6"/>
      </w:numPr>
      <w:spacing w:after="0" w:line="240" w:lineRule="auto"/>
      <w:outlineLvl w:val="0"/>
    </w:pPr>
    <w:rPr>
      <w:rFonts w:eastAsia="Times New Roman"/>
      <w:sz w:val="24"/>
      <w:szCs w:val="24"/>
      <w:lang w:val="fr-FR"/>
    </w:rPr>
  </w:style>
  <w:style w:type="paragraph" w:customStyle="1" w:styleId="Pointabc2">
    <w:name w:val="Point abc (2)"/>
    <w:basedOn w:val="Normal"/>
    <w:rsid w:val="00FC2D0A"/>
    <w:pPr>
      <w:numPr>
        <w:ilvl w:val="5"/>
        <w:numId w:val="6"/>
      </w:numPr>
      <w:spacing w:after="0" w:line="240" w:lineRule="auto"/>
      <w:outlineLvl w:val="1"/>
    </w:pPr>
    <w:rPr>
      <w:rFonts w:eastAsia="Times New Roman"/>
      <w:sz w:val="24"/>
      <w:szCs w:val="24"/>
      <w:lang w:val="fr-FR"/>
    </w:rPr>
  </w:style>
  <w:style w:type="paragraph" w:customStyle="1" w:styleId="Pointabc3">
    <w:name w:val="Point abc (3)"/>
    <w:basedOn w:val="Normal"/>
    <w:rsid w:val="00FC2D0A"/>
    <w:pPr>
      <w:numPr>
        <w:ilvl w:val="7"/>
        <w:numId w:val="6"/>
      </w:numPr>
      <w:spacing w:after="0" w:line="240" w:lineRule="auto"/>
      <w:outlineLvl w:val="2"/>
    </w:pPr>
    <w:rPr>
      <w:rFonts w:eastAsia="Times New Roman"/>
      <w:sz w:val="24"/>
      <w:szCs w:val="24"/>
      <w:lang w:val="fr-FR"/>
    </w:rPr>
  </w:style>
  <w:style w:type="paragraph" w:customStyle="1" w:styleId="Pointabc4">
    <w:name w:val="Point abc (4)"/>
    <w:basedOn w:val="Normal"/>
    <w:rsid w:val="00FC2D0A"/>
    <w:pPr>
      <w:numPr>
        <w:ilvl w:val="8"/>
        <w:numId w:val="6"/>
      </w:numPr>
      <w:spacing w:after="0" w:line="240" w:lineRule="auto"/>
      <w:outlineLvl w:val="3"/>
    </w:pPr>
    <w:rPr>
      <w:rFonts w:eastAsia="Times New Roman"/>
      <w:sz w:val="24"/>
      <w:szCs w:val="24"/>
      <w:lang w:val="fr-FR"/>
    </w:rPr>
  </w:style>
  <w:style w:type="paragraph" w:customStyle="1" w:styleId="Point123">
    <w:name w:val="Point 123"/>
    <w:basedOn w:val="Normal"/>
    <w:rsid w:val="00FC2D0A"/>
    <w:pPr>
      <w:numPr>
        <w:numId w:val="6"/>
      </w:numPr>
      <w:spacing w:before="200" w:after="0" w:line="240" w:lineRule="auto"/>
    </w:pPr>
    <w:rPr>
      <w:rFonts w:eastAsia="Times New Roman"/>
      <w:sz w:val="24"/>
      <w:szCs w:val="24"/>
      <w:lang w:val="fr-FR"/>
    </w:rPr>
  </w:style>
  <w:style w:type="paragraph" w:customStyle="1" w:styleId="Point1231">
    <w:name w:val="Point 123 (1)"/>
    <w:basedOn w:val="Normal"/>
    <w:rsid w:val="00FC2D0A"/>
    <w:pPr>
      <w:numPr>
        <w:ilvl w:val="2"/>
        <w:numId w:val="6"/>
      </w:numPr>
      <w:spacing w:after="0" w:line="240" w:lineRule="auto"/>
      <w:outlineLvl w:val="0"/>
    </w:pPr>
    <w:rPr>
      <w:rFonts w:eastAsia="Times New Roman"/>
      <w:sz w:val="24"/>
      <w:szCs w:val="24"/>
      <w:lang w:val="fr-FR"/>
    </w:rPr>
  </w:style>
  <w:style w:type="paragraph" w:customStyle="1" w:styleId="Point1232">
    <w:name w:val="Point 123 (2)"/>
    <w:basedOn w:val="Normal"/>
    <w:rsid w:val="00FC2D0A"/>
    <w:pPr>
      <w:numPr>
        <w:ilvl w:val="4"/>
        <w:numId w:val="6"/>
      </w:numPr>
      <w:spacing w:after="0" w:line="240" w:lineRule="auto"/>
      <w:outlineLvl w:val="1"/>
    </w:pPr>
    <w:rPr>
      <w:rFonts w:eastAsia="Times New Roman"/>
      <w:sz w:val="24"/>
      <w:szCs w:val="24"/>
      <w:lang w:val="fr-FR"/>
    </w:rPr>
  </w:style>
  <w:style w:type="paragraph" w:customStyle="1" w:styleId="Point1233">
    <w:name w:val="Point 123 (3)"/>
    <w:basedOn w:val="Normal"/>
    <w:rsid w:val="00FC2D0A"/>
    <w:pPr>
      <w:numPr>
        <w:ilvl w:val="6"/>
        <w:numId w:val="6"/>
      </w:numPr>
      <w:spacing w:after="0" w:line="240" w:lineRule="auto"/>
      <w:outlineLvl w:val="2"/>
    </w:pPr>
    <w:rPr>
      <w:rFonts w:eastAsia="Times New Roman"/>
      <w:sz w:val="24"/>
      <w:szCs w:val="24"/>
      <w:lang w:val="fr-FR"/>
    </w:rPr>
  </w:style>
  <w:style w:type="paragraph" w:customStyle="1" w:styleId="Dash1">
    <w:name w:val="Dash 1"/>
    <w:basedOn w:val="Normal"/>
    <w:rsid w:val="00FC2D0A"/>
    <w:pPr>
      <w:numPr>
        <w:numId w:val="4"/>
      </w:numPr>
      <w:spacing w:after="0" w:line="240" w:lineRule="auto"/>
      <w:outlineLvl w:val="0"/>
    </w:pPr>
    <w:rPr>
      <w:rFonts w:eastAsia="Times New Roman"/>
      <w:sz w:val="24"/>
      <w:szCs w:val="24"/>
      <w:lang w:val="fr-FR"/>
    </w:rPr>
  </w:style>
  <w:style w:type="paragraph" w:styleId="Normalwebb">
    <w:name w:val="Normal (Web)"/>
    <w:basedOn w:val="Normal"/>
    <w:uiPriority w:val="99"/>
    <w:semiHidden/>
    <w:unhideWhenUsed/>
    <w:rsid w:val="00043A74"/>
    <w:pPr>
      <w:spacing w:before="100" w:beforeAutospacing="1" w:after="100" w:afterAutospacing="1" w:line="240" w:lineRule="auto"/>
      <w:ind w:left="0"/>
    </w:pPr>
    <w:rPr>
      <w:rFonts w:eastAsia="Times New Roman"/>
      <w:sz w:val="24"/>
      <w:szCs w:val="24"/>
      <w:lang w:eastAsia="sv-SE"/>
    </w:rPr>
  </w:style>
  <w:style w:type="character" w:customStyle="1" w:styleId="ng-scope">
    <w:name w:val="ng-scope"/>
    <w:basedOn w:val="Standardstycketeckensnitt"/>
    <w:rsid w:val="00043A74"/>
  </w:style>
  <w:style w:type="character" w:styleId="Stark">
    <w:name w:val="Strong"/>
    <w:basedOn w:val="Standardstycketeckensnitt"/>
    <w:uiPriority w:val="22"/>
    <w:qFormat/>
    <w:rsid w:val="00043A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336656">
      <w:bodyDiv w:val="1"/>
      <w:marLeft w:val="0"/>
      <w:marRight w:val="0"/>
      <w:marTop w:val="0"/>
      <w:marBottom w:val="0"/>
      <w:divBdr>
        <w:top w:val="none" w:sz="0" w:space="0" w:color="auto"/>
        <w:left w:val="none" w:sz="0" w:space="0" w:color="auto"/>
        <w:bottom w:val="none" w:sz="0" w:space="0" w:color="auto"/>
        <w:right w:val="none" w:sz="0" w:space="0" w:color="auto"/>
      </w:divBdr>
      <w:divsChild>
        <w:div w:id="1593121202">
          <w:marLeft w:val="0"/>
          <w:marRight w:val="0"/>
          <w:marTop w:val="0"/>
          <w:marBottom w:val="0"/>
          <w:divBdr>
            <w:top w:val="none" w:sz="0" w:space="0" w:color="auto"/>
            <w:left w:val="none" w:sz="0" w:space="0" w:color="auto"/>
            <w:bottom w:val="none" w:sz="0" w:space="0" w:color="auto"/>
            <w:right w:val="none" w:sz="0" w:space="0" w:color="auto"/>
          </w:divBdr>
          <w:divsChild>
            <w:div w:id="2137134891">
              <w:marLeft w:val="0"/>
              <w:marRight w:val="0"/>
              <w:marTop w:val="0"/>
              <w:marBottom w:val="0"/>
              <w:divBdr>
                <w:top w:val="none" w:sz="0" w:space="0" w:color="auto"/>
                <w:left w:val="none" w:sz="0" w:space="0" w:color="auto"/>
                <w:bottom w:val="none" w:sz="0" w:space="0" w:color="auto"/>
                <w:right w:val="none" w:sz="0" w:space="0" w:color="auto"/>
              </w:divBdr>
              <w:divsChild>
                <w:div w:id="1326280995">
                  <w:marLeft w:val="0"/>
                  <w:marRight w:val="0"/>
                  <w:marTop w:val="0"/>
                  <w:marBottom w:val="0"/>
                  <w:divBdr>
                    <w:top w:val="none" w:sz="0" w:space="0" w:color="auto"/>
                    <w:left w:val="none" w:sz="0" w:space="0" w:color="auto"/>
                    <w:bottom w:val="none" w:sz="0" w:space="0" w:color="auto"/>
                    <w:right w:val="none" w:sz="0" w:space="0" w:color="auto"/>
                  </w:divBdr>
                  <w:divsChild>
                    <w:div w:id="2090031613">
                      <w:marLeft w:val="0"/>
                      <w:marRight w:val="0"/>
                      <w:marTop w:val="0"/>
                      <w:marBottom w:val="0"/>
                      <w:divBdr>
                        <w:top w:val="none" w:sz="0" w:space="0" w:color="auto"/>
                        <w:left w:val="none" w:sz="0" w:space="0" w:color="auto"/>
                        <w:bottom w:val="none" w:sz="0" w:space="0" w:color="auto"/>
                        <w:right w:val="none" w:sz="0" w:space="0" w:color="auto"/>
                      </w:divBdr>
                      <w:divsChild>
                        <w:div w:id="899440950">
                          <w:marLeft w:val="2325"/>
                          <w:marRight w:val="0"/>
                          <w:marTop w:val="0"/>
                          <w:marBottom w:val="0"/>
                          <w:divBdr>
                            <w:top w:val="none" w:sz="0" w:space="0" w:color="auto"/>
                            <w:left w:val="none" w:sz="0" w:space="0" w:color="auto"/>
                            <w:bottom w:val="none" w:sz="0" w:space="0" w:color="auto"/>
                            <w:right w:val="none" w:sz="0" w:space="0" w:color="auto"/>
                          </w:divBdr>
                          <w:divsChild>
                            <w:div w:id="1077748573">
                              <w:marLeft w:val="0"/>
                              <w:marRight w:val="0"/>
                              <w:marTop w:val="0"/>
                              <w:marBottom w:val="0"/>
                              <w:divBdr>
                                <w:top w:val="none" w:sz="0" w:space="0" w:color="auto"/>
                                <w:left w:val="none" w:sz="0" w:space="0" w:color="auto"/>
                                <w:bottom w:val="none" w:sz="0" w:space="0" w:color="auto"/>
                                <w:right w:val="none" w:sz="0" w:space="0" w:color="auto"/>
                              </w:divBdr>
                              <w:divsChild>
                                <w:div w:id="1157500207">
                                  <w:marLeft w:val="0"/>
                                  <w:marRight w:val="0"/>
                                  <w:marTop w:val="0"/>
                                  <w:marBottom w:val="0"/>
                                  <w:divBdr>
                                    <w:top w:val="none" w:sz="0" w:space="0" w:color="auto"/>
                                    <w:left w:val="none" w:sz="0" w:space="0" w:color="auto"/>
                                    <w:bottom w:val="none" w:sz="0" w:space="0" w:color="auto"/>
                                    <w:right w:val="none" w:sz="0" w:space="0" w:color="auto"/>
                                  </w:divBdr>
                                  <w:divsChild>
                                    <w:div w:id="1544557744">
                                      <w:marLeft w:val="0"/>
                                      <w:marRight w:val="0"/>
                                      <w:marTop w:val="0"/>
                                      <w:marBottom w:val="0"/>
                                      <w:divBdr>
                                        <w:top w:val="none" w:sz="0" w:space="0" w:color="auto"/>
                                        <w:left w:val="none" w:sz="0" w:space="0" w:color="auto"/>
                                        <w:bottom w:val="none" w:sz="0" w:space="0" w:color="auto"/>
                                        <w:right w:val="none" w:sz="0" w:space="0" w:color="auto"/>
                                      </w:divBdr>
                                      <w:divsChild>
                                        <w:div w:id="2079471776">
                                          <w:marLeft w:val="480"/>
                                          <w:marRight w:val="0"/>
                                          <w:marTop w:val="0"/>
                                          <w:marBottom w:val="0"/>
                                          <w:divBdr>
                                            <w:top w:val="none" w:sz="0" w:space="0" w:color="auto"/>
                                            <w:left w:val="none" w:sz="0" w:space="0" w:color="auto"/>
                                            <w:bottom w:val="none" w:sz="0" w:space="0" w:color="auto"/>
                                            <w:right w:val="none" w:sz="0" w:space="0" w:color="auto"/>
                                          </w:divBdr>
                                          <w:divsChild>
                                            <w:div w:id="799881854">
                                              <w:marLeft w:val="0"/>
                                              <w:marRight w:val="0"/>
                                              <w:marTop w:val="0"/>
                                              <w:marBottom w:val="0"/>
                                              <w:divBdr>
                                                <w:top w:val="none" w:sz="0" w:space="0" w:color="auto"/>
                                                <w:left w:val="none" w:sz="0" w:space="0" w:color="auto"/>
                                                <w:bottom w:val="none" w:sz="0" w:space="0" w:color="auto"/>
                                                <w:right w:val="none" w:sz="0" w:space="0" w:color="auto"/>
                                              </w:divBdr>
                                              <w:divsChild>
                                                <w:div w:id="431167090">
                                                  <w:marLeft w:val="0"/>
                                                  <w:marRight w:val="0"/>
                                                  <w:marTop w:val="0"/>
                                                  <w:marBottom w:val="0"/>
                                                  <w:divBdr>
                                                    <w:top w:val="none" w:sz="0" w:space="0" w:color="auto"/>
                                                    <w:left w:val="none" w:sz="0" w:space="0" w:color="auto"/>
                                                    <w:bottom w:val="none" w:sz="0" w:space="0" w:color="auto"/>
                                                    <w:right w:val="none" w:sz="0" w:space="0" w:color="auto"/>
                                                  </w:divBdr>
                                                  <w:divsChild>
                                                    <w:div w:id="1484353571">
                                                      <w:marLeft w:val="0"/>
                                                      <w:marRight w:val="0"/>
                                                      <w:marTop w:val="0"/>
                                                      <w:marBottom w:val="0"/>
                                                      <w:divBdr>
                                                        <w:top w:val="none" w:sz="0" w:space="0" w:color="auto"/>
                                                        <w:left w:val="none" w:sz="0" w:space="0" w:color="auto"/>
                                                        <w:bottom w:val="none" w:sz="0" w:space="0" w:color="auto"/>
                                                        <w:right w:val="none" w:sz="0" w:space="0" w:color="auto"/>
                                                      </w:divBdr>
                                                      <w:divsChild>
                                                        <w:div w:id="182599443">
                                                          <w:marLeft w:val="0"/>
                                                          <w:marRight w:val="0"/>
                                                          <w:marTop w:val="0"/>
                                                          <w:marBottom w:val="0"/>
                                                          <w:divBdr>
                                                            <w:top w:val="none" w:sz="0" w:space="0" w:color="auto"/>
                                                            <w:left w:val="none" w:sz="0" w:space="0" w:color="auto"/>
                                                            <w:bottom w:val="none" w:sz="0" w:space="0" w:color="auto"/>
                                                            <w:right w:val="none" w:sz="0" w:space="0" w:color="auto"/>
                                                          </w:divBdr>
                                                          <w:divsChild>
                                                            <w:div w:id="125398120">
                                                              <w:marLeft w:val="0"/>
                                                              <w:marRight w:val="0"/>
                                                              <w:marTop w:val="0"/>
                                                              <w:marBottom w:val="0"/>
                                                              <w:divBdr>
                                                                <w:top w:val="none" w:sz="0" w:space="0" w:color="auto"/>
                                                                <w:left w:val="none" w:sz="0" w:space="0" w:color="auto"/>
                                                                <w:bottom w:val="none" w:sz="0" w:space="0" w:color="auto"/>
                                                                <w:right w:val="none" w:sz="0" w:space="0" w:color="auto"/>
                                                              </w:divBdr>
                                                              <w:divsChild>
                                                                <w:div w:id="952244159">
                                                                  <w:marLeft w:val="0"/>
                                                                  <w:marRight w:val="0"/>
                                                                  <w:marTop w:val="0"/>
                                                                  <w:marBottom w:val="0"/>
                                                                  <w:divBdr>
                                                                    <w:top w:val="none" w:sz="0" w:space="0" w:color="auto"/>
                                                                    <w:left w:val="none" w:sz="0" w:space="0" w:color="auto"/>
                                                                    <w:bottom w:val="none" w:sz="0" w:space="0" w:color="auto"/>
                                                                    <w:right w:val="none" w:sz="0" w:space="0" w:color="auto"/>
                                                                  </w:divBdr>
                                                                  <w:divsChild>
                                                                    <w:div w:id="827936875">
                                                                      <w:marLeft w:val="0"/>
                                                                      <w:marRight w:val="0"/>
                                                                      <w:marTop w:val="96"/>
                                                                      <w:marBottom w:val="0"/>
                                                                      <w:divBdr>
                                                                        <w:top w:val="none" w:sz="0" w:space="0" w:color="auto"/>
                                                                        <w:left w:val="none" w:sz="0" w:space="0" w:color="auto"/>
                                                                        <w:bottom w:val="none" w:sz="0" w:space="0" w:color="auto"/>
                                                                        <w:right w:val="none" w:sz="0" w:space="0" w:color="auto"/>
                                                                      </w:divBdr>
                                                                      <w:divsChild>
                                                                        <w:div w:id="196892759">
                                                                          <w:marLeft w:val="0"/>
                                                                          <w:marRight w:val="0"/>
                                                                          <w:marTop w:val="72"/>
                                                                          <w:marBottom w:val="0"/>
                                                                          <w:divBdr>
                                                                            <w:top w:val="none" w:sz="0" w:space="0" w:color="auto"/>
                                                                            <w:left w:val="none" w:sz="0" w:space="0" w:color="auto"/>
                                                                            <w:bottom w:val="none" w:sz="0" w:space="0" w:color="auto"/>
                                                                            <w:right w:val="none" w:sz="0" w:space="0" w:color="auto"/>
                                                                          </w:divBdr>
                                                                          <w:divsChild>
                                                                            <w:div w:id="16777380">
                                                                              <w:marLeft w:val="0"/>
                                                                              <w:marRight w:val="0"/>
                                                                              <w:marTop w:val="0"/>
                                                                              <w:marBottom w:val="0"/>
                                                                              <w:divBdr>
                                                                                <w:top w:val="none" w:sz="0" w:space="0" w:color="auto"/>
                                                                                <w:left w:val="none" w:sz="0" w:space="0" w:color="auto"/>
                                                                                <w:bottom w:val="none" w:sz="0" w:space="0" w:color="auto"/>
                                                                                <w:right w:val="none" w:sz="0" w:space="0" w:color="auto"/>
                                                                              </w:divBdr>
                                                                              <w:divsChild>
                                                                                <w:div w:id="3420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JE6N4JFJXNNF-9-70178</_dlc_DocId>
    <_dlc_DocIdUrl xmlns="8b66ae41-1ec6-402e-b662-35d1932ca064">
      <Url>http://rkdhs-sb/enhet/EUKansli/_layouts/DocIdRedir.aspx?ID=JE6N4JFJXNNF-9-70178</Url>
      <Description>JE6N4JFJXNNF-9-70178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92132-712D-45A9-BDE9-95B3BABC7489}">
  <ds:schemaRefs>
    <ds:schemaRef ds:uri="http://schemas.microsoft.com/office/2006/metadata/properties"/>
    <ds:schemaRef ds:uri="http://schemas.microsoft.com/office/infopath/2007/PartnerControls"/>
    <ds:schemaRef ds:uri="8b66ae41-1ec6-402e-b662-35d1932ca064"/>
    <ds:schemaRef ds:uri="e4c0beb7-0294-4d25-9600-346807c0961e"/>
  </ds:schemaRefs>
</ds:datastoreItem>
</file>

<file path=customXml/itemProps2.xml><?xml version="1.0" encoding="utf-8"?>
<ds:datastoreItem xmlns:ds="http://schemas.openxmlformats.org/officeDocument/2006/customXml" ds:itemID="{A64E3B43-AB67-4C84-BE44-2E0A0996EEB1}">
  <ds:schemaRefs>
    <ds:schemaRef ds:uri="http://schemas.microsoft.com/sharepoint/v3/contenttype/forms"/>
  </ds:schemaRefs>
</ds:datastoreItem>
</file>

<file path=customXml/itemProps3.xml><?xml version="1.0" encoding="utf-8"?>
<ds:datastoreItem xmlns:ds="http://schemas.openxmlformats.org/officeDocument/2006/customXml" ds:itemID="{225C8373-28C9-4664-912A-9D352A1EA2A6}">
  <ds:schemaRefs>
    <ds:schemaRef ds:uri="http://schemas.microsoft.com/sharepoint/v3/contenttype/forms/url"/>
  </ds:schemaRefs>
</ds:datastoreItem>
</file>

<file path=customXml/itemProps4.xml><?xml version="1.0" encoding="utf-8"?>
<ds:datastoreItem xmlns:ds="http://schemas.openxmlformats.org/officeDocument/2006/customXml" ds:itemID="{9357A8E8-0C19-4E9F-A1C8-754B6C3B20F4}">
  <ds:schemaRefs>
    <ds:schemaRef ds:uri="http://schemas.microsoft.com/office/2006/metadata/customXsn"/>
  </ds:schemaRefs>
</ds:datastoreItem>
</file>

<file path=customXml/itemProps5.xml><?xml version="1.0" encoding="utf-8"?>
<ds:datastoreItem xmlns:ds="http://schemas.openxmlformats.org/officeDocument/2006/customXml" ds:itemID="{75B5F5A3-6AA7-4CCA-808A-25A12843628A}">
  <ds:schemaRefs>
    <ds:schemaRef ds:uri="http://schemas.microsoft.com/sharepoint/events"/>
  </ds:schemaRefs>
</ds:datastoreItem>
</file>

<file path=customXml/itemProps6.xml><?xml version="1.0" encoding="utf-8"?>
<ds:datastoreItem xmlns:ds="http://schemas.openxmlformats.org/officeDocument/2006/customXml" ds:itemID="{8A612C0D-5506-48A6-8487-7BE4743E0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31435C-B30A-45B4-AF4A-C9BF08A2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1423</Words>
  <Characters>8274</Characters>
  <Application>Microsoft Office Word</Application>
  <DocSecurity>0</DocSecurity>
  <Lines>168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2</cp:revision>
  <dcterms:created xsi:type="dcterms:W3CDTF">2015-12-21T15:26:00Z</dcterms:created>
  <dcterms:modified xsi:type="dcterms:W3CDTF">2015-12-21T15:26:00Z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fb5bbfb2-8dca-44f5-91cb-e82a950c722f</vt:lpwstr>
  </property>
</Properties>
</file>