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937A4">
        <w:tblPrEx>
          <w:tblCellMar>
            <w:top w:w="0" w:type="dxa"/>
            <w:left w:w="0" w:type="dxa"/>
            <w:bottom w:w="0" w:type="dxa"/>
            <w:right w:w="0" w:type="dxa"/>
          </w:tblCellMar>
        </w:tblPrEx>
        <w:trPr>
          <w:gridAfter w:val="2"/>
          <w:wAfter w:w="1758" w:type="dxa"/>
          <w:cantSplit/>
          <w:trHeight w:val="1320"/>
        </w:trPr>
        <w:tc>
          <w:tcPr>
            <w:tcW w:w="5897" w:type="dxa"/>
          </w:tcPr>
          <w:p w:rsidR="00E937A4" w:rsidRPr="00E937A4" w:rsidRDefault="00E937A4">
            <w:pPr>
              <w:pStyle w:val="HuvudRubrik"/>
            </w:pPr>
            <w:r w:rsidRPr="00E937A4">
              <w:t>Regeringskansliet</w:t>
            </w:r>
          </w:p>
          <w:p w:rsidR="00E937A4" w:rsidRPr="00E937A4" w:rsidRDefault="00E937A4">
            <w:pPr>
              <w:pStyle w:val="HuvudRubrik"/>
            </w:pPr>
            <w:r w:rsidRPr="00E937A4">
              <w:t>Faktapromemoria  2008/09:FPM112</w:t>
            </w:r>
          </w:p>
        </w:tc>
      </w:tr>
      <w:tr w:rsidR="00000000" w:rsidRPr="00E937A4">
        <w:tblPrEx>
          <w:tblCellMar>
            <w:top w:w="0" w:type="dxa"/>
            <w:left w:w="0" w:type="dxa"/>
            <w:bottom w:w="0" w:type="dxa"/>
            <w:right w:w="0" w:type="dxa"/>
          </w:tblCellMar>
        </w:tblPrEx>
        <w:trPr>
          <w:gridAfter w:val="2"/>
          <w:wAfter w:w="1758" w:type="dxa"/>
          <w:cantSplit/>
          <w:trHeight w:val="240"/>
        </w:trPr>
        <w:tc>
          <w:tcPr>
            <w:tcW w:w="5897" w:type="dxa"/>
          </w:tcPr>
          <w:p w:rsidR="00E937A4" w:rsidRPr="00E937A4" w:rsidRDefault="00E937A4">
            <w:pPr>
              <w:pStyle w:val="HuvudRubrik"/>
              <w:rPr>
                <w:sz w:val="28"/>
              </w:rPr>
            </w:pPr>
            <w:r w:rsidRPr="00E937A4">
              <w:t>Återvinning av bensinångor vid tankning på bensinstationer</w:t>
            </w:r>
          </w:p>
        </w:tc>
      </w:tr>
      <w:tr w:rsidR="00000000" w:rsidRPr="00E937A4">
        <w:tblPrEx>
          <w:tblCellMar>
            <w:top w:w="0" w:type="dxa"/>
            <w:left w:w="0" w:type="dxa"/>
            <w:bottom w:w="0" w:type="dxa"/>
            <w:right w:w="0" w:type="dxa"/>
          </w:tblCellMar>
        </w:tblPrEx>
        <w:trPr>
          <w:cantSplit/>
          <w:trHeight w:val="285"/>
        </w:trPr>
        <w:tc>
          <w:tcPr>
            <w:tcW w:w="7655" w:type="dxa"/>
            <w:gridSpan w:val="3"/>
          </w:tcPr>
          <w:p w:rsidR="00E937A4" w:rsidRPr="00E937A4" w:rsidRDefault="00E937A4">
            <w:pPr>
              <w:pStyle w:val="Departement"/>
              <w:rPr>
                <w:sz w:val="28"/>
              </w:rPr>
            </w:pPr>
            <w:r w:rsidRPr="00E937A4">
              <w:t>Miljödepartementet</w:t>
            </w:r>
          </w:p>
        </w:tc>
      </w:tr>
      <w:tr w:rsidR="00000000" w:rsidRPr="00E937A4">
        <w:tblPrEx>
          <w:tblCellMar>
            <w:top w:w="0" w:type="dxa"/>
            <w:left w:w="0" w:type="dxa"/>
            <w:bottom w:w="0" w:type="dxa"/>
            <w:right w:w="0" w:type="dxa"/>
          </w:tblCellMar>
        </w:tblPrEx>
        <w:trPr>
          <w:cantSplit/>
          <w:trHeight w:val="240"/>
        </w:trPr>
        <w:tc>
          <w:tcPr>
            <w:tcW w:w="7655" w:type="dxa"/>
            <w:gridSpan w:val="3"/>
          </w:tcPr>
          <w:p w:rsidR="00E937A4" w:rsidRPr="00E937A4" w:rsidRDefault="00E937A4">
            <w:pPr>
              <w:pStyle w:val="Dokumentdatum"/>
            </w:pPr>
            <w:r w:rsidRPr="00E937A4">
              <w:t>2009-04-29</w:t>
            </w:r>
          </w:p>
        </w:tc>
      </w:tr>
      <w:tr w:rsidR="00000000" w:rsidRPr="00E937A4">
        <w:tblPrEx>
          <w:tblCellMar>
            <w:top w:w="0" w:type="dxa"/>
            <w:left w:w="0" w:type="dxa"/>
            <w:bottom w:w="0" w:type="dxa"/>
            <w:right w:w="0" w:type="dxa"/>
          </w:tblCellMar>
        </w:tblPrEx>
        <w:trPr>
          <w:cantSplit/>
          <w:trHeight w:val="726"/>
        </w:trPr>
        <w:tc>
          <w:tcPr>
            <w:tcW w:w="7655" w:type="dxa"/>
            <w:gridSpan w:val="3"/>
            <w:vAlign w:val="bottom"/>
          </w:tcPr>
          <w:p w:rsidR="00E937A4" w:rsidRPr="00E937A4" w:rsidRDefault="00E937A4">
            <w:pPr>
              <w:pStyle w:val="Dokumentbeteckning"/>
            </w:pPr>
            <w:r w:rsidRPr="00E937A4">
              <w:t>Dokumentbeteckning</w:t>
            </w:r>
          </w:p>
        </w:tc>
      </w:tr>
      <w:tr w:rsidR="00000000" w:rsidRPr="00E937A4">
        <w:tblPrEx>
          <w:tblCellMar>
            <w:top w:w="0" w:type="dxa"/>
            <w:left w:w="0" w:type="dxa"/>
            <w:bottom w:w="0" w:type="dxa"/>
            <w:right w:w="0" w:type="dxa"/>
          </w:tblCellMar>
        </w:tblPrEx>
        <w:trPr>
          <w:gridAfter w:val="1"/>
          <w:wAfter w:w="1560" w:type="dxa"/>
          <w:trHeight w:val="120"/>
        </w:trPr>
        <w:tc>
          <w:tcPr>
            <w:tcW w:w="6095" w:type="dxa"/>
            <w:gridSpan w:val="2"/>
          </w:tcPr>
          <w:p w:rsidR="00E937A4" w:rsidRPr="00E937A4" w:rsidRDefault="00E937A4">
            <w:bookmarkStart w:id="0" w:name="KomNr"/>
            <w:bookmarkEnd w:id="0"/>
            <w:r w:rsidRPr="00E937A4">
              <w:t>KOM (2008) 812</w:t>
            </w:r>
          </w:p>
        </w:tc>
      </w:tr>
      <w:tr w:rsidR="00000000" w:rsidRPr="00E937A4">
        <w:tblPrEx>
          <w:tblCellMar>
            <w:top w:w="0" w:type="dxa"/>
            <w:left w:w="0" w:type="dxa"/>
            <w:bottom w:w="0" w:type="dxa"/>
            <w:right w:w="0" w:type="dxa"/>
          </w:tblCellMar>
        </w:tblPrEx>
        <w:trPr>
          <w:gridAfter w:val="1"/>
          <w:wAfter w:w="1560" w:type="dxa"/>
          <w:trHeight w:val="120"/>
        </w:trPr>
        <w:tc>
          <w:tcPr>
            <w:tcW w:w="6095" w:type="dxa"/>
            <w:gridSpan w:val="2"/>
          </w:tcPr>
          <w:p w:rsidR="00E937A4" w:rsidRPr="00E937A4" w:rsidRDefault="00E937A4">
            <w:pPr>
              <w:pStyle w:val="Dokumentbeteckning-titel"/>
            </w:pPr>
            <w:r w:rsidRPr="00E937A4">
              <w:t>Förslag till Europaparlamentets och rådets direktiv om återvinning av bensinångor steg II, vid tankning av personbilar på bensinstationer.</w:t>
            </w:r>
          </w:p>
        </w:tc>
      </w:tr>
    </w:tbl>
    <w:p w:rsidR="00E937A4" w:rsidRPr="00E937A4" w:rsidRDefault="00E937A4"/>
    <w:p w:rsidR="00E937A4" w:rsidRPr="00E937A4" w:rsidRDefault="00E937A4">
      <w:pPr>
        <w:pStyle w:val="Rubrik1"/>
        <w:numPr>
          <w:ilvl w:val="0"/>
          <w:numId w:val="0"/>
        </w:numPr>
      </w:pPr>
      <w:r w:rsidRPr="00E937A4">
        <w:t>Sammanfattning</w:t>
      </w:r>
    </w:p>
    <w:p w:rsidR="00E937A4" w:rsidRPr="00E937A4" w:rsidRDefault="00E937A4">
      <w:r w:rsidRPr="00E937A4">
        <w:t xml:space="preserve">Syftet med förslaget är att öka återvinningen av bensinångor vid tankning på bensinstationer. Den utrustning som installeras ska samla in 85 procent av ångorna. För nya stationer införs kraven den 1 juli 2012. För befintliga stationer som säljer mer än </w:t>
      </w:r>
      <w:smartTag w:uri="urn:schemas-microsoft-com:office:smarttags" w:element="metricconverter">
        <w:smartTagPr>
          <w:attr w:name="ProductID" w:val="3 000 kubikmeter"/>
        </w:smartTagPr>
        <w:r w:rsidRPr="00E937A4">
          <w:t>3 000 kubikmeter</w:t>
        </w:r>
      </w:smartTag>
      <w:r w:rsidRPr="00E937A4">
        <w:t xml:space="preserve"> bensin per år införs kraven från och med 2019.</w:t>
      </w:r>
    </w:p>
    <w:p w:rsidR="00E937A4" w:rsidRPr="00E937A4" w:rsidRDefault="00E937A4">
      <w:r w:rsidRPr="00E937A4">
        <w:t>Kraven motsvarar de krav som redan är genomförda i Sverige och ett antal andra medlemsländer, förutsatt att gränsvärdet 85 procent ska gälla vid typgodkännande av utrustningen, vilket bör klargöras.</w:t>
      </w:r>
    </w:p>
    <w:p w:rsidR="00E937A4" w:rsidRPr="00E937A4" w:rsidRDefault="00E937A4">
      <w:r w:rsidRPr="00E937A4">
        <w:t>Regeringens uppfattning är att kraven kan införas tidigare för befintliga stationer. Samtidigt är det viktigt att det kan träffas en överenskommelse i första läsningen.</w:t>
      </w:r>
    </w:p>
    <w:p w:rsidR="00E937A4" w:rsidRPr="00E937A4" w:rsidRDefault="00E937A4">
      <w:pPr>
        <w:pStyle w:val="Rubrik1"/>
      </w:pPr>
      <w:r w:rsidRPr="00E937A4">
        <w:t>Förslaget</w:t>
      </w:r>
    </w:p>
    <w:p w:rsidR="00E937A4" w:rsidRPr="00E937A4" w:rsidRDefault="00E937A4">
      <w:pPr>
        <w:pStyle w:val="Rubrik2"/>
      </w:pPr>
      <w:r w:rsidRPr="00E937A4">
        <w:t>Ärendets bakgrund</w:t>
      </w:r>
    </w:p>
    <w:p w:rsidR="00E937A4" w:rsidRPr="00E937A4" w:rsidRDefault="00E937A4">
      <w:r w:rsidRPr="00E937A4">
        <w:t xml:space="preserve">Förslaget har anknytning till den tematiska strategin för luftvård i och med att det kommer att bidra till att begränsa utsläppen av kolväten, särskilt i de länder som hittills inte har genomfört motsvarande åtgärder nationellt. Det är även en av de åtgärder som behövs för att medlemsländer med problem ska kunna nå miljökvalitetsnormen för ozon enligt direktiv 2008/50/EG. Det </w:t>
      </w:r>
      <w:r w:rsidRPr="00E937A4">
        <w:lastRenderedPageBreak/>
        <w:t>förbättrar även möjligheterna att nå miljökvalitetsnormerna för bensen och polyaromatiska kolväten.</w:t>
      </w:r>
    </w:p>
    <w:p w:rsidR="00E937A4" w:rsidRPr="00E937A4" w:rsidRDefault="00E937A4">
      <w:r w:rsidRPr="00E937A4">
        <w:t>Bensinångor bildas även i tidigare led av distributionsprocessen. Återvin</w:t>
      </w:r>
      <w:r w:rsidRPr="00E937A4">
        <w:softHyphen/>
        <w:t>ning av dessa regleras genom Europaparlamentets och rådets direktiv 94/63/EG av den 20 december 1994 om begränsning av utsläpp av flyktiga organiska ämnen (VOC) vid lagring av bensin och vid distribution av bensin från depåer till bensinstationer.</w:t>
      </w:r>
    </w:p>
    <w:p w:rsidR="00E937A4" w:rsidRPr="00E937A4" w:rsidRDefault="00E937A4"/>
    <w:p w:rsidR="00E937A4" w:rsidRPr="00E937A4" w:rsidRDefault="00E937A4">
      <w:pPr>
        <w:pStyle w:val="Rubrik2"/>
      </w:pPr>
      <w:r w:rsidRPr="00E937A4">
        <w:t>Förslagets innehåll</w:t>
      </w:r>
    </w:p>
    <w:p w:rsidR="00E937A4" w:rsidRPr="00E937A4" w:rsidRDefault="00E937A4">
      <w:pPr>
        <w:pStyle w:val="Rubrik5"/>
      </w:pPr>
      <w:r w:rsidRPr="00E937A4">
        <w:t>Gränsvärde för återvinning</w:t>
      </w:r>
    </w:p>
    <w:p w:rsidR="00E937A4" w:rsidRPr="00E937A4" w:rsidRDefault="00E937A4">
      <w:r w:rsidRPr="00E937A4">
        <w:t>Förslaget innebär att bensinstationer ska förses med system för återföring av bensinångor vid tankning från pump till bil. Det gäller följande bensin</w:t>
      </w:r>
      <w:r w:rsidRPr="00E937A4">
        <w:softHyphen/>
        <w:t>stationer:</w:t>
      </w:r>
    </w:p>
    <w:p w:rsidR="00E937A4" w:rsidRPr="00E937A4" w:rsidRDefault="00E937A4">
      <w:pPr>
        <w:numPr>
          <w:ilvl w:val="0"/>
          <w:numId w:val="7"/>
        </w:numPr>
      </w:pPr>
      <w:r w:rsidRPr="00E937A4">
        <w:t>Alla nya bensinstationer som säljer mer än 500 kubikmeter bensin per år.</w:t>
      </w:r>
    </w:p>
    <w:p w:rsidR="00E937A4" w:rsidRPr="00E937A4" w:rsidRDefault="00E937A4">
      <w:pPr>
        <w:numPr>
          <w:ilvl w:val="0"/>
          <w:numId w:val="7"/>
        </w:numPr>
      </w:pPr>
      <w:r w:rsidRPr="00E937A4">
        <w:t>Alla nya bensinstationer som ligger i anslutning till bostads</w:t>
      </w:r>
      <w:r w:rsidRPr="00E937A4">
        <w:softHyphen/>
        <w:t>om</w:t>
      </w:r>
      <w:r w:rsidRPr="00E937A4">
        <w:softHyphen/>
        <w:t>råden eller områden med arbetsplatser oavsett försäljnings</w:t>
      </w:r>
      <w:r w:rsidRPr="00E937A4">
        <w:softHyphen/>
        <w:t>volym.</w:t>
      </w:r>
    </w:p>
    <w:p w:rsidR="00E937A4" w:rsidRPr="00E937A4" w:rsidRDefault="00E937A4">
      <w:pPr>
        <w:numPr>
          <w:ilvl w:val="0"/>
          <w:numId w:val="7"/>
        </w:numPr>
      </w:pPr>
      <w:r w:rsidRPr="00E937A4">
        <w:t>Alla befintliga bensinstationer som säljer mer är 500 kubikmeter bensin per år och genomgår en betydande ombyggnad.</w:t>
      </w:r>
    </w:p>
    <w:p w:rsidR="00E937A4" w:rsidRPr="00E937A4" w:rsidRDefault="00E937A4">
      <w:pPr>
        <w:numPr>
          <w:ilvl w:val="0"/>
          <w:numId w:val="7"/>
        </w:numPr>
      </w:pPr>
      <w:r w:rsidRPr="00E937A4">
        <w:t>Alla befintliga bensinstationer som säljer mer än 3000 kubikmeter bensin per år.</w:t>
      </w:r>
    </w:p>
    <w:p w:rsidR="00E937A4" w:rsidRPr="00E937A4" w:rsidRDefault="00E937A4">
      <w:r w:rsidRPr="00E937A4">
        <w:t xml:space="preserve">För de tre första grupperna börjar kraven gälla från och med den 1 juli 2012. För den fjärde gruppen gäller kraven efter den 31 december 2020. </w:t>
      </w:r>
    </w:p>
    <w:p w:rsidR="00E937A4" w:rsidRPr="00E937A4" w:rsidRDefault="00E937A4">
      <w:r w:rsidRPr="00E937A4">
        <w:t>Återföringsgraden ska vara minst 85 procent. Det är oklart om gränsvärdet 85 procent gäller vid typgodkännande av nya typer av utrustning eller om det gäller vid praktisk provning av anläggningar i bruk.</w:t>
      </w:r>
    </w:p>
    <w:p w:rsidR="00E937A4" w:rsidRPr="00E937A4" w:rsidRDefault="00E937A4">
      <w:r w:rsidRPr="00E937A4">
        <w:t>Bensinångorna ska lagras i underjordiska tankar vars volym motsvarar mellan 0,95 till 1,05 den återvunna volymen. I praktiken lagras ångorna i samma tanksystem som används för att lagra bensin för att sedan i enlighet med kraven i direktiv 94/63/EG föras över till tankbilen och därefter tillbaka till depån där gaserna utnyttjas i produktionen av ny bensin.</w:t>
      </w:r>
    </w:p>
    <w:p w:rsidR="00E937A4" w:rsidRPr="00E937A4" w:rsidRDefault="00E937A4">
      <w:pPr>
        <w:pStyle w:val="Rubrik5"/>
      </w:pPr>
      <w:r w:rsidRPr="00E937A4">
        <w:t>Inspektioner och överensstämmelse</w:t>
      </w:r>
    </w:p>
    <w:p w:rsidR="00E937A4" w:rsidRPr="00E937A4" w:rsidRDefault="00E937A4">
      <w:r w:rsidRPr="00E937A4">
        <w:t>Återföringsgraden ska provas minst en gång om året. Om anläggningarna har försetts med ett automatiskt övervakningssystem kan provningen glesas ut till vart tredje år.</w:t>
      </w:r>
    </w:p>
    <w:p w:rsidR="00E937A4" w:rsidRPr="00E937A4" w:rsidRDefault="00E937A4">
      <w:r w:rsidRPr="00E937A4">
        <w:t>Automatiska övervakningssystem ska upptäckas funktionsfel automatiskt och indikera detta för operatören. Blir felet inte åtgärdat inom sju dagar ska systemet automatiskt stänga av den felaktiga pumpen.</w:t>
      </w:r>
    </w:p>
    <w:p w:rsidR="00E937A4" w:rsidRPr="00E937A4" w:rsidRDefault="00E937A4">
      <w:pPr>
        <w:pStyle w:val="Rubrik5"/>
      </w:pPr>
      <w:r w:rsidRPr="00E937A4">
        <w:t>Övrigt</w:t>
      </w:r>
    </w:p>
    <w:p w:rsidR="00E937A4" w:rsidRPr="00E937A4" w:rsidRDefault="00E937A4">
      <w:r w:rsidRPr="00E937A4">
        <w:t>I förslaget ingår även standardmässiga övergripande krav om att medlemsstater ska införa sanktioner i det fall att nationella regler överträds.</w:t>
      </w:r>
    </w:p>
    <w:p w:rsidR="00E937A4" w:rsidRPr="00E937A4" w:rsidRDefault="00E937A4">
      <w:pPr>
        <w:pStyle w:val="Rubrik2"/>
      </w:pPr>
      <w:r w:rsidRPr="00E937A4">
        <w:t>Gällande svenska regler och förslagets effekt på dessa</w:t>
      </w:r>
    </w:p>
    <w:p w:rsidR="00E937A4" w:rsidRPr="00E937A4" w:rsidRDefault="00E937A4">
      <w:r w:rsidRPr="00E937A4">
        <w:t>De nuvarande svenska reglerna framgår av Naturvårdsverkets föreskrift SNFS 1996:5. För svenska tankställen fasades motsvarande krav in under åren 1992-1994. Våra krav innebär att 85 procent av bensinångorna ska återvinnas vid typgodkännande av ny utrustning medan 70 procent av gaserna ska återvinnas vid provning av anläggningar i bruk.</w:t>
      </w:r>
    </w:p>
    <w:p w:rsidR="00E937A4" w:rsidRPr="00E937A4" w:rsidRDefault="00E937A4">
      <w:r w:rsidRPr="00E937A4">
        <w:t>Den osäkerhet som finns i förhållande till det svenska regelverket gäller  återvinningsgraden. Ska återvinningsgraden vara 85 procent vid typgodkän</w:t>
      </w:r>
      <w:r w:rsidRPr="00E937A4">
        <w:softHyphen/>
        <w:t>nan</w:t>
      </w:r>
      <w:r w:rsidRPr="00E937A4">
        <w:softHyphen/>
        <w:t>det av utrustningen eller när utrustning som är installerad på tankställen kontrolleras? Med den senare tolk</w:t>
      </w:r>
      <w:r w:rsidRPr="00E937A4">
        <w:softHyphen/>
        <w:t>ningen innebär förslaget en betydande skärpning jämför med de nuvarande svenska reglerna. Om gränsvärdet 85 procent avser provning vid typgodkännande torde endast marginella ändringar behöva ske i det svenska regelverket.</w:t>
      </w:r>
    </w:p>
    <w:p w:rsidR="00E937A4" w:rsidRPr="00E937A4" w:rsidRDefault="00E937A4">
      <w:pPr>
        <w:pStyle w:val="Rubrik2"/>
      </w:pPr>
      <w:r w:rsidRPr="00E937A4">
        <w:t>Budgetära konsekvenser / Konsekvensanalys</w:t>
      </w:r>
    </w:p>
    <w:p w:rsidR="00E937A4" w:rsidRPr="00E937A4" w:rsidRDefault="00E937A4">
      <w:r w:rsidRPr="00E937A4">
        <w:t xml:space="preserve">Förslaget torde inte ha några budgetkonsekvenser. Tillsynen är kommunal och avgiftsfinansierad. Installationen bekostas av bensinstationernas ägare. </w:t>
      </w:r>
    </w:p>
    <w:p w:rsidR="00E937A4" w:rsidRPr="00E937A4" w:rsidRDefault="00E937A4">
      <w:pPr>
        <w:pStyle w:val="Rubrik1"/>
      </w:pPr>
      <w:r w:rsidRPr="00E937A4">
        <w:t>Ståndpunkter</w:t>
      </w:r>
    </w:p>
    <w:p w:rsidR="00E937A4" w:rsidRPr="00E937A4" w:rsidRDefault="00E937A4">
      <w:pPr>
        <w:pStyle w:val="Rubrik2"/>
      </w:pPr>
      <w:r w:rsidRPr="00E937A4">
        <w:t>Preliminär svensk ståndpunkt</w:t>
      </w:r>
    </w:p>
    <w:p w:rsidR="00E937A4" w:rsidRPr="00E937A4" w:rsidRDefault="00E937A4">
      <w:r w:rsidRPr="00E937A4">
        <w:t>Regeringen välkomnar förslaget som bidrar till att minska utsläppen av kolväten inom EG. Det är positivt både med hänsyn till hälsan och miljöpåverkan i övrigt. Den svenska erfarenheten av våra nationella regler är att kostnaden har varit begränsad och att acceptansen i branschen och bland kunderna har varit mycket stor.</w:t>
      </w:r>
    </w:p>
    <w:p w:rsidR="00E937A4" w:rsidRPr="00E937A4" w:rsidRDefault="00E937A4">
      <w:r w:rsidRPr="00E937A4">
        <w:t xml:space="preserve">Regeringen menar att den osäkerhet som finns om hur gränsvärdet 85 procent ska tolkas bör klargöras. Det kan även vara befogat att införa separata gränsvärden som gäller vid typgodkännande och vid provning av utrustning som är i praktiskt bruk. </w:t>
      </w:r>
    </w:p>
    <w:p w:rsidR="00E937A4" w:rsidRPr="00E937A4" w:rsidRDefault="00E937A4">
      <w:r w:rsidRPr="00E937A4">
        <w:t xml:space="preserve">Enligt vår bedömning bör kraven på befintliga tankställen kunna skärpas. Stationer som säljer mer än </w:t>
      </w:r>
      <w:smartTag w:uri="urn:schemas-microsoft-com:office:smarttags" w:element="metricconverter">
        <w:smartTagPr>
          <w:attr w:name="ProductID" w:val="3ﾠ000 kubikmeter"/>
        </w:smartTagPr>
        <w:r w:rsidRPr="00E937A4">
          <w:t>3 000 kubikmeter</w:t>
        </w:r>
      </w:smartTag>
      <w:r w:rsidRPr="00E937A4">
        <w:t xml:space="preserve"> per år bör få montera in utrustning och då redan från den 1 januari 2016. I övrigt accepterar regeringen förslaget om påföljder, genomförandetider och datum för ikraftträdande m.m.</w:t>
      </w:r>
    </w:p>
    <w:p w:rsidR="00E937A4" w:rsidRPr="00E937A4" w:rsidRDefault="00E937A4">
      <w:r w:rsidRPr="00E937A4">
        <w:t>Regeringen anser dock att förslaget är av sådan natur att det bör kunna träffas en överenskommelse i första läsningen.</w:t>
      </w:r>
    </w:p>
    <w:p w:rsidR="00E937A4" w:rsidRPr="00E937A4" w:rsidRDefault="00E937A4">
      <w:pPr>
        <w:pStyle w:val="Rubrik2"/>
      </w:pPr>
      <w:r w:rsidRPr="00E937A4">
        <w:t>Medlemsstaternas ståndpunkter</w:t>
      </w:r>
    </w:p>
    <w:p w:rsidR="00E937A4" w:rsidRPr="00E937A4" w:rsidRDefault="00E937A4">
      <w:r w:rsidRPr="00E937A4">
        <w:t>Ett relativt stort antal medlemsländer har redan infört motsvarande krav. Stödet för förslaget är brett.</w:t>
      </w:r>
    </w:p>
    <w:p w:rsidR="00E937A4" w:rsidRPr="00E937A4" w:rsidRDefault="00E937A4">
      <w:pPr>
        <w:pStyle w:val="Rubrik2"/>
      </w:pPr>
      <w:r w:rsidRPr="00E937A4">
        <w:t>Institutionernas ståndpunkter</w:t>
      </w:r>
    </w:p>
    <w:p w:rsidR="00E937A4" w:rsidRPr="00E937A4" w:rsidRDefault="00E937A4">
      <w:r w:rsidRPr="00E937A4">
        <w:t>Parlamentet har tagit slutlig ställning till förslaget. Miljökommittén har föreslagit ett par substantiella ändringar:</w:t>
      </w:r>
    </w:p>
    <w:p w:rsidR="00E937A4" w:rsidRPr="00E937A4" w:rsidRDefault="00E937A4">
      <w:r w:rsidRPr="00E937A4">
        <w:t>Återföringsgraden ska höjas från 85 till 90 procent.</w:t>
      </w:r>
    </w:p>
    <w:p w:rsidR="00E937A4" w:rsidRPr="00E937A4" w:rsidRDefault="00E937A4">
      <w:r w:rsidRPr="00E937A4">
        <w:t>Befintliga anläggningar ska omfattas från och med den 1 januari 2019.</w:t>
      </w:r>
    </w:p>
    <w:p w:rsidR="00E937A4" w:rsidRPr="00E937A4" w:rsidRDefault="00E937A4">
      <w:pPr>
        <w:pStyle w:val="Rubrik2"/>
      </w:pPr>
      <w:r w:rsidRPr="00E937A4">
        <w:t>Remissinstansernas ståndpunkter</w:t>
      </w:r>
    </w:p>
    <w:p w:rsidR="00E937A4" w:rsidRPr="00E937A4" w:rsidRDefault="00E937A4">
      <w:r w:rsidRPr="00E937A4">
        <w:t>Förslaget remissbehandlas. Svenska Petroleum Institutet har redan lämnat in en skrivelse med synpunkter på förslaget och bland annat påpekat skillnaden mellan förslaget och den gällande svenska författningen.</w:t>
      </w:r>
    </w:p>
    <w:p w:rsidR="00E937A4" w:rsidRPr="00E937A4" w:rsidRDefault="00E937A4">
      <w:pPr>
        <w:pStyle w:val="Rubrik1"/>
      </w:pPr>
      <w:r w:rsidRPr="00E937A4">
        <w:t>Förslagets förutsättningar</w:t>
      </w:r>
    </w:p>
    <w:p w:rsidR="00E937A4" w:rsidRPr="00E937A4" w:rsidRDefault="00E937A4">
      <w:pPr>
        <w:pStyle w:val="Rubrik2"/>
      </w:pPr>
      <w:r w:rsidRPr="00E937A4">
        <w:t>Rättslig grund och beslutsförfarande</w:t>
      </w:r>
    </w:p>
    <w:p w:rsidR="00E937A4" w:rsidRPr="00E937A4" w:rsidRDefault="00E937A4">
      <w:r w:rsidRPr="00E937A4">
        <w:t>Artikel 175.1 som innebär att direktivet avses bli ett minimidirektiv. Rådet fattar beslut med kvalificerad majoritet och Europaparlamentet deltar enligt det s.k. medbeslutandeförfarandet.</w:t>
      </w:r>
    </w:p>
    <w:p w:rsidR="00E937A4" w:rsidRPr="00E937A4" w:rsidRDefault="00E937A4">
      <w:pPr>
        <w:pStyle w:val="Rubrik2"/>
      </w:pPr>
      <w:r w:rsidRPr="00E937A4">
        <w:t>Subsidiaritets- och proportionalitetsprincipen</w:t>
      </w:r>
    </w:p>
    <w:p w:rsidR="00E937A4" w:rsidRPr="00E937A4" w:rsidRDefault="00E937A4">
      <w:r w:rsidRPr="00E937A4">
        <w:t>Bensinångor består av flyktiga kolväten. Tillsammans med kväveoxider bildar kolväten genom luftkemiska reaktioner marknära ozon som är en luft-förorening påverkar såväl hälsa som växtlighet. Ozonbildningen sker ofta på betydande avstånd från källan varför ett enskilt medlemsland oftast inte kan åtgärda problemen genom nationella åtgärder.</w:t>
      </w:r>
    </w:p>
    <w:p w:rsidR="00E937A4" w:rsidRPr="00E937A4" w:rsidRDefault="00E937A4">
      <w:r w:rsidRPr="00E937A4">
        <w:t>Ett skäl till varför förslaget har lagts fram är att en ökad inblandning av etanol (upp till tio procent) nu är tillåten enligt bränslekvalitetsdirektivet (dir. 1998/70/EG). Detta kan leda till att avdunstning av bensinångor ökar och därmed till större utsläpp i samband med tankning.</w:t>
      </w:r>
    </w:p>
    <w:p w:rsidR="00E937A4" w:rsidRPr="00E937A4" w:rsidRDefault="00E937A4">
      <w:r w:rsidRPr="00E937A4">
        <w:t>Regeringen delar i dessa delar Kommissionens bedömning.</w:t>
      </w:r>
    </w:p>
    <w:p w:rsidR="00E937A4" w:rsidRPr="00E937A4" w:rsidRDefault="00E937A4">
      <w:pPr>
        <w:pStyle w:val="Rubrik1"/>
      </w:pPr>
      <w:r w:rsidRPr="00E937A4">
        <w:t>Övrigt</w:t>
      </w:r>
    </w:p>
    <w:p w:rsidR="00E937A4" w:rsidRPr="00E937A4" w:rsidRDefault="00E937A4">
      <w:pPr>
        <w:pStyle w:val="Rubrik2"/>
      </w:pPr>
      <w:r w:rsidRPr="00E937A4">
        <w:t>Fortsatt behandling av ärendet</w:t>
      </w:r>
    </w:p>
    <w:p w:rsidR="00E937A4" w:rsidRPr="00E937A4" w:rsidRDefault="00E937A4">
      <w:r w:rsidRPr="00E937A4">
        <w:t>Ordföranden avser att nå ett beslut vid miljörådets möte i juni. Avsikten är att försöka nå en överenskommelse i första läsningen genom att Rådet accepterar Parlamentets position.</w:t>
      </w:r>
    </w:p>
    <w:p w:rsidR="00E937A4" w:rsidRPr="00E937A4" w:rsidRDefault="00E937A4">
      <w:pPr>
        <w:pStyle w:val="Rubrik2"/>
      </w:pPr>
      <w:r w:rsidRPr="00E937A4">
        <w:t>Fackuttryck/termer</w:t>
      </w:r>
    </w:p>
    <w:p w:rsidR="00E937A4" w:rsidRPr="00E937A4" w:rsidRDefault="00E937A4">
      <w:r w:rsidRPr="00E937A4">
        <w:t>-</w:t>
      </w:r>
    </w:p>
    <w:sectPr w:rsidR="00000000" w:rsidRPr="00E937A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7A4" w:rsidRPr="00E937A4" w:rsidRDefault="00E937A4">
      <w:r w:rsidRPr="00E937A4">
        <w:separator/>
      </w:r>
    </w:p>
  </w:endnote>
  <w:endnote w:type="continuationSeparator" w:id="0">
    <w:p w:rsidR="00E937A4" w:rsidRPr="00E937A4" w:rsidRDefault="00E937A4">
      <w:r w:rsidRPr="00E937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Gothic Light">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A4" w:rsidRPr="00E937A4" w:rsidRDefault="00E937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A4" w:rsidRPr="00E937A4" w:rsidRDefault="00E937A4">
    <w:pPr>
      <w:pStyle w:val="SidfotH"/>
      <w:framePr w:wrap="around"/>
    </w:pPr>
    <w:r w:rsidRPr="00E937A4">
      <w:t>5</w:t>
    </w:r>
  </w:p>
  <w:p w:rsidR="00E937A4" w:rsidRPr="00E937A4" w:rsidRDefault="00E937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A4" w:rsidRPr="00E937A4" w:rsidRDefault="00E937A4">
    <w:pPr>
      <w:pStyle w:val="SidfotH"/>
      <w:framePr w:wrap="around"/>
    </w:pPr>
    <w:r w:rsidRPr="00E937A4">
      <w:t>1</w:t>
    </w:r>
  </w:p>
  <w:p w:rsidR="00E937A4" w:rsidRPr="00E937A4" w:rsidRDefault="00E937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7A4" w:rsidRPr="00E937A4" w:rsidRDefault="00E937A4">
      <w:r w:rsidRPr="00E937A4">
        <w:separator/>
      </w:r>
    </w:p>
  </w:footnote>
  <w:footnote w:type="continuationSeparator" w:id="0">
    <w:p w:rsidR="00E937A4" w:rsidRPr="00E937A4" w:rsidRDefault="00E937A4">
      <w:r w:rsidRPr="00E937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A4" w:rsidRPr="00E937A4" w:rsidRDefault="00E937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A4" w:rsidRPr="00E937A4" w:rsidRDefault="00E937A4">
    <w:pPr>
      <w:pStyle w:val="Kantrubrik"/>
      <w:framePr w:h="1157" w:hRule="exact" w:wrap="around" w:y="738"/>
    </w:pPr>
    <w:r w:rsidRPr="00E937A4">
      <w:t>2008/09:FPM112</w:t>
    </w:r>
  </w:p>
  <w:p w:rsidR="00E937A4" w:rsidRPr="00E937A4" w:rsidRDefault="00E937A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A4" w:rsidRPr="00E937A4" w:rsidRDefault="00E937A4">
    <w:pPr>
      <w:pStyle w:val="Sidhuvud"/>
    </w:pPr>
    <w:r w:rsidRPr="00E937A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05388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7A4" w:rsidRDefault="00E937A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937A4" w:rsidRDefault="00E937A4">
                    <w:pPr>
                      <w:pStyle w:val="Logo"/>
                    </w:pPr>
                    <w:r>
                      <w:object w:dxaOrig="840" w:dyaOrig="1545">
                        <v:shape id="_x0000_i1025" type="#_x0000_t75" style="width:42pt;height:77.5pt" filled="t">
                          <v:imagedata r:id="rId1" o:title=""/>
                        </v:shape>
                        <o:OLEObject Type="Embed" ProgID="Word.Picture.8" ShapeID="_x0000_i1025" DrawAspect="Content" ObjectID="_18275099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9803B75"/>
    <w:multiLevelType w:val="hybridMultilevel"/>
    <w:tmpl w:val="7AEAD230"/>
    <w:lvl w:ilvl="0" w:tplc="2082A738">
      <w:start w:val="1"/>
      <w:numFmt w:val="bullet"/>
      <w:lvlText w:val="-"/>
      <w:lvlJc w:val="left"/>
      <w:pPr>
        <w:tabs>
          <w:tab w:val="num" w:pos="890"/>
        </w:tabs>
        <w:ind w:left="890" w:hanging="360"/>
      </w:pPr>
      <w:rPr>
        <w:rFonts w:ascii="TradeGothic Light" w:hAnsi="TradeGothic Light"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2D2F21A2"/>
    <w:multiLevelType w:val="hybridMultilevel"/>
    <w:tmpl w:val="0D5E48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5518698">
    <w:abstractNumId w:val="6"/>
  </w:num>
  <w:num w:numId="2" w16cid:durableId="1402824835">
    <w:abstractNumId w:val="3"/>
  </w:num>
  <w:num w:numId="3" w16cid:durableId="674769188">
    <w:abstractNumId w:val="4"/>
  </w:num>
  <w:num w:numId="4" w16cid:durableId="98914560">
    <w:abstractNumId w:val="5"/>
  </w:num>
  <w:num w:numId="5" w16cid:durableId="746537287">
    <w:abstractNumId w:val="7"/>
  </w:num>
  <w:num w:numId="6" w16cid:durableId="144901826">
    <w:abstractNumId w:val="0"/>
  </w:num>
  <w:num w:numId="7" w16cid:durableId="23673109">
    <w:abstractNumId w:val="2"/>
  </w:num>
  <w:num w:numId="8" w16cid:durableId="351608598">
    <w:abstractNumId w:val="0"/>
  </w:num>
  <w:num w:numId="9" w16cid:durableId="1401517254">
    <w:abstractNumId w:val="0"/>
  </w:num>
  <w:num w:numId="10" w16cid:durableId="39265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29"/>
    <w:docVar w:name="Ar" w:val="2008/09"/>
    <w:docVar w:name="Dep" w:val="Miljödepartementet"/>
    <w:docVar w:name="DepWeb" w:val="Miljödepartementet"/>
    <w:docVar w:name="GDB1" w:val="KOM (2008) 81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återvinning av bensinångor steg II, vid tankning av personbilar på bensinstati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12"/>
    <w:docVar w:name="Nr" w:val="112"/>
    <w:docVar w:name="RD_APPVERSION" w:val="3.00"/>
    <w:docVar w:name="Rub" w:val="Återvinning av bensinångor vid tankning på bensinstationer"/>
    <w:docVar w:name="UppDat" w:val="2009-04-29"/>
    <w:docVar w:name="Utsk" w:val="Miljö- och jordbruksutskottet"/>
  </w:docVars>
  <w:rsids>
    <w:rsidRoot w:val="00EA772B"/>
    <w:rsid w:val="00E937A4"/>
    <w:rsid w:val="00EA772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859C2CD-375E-4AD7-A0C7-670DA81F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1082</Words>
  <Characters>6605</Characters>
  <Application>Microsoft Office Word</Application>
  <DocSecurity>4</DocSecurity>
  <Lines>140</Lines>
  <Paragraphs>71</Paragraphs>
  <ScaleCrop>false</ScaleCrop>
  <HeadingPairs>
    <vt:vector size="2" baseType="variant">
      <vt:variant>
        <vt:lpstr>Rubrik</vt:lpstr>
      </vt:variant>
      <vt:variant>
        <vt:i4>1</vt:i4>
      </vt:variant>
    </vt:vector>
  </HeadingPairs>
  <TitlesOfParts>
    <vt:vector size="1" baseType="lpstr">
      <vt:lpstr>FPM_200809__112</vt:lpstr>
    </vt:vector>
  </TitlesOfParts>
  <Company>RD-DTSL</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FPM_200809__112</dc:title>
  <dc:subject>FPM_200809__112</dc:subject>
  <dc:creator>Riksdagen</dc:creator>
  <cp:keywords>Riksdagen</cp:keywords>
  <dc:description>KP2004-version.  Ändringarna påverkar enbart användningen inom Riksdagen. 050429 nya departement DTSL.</dc:description>
  <cp:lastModifiedBy>Lars Brink</cp:lastModifiedBy>
  <cp:revision>2</cp:revision>
  <cp:lastPrinted>2009-04-29T13:37:00Z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112</vt:lpwstr>
  </property>
  <property fmtid="{D5CDD505-2E9C-101B-9397-08002B2CF9AE}" pid="4" name="GDB1">
    <vt:lpwstr>KOM (2008) 812</vt:lpwstr>
  </property>
  <property fmtid="{D5CDD505-2E9C-101B-9397-08002B2CF9AE}" pid="5" name="GDT1">
    <vt:lpwstr> </vt:lpwstr>
  </property>
  <property fmtid="{D5CDD505-2E9C-101B-9397-08002B2CF9AE}" pid="6" name="Dep">
    <vt:lpwstr>Miljödepartementet</vt:lpwstr>
  </property>
  <property fmtid="{D5CDD505-2E9C-101B-9397-08002B2CF9AE}" pid="7" name="Rub">
    <vt:lpwstr>Återvinning av bensinångor vid tankning på bensinstationer</vt:lpwstr>
  </property>
  <property fmtid="{D5CDD505-2E9C-101B-9397-08002B2CF9AE}" pid="8" name="UppDat">
    <vt:lpwstr>2009-04-29</vt:lpwstr>
  </property>
  <property fmtid="{D5CDD505-2E9C-101B-9397-08002B2CF9AE}" pid="9" name="AnkDat">
    <vt:lpwstr>2009-04-29</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