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9534C">
        <w:tblPrEx>
          <w:tblCellMar>
            <w:top w:w="0" w:type="dxa"/>
            <w:bottom w:w="0" w:type="dxa"/>
          </w:tblCellMar>
        </w:tblPrEx>
        <w:trPr>
          <w:cantSplit/>
          <w:trHeight w:val="1720"/>
        </w:trPr>
        <w:tc>
          <w:tcPr>
            <w:tcW w:w="6024" w:type="dxa"/>
            <w:gridSpan w:val="2"/>
          </w:tcPr>
          <w:p w:rsidR="00E07BA8" w:rsidRPr="0039534C" w:rsidRDefault="00E07BA8">
            <w:pPr>
              <w:pStyle w:val="Rubrik1"/>
              <w:spacing w:after="0"/>
              <w:rPr>
                <w:noProof w:val="0"/>
              </w:rPr>
            </w:pPr>
            <w:r w:rsidRPr="0039534C">
              <w:rPr>
                <w:noProof w:val="0"/>
              </w:rPr>
              <w:t xml:space="preserve">Försvarsutskottets yttrande </w:t>
            </w:r>
          </w:p>
          <w:p w:rsidR="00E07BA8" w:rsidRPr="0039534C" w:rsidRDefault="00E07BA8">
            <w:pPr>
              <w:pStyle w:val="R1"/>
            </w:pPr>
            <w:bookmarkStart w:id="0" w:name="BetänkandeNr"/>
            <w:bookmarkEnd w:id="0"/>
            <w:r w:rsidRPr="0039534C">
              <w:t>2000/01:FöU5y</w:t>
            </w:r>
          </w:p>
        </w:tc>
        <w:tc>
          <w:tcPr>
            <w:tcW w:w="1418" w:type="dxa"/>
            <w:tcBorders>
              <w:bottom w:val="nil"/>
            </w:tcBorders>
          </w:tcPr>
          <w:p w:rsidR="00E07BA8" w:rsidRPr="0039534C" w:rsidRDefault="0039534C">
            <w:pPr>
              <w:spacing w:line="230" w:lineRule="auto"/>
              <w:jc w:val="center"/>
            </w:pPr>
            <w:r w:rsidRPr="0039534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07BA8" w:rsidRPr="0039534C" w:rsidRDefault="00E07BA8">
            <w:pPr>
              <w:pStyle w:val="Normaltindrag"/>
              <w:jc w:val="center"/>
            </w:pPr>
          </w:p>
          <w:p w:rsidR="00E07BA8" w:rsidRPr="0039534C" w:rsidRDefault="00E07BA8">
            <w:pPr>
              <w:pStyle w:val="StatusSida1"/>
            </w:pPr>
          </w:p>
          <w:p w:rsidR="00E07BA8" w:rsidRPr="0039534C" w:rsidRDefault="00E07BA8">
            <w:pPr>
              <w:pStyle w:val="UtskriftsdatumSida1"/>
              <w:framePr w:wrap="around"/>
            </w:pPr>
          </w:p>
        </w:tc>
      </w:tr>
      <w:tr w:rsidR="00000000" w:rsidRPr="0039534C">
        <w:tblPrEx>
          <w:tblCellMar>
            <w:top w:w="0" w:type="dxa"/>
            <w:bottom w:w="0" w:type="dxa"/>
          </w:tblCellMar>
        </w:tblPrEx>
        <w:trPr>
          <w:cantSplit/>
        </w:trPr>
        <w:tc>
          <w:tcPr>
            <w:tcW w:w="6024" w:type="dxa"/>
            <w:gridSpan w:val="2"/>
            <w:tcBorders>
              <w:bottom w:val="single" w:sz="4" w:space="0" w:color="auto"/>
            </w:tcBorders>
          </w:tcPr>
          <w:p w:rsidR="00E07BA8" w:rsidRPr="0039534C" w:rsidRDefault="00E07BA8">
            <w:pPr>
              <w:pStyle w:val="DokumentRubrik"/>
              <w:rPr>
                <w:noProof w:val="0"/>
              </w:rPr>
            </w:pPr>
            <w:bookmarkStart w:id="1" w:name="Huvudrubrik"/>
            <w:bookmarkEnd w:id="1"/>
            <w:r w:rsidRPr="0039534C">
              <w:rPr>
                <w:noProof w:val="0"/>
              </w:rPr>
              <w:t>Tilläggsbudget för år 2001 – Utgiftsområde 6 Totalförsvar</w:t>
            </w:r>
          </w:p>
        </w:tc>
        <w:tc>
          <w:tcPr>
            <w:tcW w:w="1418" w:type="dxa"/>
            <w:tcBorders>
              <w:bottom w:val="nil"/>
            </w:tcBorders>
          </w:tcPr>
          <w:p w:rsidR="00E07BA8" w:rsidRPr="0039534C" w:rsidRDefault="00E07BA8"/>
        </w:tc>
      </w:tr>
      <w:tr w:rsidR="00000000" w:rsidRPr="0039534C">
        <w:tblPrEx>
          <w:tblCellMar>
            <w:top w:w="0" w:type="dxa"/>
            <w:bottom w:w="0" w:type="dxa"/>
          </w:tblCellMar>
        </w:tblPrEx>
        <w:trPr>
          <w:cantSplit/>
          <w:trHeight w:hRule="exact" w:val="360"/>
        </w:trPr>
        <w:tc>
          <w:tcPr>
            <w:tcW w:w="3012" w:type="dxa"/>
          </w:tcPr>
          <w:p w:rsidR="00E07BA8" w:rsidRPr="0039534C" w:rsidRDefault="00E07BA8"/>
        </w:tc>
        <w:tc>
          <w:tcPr>
            <w:tcW w:w="3012" w:type="dxa"/>
          </w:tcPr>
          <w:p w:rsidR="00E07BA8" w:rsidRPr="0039534C" w:rsidRDefault="00E07BA8"/>
        </w:tc>
        <w:tc>
          <w:tcPr>
            <w:tcW w:w="1418" w:type="dxa"/>
          </w:tcPr>
          <w:p w:rsidR="00E07BA8" w:rsidRPr="0039534C" w:rsidRDefault="00E07BA8"/>
        </w:tc>
      </w:tr>
    </w:tbl>
    <w:p w:rsidR="00E07BA8" w:rsidRPr="0039534C" w:rsidRDefault="00E07BA8">
      <w:pPr>
        <w:pStyle w:val="R1"/>
      </w:pPr>
      <w:r w:rsidRPr="0039534C">
        <w:t>Till finansutskottet</w:t>
      </w:r>
    </w:p>
    <w:p w:rsidR="00E07BA8" w:rsidRPr="0039534C" w:rsidRDefault="00E07BA8">
      <w:pPr>
        <w:spacing w:before="0"/>
      </w:pPr>
      <w:bookmarkStart w:id="2" w:name="TextStart"/>
      <w:bookmarkEnd w:id="2"/>
      <w:r w:rsidRPr="0039534C">
        <w:t>Finansutskottet har berett bl.a. försvarsutskottet tillfälle att yttra sig över proposition 2000/01:100 samt skrivelse 2000/01:101 jämte motioner i de delar som rör försvarsutskottets beredningsområde.</w:t>
      </w:r>
    </w:p>
    <w:p w:rsidR="00E07BA8" w:rsidRPr="0039534C" w:rsidRDefault="00E07BA8">
      <w:pPr>
        <w:pStyle w:val="Rubrik2"/>
      </w:pPr>
      <w:bookmarkStart w:id="3" w:name="_Toc513969306"/>
      <w:r w:rsidRPr="0039534C">
        <w:t>Regeringen</w:t>
      </w:r>
      <w:bookmarkEnd w:id="3"/>
    </w:p>
    <w:p w:rsidR="00E07BA8" w:rsidRPr="0039534C" w:rsidRDefault="00E07BA8">
      <w:pPr>
        <w:pStyle w:val="R3"/>
        <w:spacing w:before="0"/>
      </w:pPr>
      <w:r w:rsidRPr="0039534C">
        <w:t>Ramanslaget 6:1 Förbandsverksamhet och beredskap m.m.</w:t>
      </w:r>
    </w:p>
    <w:p w:rsidR="00E07BA8" w:rsidRPr="0039534C" w:rsidRDefault="00E07BA8">
      <w:r w:rsidRPr="0039534C">
        <w:t>I statsbudgeten för innevarande år finns för detta ändamål uppfört ett rama</w:t>
      </w:r>
      <w:r w:rsidRPr="0039534C">
        <w:t>n</w:t>
      </w:r>
      <w:r w:rsidRPr="0039534C">
        <w:t>slag på 18 266 092 000 kr. Anslaget bör ökas med 703 700 000 kr. Finansi</w:t>
      </w:r>
      <w:r w:rsidRPr="0039534C">
        <w:t>e</w:t>
      </w:r>
      <w:r w:rsidRPr="0039534C">
        <w:t xml:space="preserve">ring sker genom att anslaget 6:3 </w:t>
      </w:r>
      <w:r w:rsidRPr="0039534C">
        <w:rPr>
          <w:i/>
        </w:rPr>
        <w:t>Materiel, anläggningar samt forskning och teknikutveckling</w:t>
      </w:r>
      <w:r w:rsidRPr="0039534C">
        <w:t xml:space="preserve"> minskas. </w:t>
      </w:r>
    </w:p>
    <w:p w:rsidR="00E07BA8" w:rsidRPr="0039534C" w:rsidRDefault="00E07BA8">
      <w:pPr>
        <w:pStyle w:val="Normaltindrag"/>
      </w:pPr>
      <w:r w:rsidRPr="0039534C">
        <w:t>Under 2000 uppstod en obalans i Försvarsmaktens ekonomi och förde</w:t>
      </w:r>
      <w:r w:rsidRPr="0039534C">
        <w:t>l</w:t>
      </w:r>
      <w:r w:rsidRPr="0039534C">
        <w:t xml:space="preserve">ningen av utgifter för verksamhet mellan anslagen 6:1 </w:t>
      </w:r>
      <w:r w:rsidRPr="0039534C">
        <w:rPr>
          <w:i/>
        </w:rPr>
        <w:t>Förbandsverksamhet och beredskap m.m.</w:t>
      </w:r>
      <w:r w:rsidRPr="0039534C">
        <w:t xml:space="preserve"> och 6:3 </w:t>
      </w:r>
      <w:r w:rsidRPr="0039534C">
        <w:rPr>
          <w:i/>
        </w:rPr>
        <w:t>Materiel, anläggningar samt forskning och te</w:t>
      </w:r>
      <w:r w:rsidRPr="0039534C">
        <w:rPr>
          <w:i/>
        </w:rPr>
        <w:t>k</w:t>
      </w:r>
      <w:r w:rsidRPr="0039534C">
        <w:rPr>
          <w:i/>
        </w:rPr>
        <w:t>nikutveckling.</w:t>
      </w:r>
      <w:r w:rsidRPr="0039534C">
        <w:t xml:space="preserve"> Utgifterna på anslaget 6:1 </w:t>
      </w:r>
      <w:r w:rsidRPr="0039534C">
        <w:rPr>
          <w:i/>
        </w:rPr>
        <w:t>Förbandsverksamhet och beredskap m.m.</w:t>
      </w:r>
      <w:r w:rsidRPr="0039534C">
        <w:t xml:space="preserve"> blev mer än 700 000 000 kr högre än vad som hade planerats. Regerin</w:t>
      </w:r>
      <w:r w:rsidRPr="0039534C">
        <w:t>g</w:t>
      </w:r>
      <w:r w:rsidRPr="0039534C">
        <w:t xml:space="preserve">en anser att 703 700 000 kr bör tillföras anslaget 6:1 </w:t>
      </w:r>
      <w:r w:rsidRPr="0039534C">
        <w:rPr>
          <w:i/>
        </w:rPr>
        <w:t>Förbandsverksamhet och beredskap m.m.</w:t>
      </w:r>
      <w:r w:rsidRPr="0039534C">
        <w:t xml:space="preserve"> för att skapa förutsättningar för att verksamheten skall kunna genomföras enligt den planerade inriktningen. Finansiering ske</w:t>
      </w:r>
      <w:r w:rsidRPr="0039534C">
        <w:t xml:space="preserve">r genom att anslaget 6:3 </w:t>
      </w:r>
      <w:r w:rsidRPr="0039534C">
        <w:rPr>
          <w:i/>
        </w:rPr>
        <w:t>Materiel, anläggningar samt forskning och teknikutveckling</w:t>
      </w:r>
      <w:r w:rsidRPr="0039534C">
        <w:t xml:space="preserve"> minskas.</w:t>
      </w:r>
    </w:p>
    <w:p w:rsidR="00E07BA8" w:rsidRPr="0039534C" w:rsidRDefault="00E07BA8">
      <w:pPr>
        <w:pStyle w:val="Normaltindrag"/>
      </w:pPr>
      <w:r w:rsidRPr="0039534C">
        <w:t>Riksrevisionsverket har i sin revisionsrapport bekräftat regeringens up</w:t>
      </w:r>
      <w:r w:rsidRPr="0039534C">
        <w:t>p</w:t>
      </w:r>
      <w:r w:rsidRPr="0039534C">
        <w:t>fattning att det finns allvarliga brister i Försvarsmaktens styrning och uppföl</w:t>
      </w:r>
      <w:r w:rsidRPr="0039534C">
        <w:t>j</w:t>
      </w:r>
      <w:r w:rsidRPr="0039534C">
        <w:t>ning av förbandsverksamheten. Regeringen följer noggrant utvecklingen för ovan nämnda anslag, särskilt utvecklingen inom förbandsverksamheten och värnpliktsutbildningen, och avser vid behov att återkomma till riksdagen i samband med budgetpropositionen för 2002 med eventuell ytterligare överf</w:t>
      </w:r>
      <w:r w:rsidRPr="0039534C">
        <w:t>ö</w:t>
      </w:r>
      <w:r w:rsidRPr="0039534C">
        <w:t>ring av medel mellan anslagen 6:3 och 6:1.</w:t>
      </w:r>
    </w:p>
    <w:p w:rsidR="00E07BA8" w:rsidRPr="0039534C" w:rsidRDefault="00E07BA8">
      <w:pPr>
        <w:pStyle w:val="Normaltindrag"/>
      </w:pPr>
      <w:r w:rsidRPr="0039534C">
        <w:lastRenderedPageBreak/>
        <w:t xml:space="preserve">Den föreslagna ökningen av anslaget 6:1 </w:t>
      </w:r>
      <w:r w:rsidRPr="0039534C">
        <w:rPr>
          <w:i/>
        </w:rPr>
        <w:t>Förbandsverksamhet och bere</w:t>
      </w:r>
      <w:r w:rsidRPr="0039534C">
        <w:rPr>
          <w:i/>
        </w:rPr>
        <w:t>d</w:t>
      </w:r>
      <w:r w:rsidRPr="0039534C">
        <w:rPr>
          <w:i/>
        </w:rPr>
        <w:t>skap m.m.</w:t>
      </w:r>
      <w:r w:rsidRPr="0039534C">
        <w:t xml:space="preserve"> utgör för överskådlighetens skull en nettoförändring som motiveras av flera olika förändringar.</w:t>
      </w:r>
    </w:p>
    <w:p w:rsidR="00E07BA8" w:rsidRPr="0039534C" w:rsidRDefault="00E07BA8">
      <w:pPr>
        <w:pStyle w:val="R3"/>
      </w:pPr>
      <w:r w:rsidRPr="0039534C">
        <w:t>Ramanslaget 6:2 Fredsfrämjande truppinsatser</w:t>
      </w:r>
    </w:p>
    <w:p w:rsidR="00E07BA8" w:rsidRPr="0039534C" w:rsidRDefault="00E07BA8">
      <w:r w:rsidRPr="0039534C">
        <w:t>I statsbudgeten för innevarande år finns för detta ändamål uppfört ett rama</w:t>
      </w:r>
      <w:r w:rsidRPr="0039534C">
        <w:t>n</w:t>
      </w:r>
      <w:r w:rsidRPr="0039534C">
        <w:t>slag på 1 000 762 000 kr.</w:t>
      </w:r>
    </w:p>
    <w:p w:rsidR="00E07BA8" w:rsidRPr="0039534C" w:rsidRDefault="00E07BA8">
      <w:r w:rsidRPr="0039534C">
        <w:t xml:space="preserve">Regeringen föreslår att anslaget 6:2 </w:t>
      </w:r>
      <w:r w:rsidRPr="0039534C">
        <w:rPr>
          <w:i/>
        </w:rPr>
        <w:t>Fredsfrämjande truppinsatser</w:t>
      </w:r>
      <w:r w:rsidRPr="0039534C">
        <w:t xml:space="preserve"> ökas med 81 000 000 kr. Skälen för regeringens förslag är att Försvarsmakten har b</w:t>
      </w:r>
      <w:r w:rsidRPr="0039534C">
        <w:t>e</w:t>
      </w:r>
      <w:r w:rsidRPr="0039534C">
        <w:t xml:space="preserve">slutat att höja lönerna för anställda i utlandsstyrkan med 20 % fr.o.m. den 1 januari 2001. Anslaget 6:2 </w:t>
      </w:r>
      <w:r w:rsidRPr="0039534C">
        <w:rPr>
          <w:i/>
        </w:rPr>
        <w:t>Fredsfrämjande truppinsatser</w:t>
      </w:r>
      <w:r w:rsidRPr="0039534C">
        <w:t xml:space="preserve"> behöver därför ökas med 81 000 000 kr. Finansiering sker genom att anslaget 6:3 </w:t>
      </w:r>
      <w:r w:rsidRPr="0039534C">
        <w:rPr>
          <w:i/>
        </w:rPr>
        <w:t>Materiel, a</w:t>
      </w:r>
      <w:r w:rsidRPr="0039534C">
        <w:rPr>
          <w:i/>
        </w:rPr>
        <w:t>n</w:t>
      </w:r>
      <w:r w:rsidRPr="0039534C">
        <w:rPr>
          <w:i/>
        </w:rPr>
        <w:t>läggningar samt forskning och teknikutveckling</w:t>
      </w:r>
      <w:r w:rsidRPr="0039534C">
        <w:t xml:space="preserve"> minskas.</w:t>
      </w:r>
    </w:p>
    <w:p w:rsidR="00E07BA8" w:rsidRPr="0039534C" w:rsidRDefault="00E07BA8">
      <w:pPr>
        <w:pStyle w:val="R3"/>
      </w:pPr>
      <w:r w:rsidRPr="0039534C">
        <w:t>Ramanslaget 6:3 Materiel, anläggningar samt forskning och teknikutvec</w:t>
      </w:r>
      <w:r w:rsidRPr="0039534C">
        <w:t>k</w:t>
      </w:r>
      <w:r w:rsidRPr="0039534C">
        <w:t>ling</w:t>
      </w:r>
    </w:p>
    <w:p w:rsidR="00E07BA8" w:rsidRPr="0039534C" w:rsidRDefault="00E07BA8">
      <w:r w:rsidRPr="0039534C">
        <w:t>I statsbudgeten för innevarande år finns för detta ändamål uppfört ett rama</w:t>
      </w:r>
      <w:r w:rsidRPr="0039534C">
        <w:t>n</w:t>
      </w:r>
      <w:r w:rsidRPr="0039534C">
        <w:t>slag på 23 314 833 000 kr.</w:t>
      </w:r>
    </w:p>
    <w:p w:rsidR="00E07BA8" w:rsidRPr="0039534C" w:rsidRDefault="00E07BA8">
      <w:pPr>
        <w:pStyle w:val="Normaltindrag"/>
      </w:pPr>
      <w:r w:rsidRPr="0039534C">
        <w:t xml:space="preserve">Regeringen föreslår att anslaget 6:3 </w:t>
      </w:r>
      <w:r w:rsidRPr="0039534C">
        <w:rPr>
          <w:i/>
        </w:rPr>
        <w:t>Materiel, anläggningar samt forskning och teknikutveckling</w:t>
      </w:r>
      <w:r w:rsidRPr="0039534C">
        <w:t xml:space="preserve"> minskas med 787 000 000 kr. På anslaget 6:3 </w:t>
      </w:r>
      <w:r w:rsidRPr="0039534C">
        <w:rPr>
          <w:i/>
        </w:rPr>
        <w:t>Materiel, anläggningar samt forskning och teknikutveckling</w:t>
      </w:r>
      <w:r w:rsidRPr="0039534C">
        <w:t xml:space="preserve"> finns ett stort anslagssp</w:t>
      </w:r>
      <w:r w:rsidRPr="0039534C">
        <w:t>a</w:t>
      </w:r>
      <w:r w:rsidRPr="0039534C">
        <w:t>rande. Anslaget minskas för att finansiera utgiftsökningar på andra anslag, främst inom utgiftso</w:t>
      </w:r>
      <w:r w:rsidRPr="0039534C">
        <w:t>m</w:t>
      </w:r>
      <w:r w:rsidRPr="0039534C">
        <w:t>rådet.</w:t>
      </w:r>
    </w:p>
    <w:p w:rsidR="00E07BA8" w:rsidRPr="0039534C" w:rsidRDefault="00E07BA8">
      <w:pPr>
        <w:pStyle w:val="R3"/>
      </w:pPr>
      <w:r w:rsidRPr="0039534C">
        <w:t>Ramanslaget 6:4 Funktionen Civil ledning</w:t>
      </w:r>
    </w:p>
    <w:p w:rsidR="00E07BA8" w:rsidRPr="0039534C" w:rsidRDefault="00E07BA8">
      <w:r w:rsidRPr="0039534C">
        <w:t>I statsbudgeten för innevarande år finns för detta ändamål uppfört ett rama</w:t>
      </w:r>
      <w:r w:rsidRPr="0039534C">
        <w:t>n</w:t>
      </w:r>
      <w:r w:rsidRPr="0039534C">
        <w:t>slag på 488 507 000 kr.</w:t>
      </w:r>
    </w:p>
    <w:p w:rsidR="00E07BA8" w:rsidRPr="0039534C" w:rsidRDefault="00E07BA8">
      <w:pPr>
        <w:pStyle w:val="Normaltindrag"/>
      </w:pPr>
      <w:r w:rsidRPr="0039534C">
        <w:t xml:space="preserve">Regeringen föreslår att anslaget 6:4 </w:t>
      </w:r>
      <w:r w:rsidRPr="0039534C">
        <w:rPr>
          <w:i/>
        </w:rPr>
        <w:t>Funktionen Civil ledning</w:t>
      </w:r>
      <w:r w:rsidRPr="0039534C">
        <w:t xml:space="preserve"> får användas även för Finansinspektionens verksamhet med att förbättra skyddet mot i</w:t>
      </w:r>
      <w:r w:rsidRPr="0039534C">
        <w:t>n</w:t>
      </w:r>
      <w:r w:rsidRPr="0039534C">
        <w:t>formationsoperationer hos de större finansiella företagen. Enligt budgetprop</w:t>
      </w:r>
      <w:r w:rsidRPr="0039534C">
        <w:t>o</w:t>
      </w:r>
      <w:r w:rsidRPr="0039534C">
        <w:t xml:space="preserve">sitionen för 2001 utgiftsområde 2 Samhällsekonomi och finansförvaltning, anslaget 2:2 </w:t>
      </w:r>
      <w:r w:rsidRPr="0039534C">
        <w:rPr>
          <w:i/>
        </w:rPr>
        <w:t>Finansinspektionen</w:t>
      </w:r>
      <w:r w:rsidRPr="0039534C">
        <w:t>, skall Överstyrelsen för civil beredskap a</w:t>
      </w:r>
      <w:r w:rsidRPr="0039534C">
        <w:t>v</w:t>
      </w:r>
      <w:r w:rsidRPr="0039534C">
        <w:t xml:space="preserve">sätta 1 000 000 kr av anslaget 6:4 </w:t>
      </w:r>
      <w:r w:rsidRPr="0039534C">
        <w:rPr>
          <w:i/>
        </w:rPr>
        <w:t>Funktionen Civil ledning</w:t>
      </w:r>
      <w:r w:rsidRPr="0039534C">
        <w:t xml:space="preserve"> för Finansinspe</w:t>
      </w:r>
      <w:r w:rsidRPr="0039534C">
        <w:t>k</w:t>
      </w:r>
      <w:r w:rsidRPr="0039534C">
        <w:t>tionens verksamhet med att förbättra skyddet mot informationsoperationer hos de större finansiella fö</w:t>
      </w:r>
      <w:r w:rsidRPr="0039534C">
        <w:t>retagen. I regeringens beskrivning i budgetpropos</w:t>
      </w:r>
      <w:r w:rsidRPr="0039534C">
        <w:t>i</w:t>
      </w:r>
      <w:r w:rsidRPr="0039534C">
        <w:t xml:space="preserve">tionen för 2001 av ändamålet med anslaget 6:4 </w:t>
      </w:r>
      <w:r w:rsidRPr="0039534C">
        <w:rPr>
          <w:i/>
        </w:rPr>
        <w:t>Funktionen Civil ledning</w:t>
      </w:r>
      <w:r w:rsidRPr="0039534C">
        <w:t xml:space="preserve"> framgår inte detta, vilket det rätteligen borde ha gjort. Regeringen föreslår därför nu att riksdagen godkänner denna användning av anslaget.</w:t>
      </w:r>
    </w:p>
    <w:p w:rsidR="00E07BA8" w:rsidRPr="0039534C" w:rsidRDefault="00E07BA8">
      <w:pPr>
        <w:pStyle w:val="Rubrik3"/>
        <w:rPr>
          <w:noProof w:val="0"/>
        </w:rPr>
      </w:pPr>
      <w:r w:rsidRPr="0039534C">
        <w:rPr>
          <w:noProof w:val="0"/>
        </w:rPr>
        <w:br w:type="page"/>
        <w:t>Ny investeringsplan för Kustbevakningen</w:t>
      </w:r>
    </w:p>
    <w:p w:rsidR="00E07BA8" w:rsidRPr="0039534C" w:rsidRDefault="00E07BA8">
      <w:r w:rsidRPr="0039534C">
        <w:t>Riksdagen har för innevarande år godkänt en investeringsplan för Kustbeva</w:t>
      </w:r>
      <w:r w:rsidRPr="0039534C">
        <w:t>k</w:t>
      </w:r>
      <w:r w:rsidRPr="0039534C">
        <w:t>ningen.</w:t>
      </w:r>
    </w:p>
    <w:p w:rsidR="00E07BA8" w:rsidRPr="0039534C" w:rsidRDefault="00E07BA8">
      <w:r w:rsidRPr="0039534C">
        <w:t>Regeringen föreslår att en ny investeringsplan för Kustbevakningen för peri</w:t>
      </w:r>
      <w:r w:rsidRPr="0039534C">
        <w:t>o</w:t>
      </w:r>
      <w:r w:rsidRPr="0039534C">
        <w:t>den 2001–2004 godkänns.</w:t>
      </w:r>
    </w:p>
    <w:p w:rsidR="00E07BA8" w:rsidRPr="0039534C" w:rsidRDefault="00E07BA8">
      <w:r w:rsidRPr="0039534C">
        <w:t>Skälen för regeringens förslag är att det i Kustbevakningens investeringsplan ingår köp av två kombinationsfartyg. I budgetpropositionen för 2001 berä</w:t>
      </w:r>
      <w:r w:rsidRPr="0039534C">
        <w:t>k</w:t>
      </w:r>
      <w:r w:rsidRPr="0039534C">
        <w:t>nades att ett av fartygen skulle levereras under 2001 och ett under 2002. Av Kustbevakningens budgetunderlag för 2002 framgår att båda fartygen ko</w:t>
      </w:r>
      <w:r w:rsidRPr="0039534C">
        <w:t>m</w:t>
      </w:r>
      <w:r w:rsidRPr="0039534C">
        <w:t>mer att levereras under 2001. En ny invest</w:t>
      </w:r>
      <w:r w:rsidRPr="0039534C">
        <w:t>e</w:t>
      </w:r>
      <w:r w:rsidRPr="0039534C">
        <w:t>ringsplan bör därför godkännas.</w:t>
      </w:r>
    </w:p>
    <w:p w:rsidR="00E07BA8" w:rsidRPr="0039534C" w:rsidRDefault="00E07BA8">
      <w:pPr>
        <w:pStyle w:val="Normaltindrag"/>
      </w:pPr>
    </w:p>
    <w:p w:rsidR="00E07BA8" w:rsidRPr="0039534C" w:rsidRDefault="00E07BA8">
      <w:pPr>
        <w:pStyle w:val="TabellUnderrubrik"/>
        <w:rPr>
          <w:sz w:val="16"/>
        </w:rPr>
      </w:pPr>
      <w:r w:rsidRPr="0039534C">
        <w:rPr>
          <w:sz w:val="16"/>
        </w:rPr>
        <w:t>Miljoner kronor</w:t>
      </w:r>
    </w:p>
    <w:tbl>
      <w:tblPr>
        <w:tblW w:w="0" w:type="auto"/>
        <w:tblInd w:w="-23" w:type="dxa"/>
        <w:tblLayout w:type="fixed"/>
        <w:tblLook w:val="0000" w:firstRow="0" w:lastRow="0" w:firstColumn="0" w:lastColumn="0" w:noHBand="0" w:noVBand="0"/>
      </w:tblPr>
      <w:tblGrid>
        <w:gridCol w:w="1583"/>
        <w:gridCol w:w="851"/>
        <w:gridCol w:w="851"/>
        <w:gridCol w:w="851"/>
        <w:gridCol w:w="851"/>
        <w:gridCol w:w="851"/>
      </w:tblGrid>
      <w:tr w:rsidR="00000000" w:rsidRPr="0039534C">
        <w:tblPrEx>
          <w:tblCellMar>
            <w:top w:w="0" w:type="dxa"/>
            <w:bottom w:w="0" w:type="dxa"/>
          </w:tblCellMar>
        </w:tblPrEx>
        <w:tc>
          <w:tcPr>
            <w:tcW w:w="1583" w:type="dxa"/>
            <w:tcBorders>
              <w:bottom w:val="single" w:sz="4" w:space="0" w:color="auto"/>
            </w:tcBorders>
          </w:tcPr>
          <w:p w:rsidR="00E07BA8" w:rsidRPr="0039534C" w:rsidRDefault="00E07BA8"/>
        </w:tc>
        <w:tc>
          <w:tcPr>
            <w:tcW w:w="851" w:type="dxa"/>
            <w:tcBorders>
              <w:bottom w:val="single" w:sz="4" w:space="0" w:color="auto"/>
            </w:tcBorders>
          </w:tcPr>
          <w:p w:rsidR="00E07BA8" w:rsidRPr="0039534C" w:rsidRDefault="00E07BA8">
            <w:r w:rsidRPr="0039534C">
              <w:t>T</w:t>
            </w:r>
            <w:r w:rsidRPr="0039534C">
              <w:t>o</w:t>
            </w:r>
            <w:r w:rsidRPr="0039534C">
              <w:t>talt</w:t>
            </w:r>
          </w:p>
        </w:tc>
        <w:tc>
          <w:tcPr>
            <w:tcW w:w="851" w:type="dxa"/>
            <w:tcBorders>
              <w:bottom w:val="single" w:sz="4" w:space="0" w:color="auto"/>
            </w:tcBorders>
          </w:tcPr>
          <w:p w:rsidR="00E07BA8" w:rsidRPr="0039534C" w:rsidRDefault="00E07BA8">
            <w:r w:rsidRPr="0039534C">
              <w:t>Bu</w:t>
            </w:r>
            <w:r w:rsidRPr="0039534C">
              <w:t>d</w:t>
            </w:r>
            <w:r w:rsidRPr="0039534C">
              <w:t>get</w:t>
            </w:r>
          </w:p>
        </w:tc>
        <w:tc>
          <w:tcPr>
            <w:tcW w:w="2550" w:type="dxa"/>
            <w:gridSpan w:val="3"/>
            <w:tcBorders>
              <w:bottom w:val="single" w:sz="6" w:space="0" w:color="auto"/>
            </w:tcBorders>
          </w:tcPr>
          <w:p w:rsidR="00E07BA8" w:rsidRPr="0039534C" w:rsidRDefault="00E07BA8">
            <w:pPr>
              <w:jc w:val="center"/>
            </w:pPr>
            <w:r w:rsidRPr="0039534C">
              <w:t>Berä</w:t>
            </w:r>
            <w:r w:rsidRPr="0039534C">
              <w:t>k</w:t>
            </w:r>
            <w:r w:rsidRPr="0039534C">
              <w:t>nat</w:t>
            </w:r>
          </w:p>
        </w:tc>
      </w:tr>
      <w:tr w:rsidR="00000000" w:rsidRPr="0039534C">
        <w:tblPrEx>
          <w:tblCellMar>
            <w:top w:w="0" w:type="dxa"/>
            <w:bottom w:w="0" w:type="dxa"/>
          </w:tblCellMar>
        </w:tblPrEx>
        <w:tc>
          <w:tcPr>
            <w:tcW w:w="1583" w:type="dxa"/>
            <w:tcBorders>
              <w:bottom w:val="single" w:sz="18" w:space="0" w:color="auto"/>
            </w:tcBorders>
          </w:tcPr>
          <w:p w:rsidR="00E07BA8" w:rsidRPr="0039534C" w:rsidRDefault="00E07BA8"/>
        </w:tc>
        <w:tc>
          <w:tcPr>
            <w:tcW w:w="851" w:type="dxa"/>
            <w:tcBorders>
              <w:bottom w:val="single" w:sz="18" w:space="0" w:color="auto"/>
            </w:tcBorders>
          </w:tcPr>
          <w:p w:rsidR="00E07BA8" w:rsidRPr="0039534C" w:rsidRDefault="00E07BA8"/>
        </w:tc>
        <w:tc>
          <w:tcPr>
            <w:tcW w:w="851" w:type="dxa"/>
            <w:tcBorders>
              <w:bottom w:val="single" w:sz="18" w:space="0" w:color="auto"/>
            </w:tcBorders>
          </w:tcPr>
          <w:p w:rsidR="00E07BA8" w:rsidRPr="0039534C" w:rsidRDefault="00E07BA8">
            <w:r w:rsidRPr="0039534C">
              <w:t>2001</w:t>
            </w:r>
          </w:p>
        </w:tc>
        <w:tc>
          <w:tcPr>
            <w:tcW w:w="851" w:type="dxa"/>
            <w:tcBorders>
              <w:top w:val="single" w:sz="6" w:space="0" w:color="auto"/>
              <w:bottom w:val="single" w:sz="18" w:space="0" w:color="auto"/>
            </w:tcBorders>
          </w:tcPr>
          <w:p w:rsidR="00E07BA8" w:rsidRPr="0039534C" w:rsidRDefault="00E07BA8">
            <w:r w:rsidRPr="0039534C">
              <w:t>2002</w:t>
            </w:r>
          </w:p>
        </w:tc>
        <w:tc>
          <w:tcPr>
            <w:tcW w:w="851" w:type="dxa"/>
            <w:tcBorders>
              <w:top w:val="single" w:sz="6" w:space="0" w:color="auto"/>
              <w:bottom w:val="single" w:sz="18" w:space="0" w:color="auto"/>
            </w:tcBorders>
          </w:tcPr>
          <w:p w:rsidR="00E07BA8" w:rsidRPr="0039534C" w:rsidRDefault="00E07BA8">
            <w:r w:rsidRPr="0039534C">
              <w:t>2003</w:t>
            </w:r>
          </w:p>
        </w:tc>
        <w:tc>
          <w:tcPr>
            <w:tcW w:w="851" w:type="dxa"/>
            <w:tcBorders>
              <w:top w:val="single" w:sz="6" w:space="0" w:color="auto"/>
              <w:bottom w:val="single" w:sz="18" w:space="0" w:color="auto"/>
            </w:tcBorders>
          </w:tcPr>
          <w:p w:rsidR="00E07BA8" w:rsidRPr="0039534C" w:rsidRDefault="00E07BA8">
            <w:r w:rsidRPr="0039534C">
              <w:t>2004</w:t>
            </w:r>
          </w:p>
        </w:tc>
      </w:tr>
      <w:tr w:rsidR="00000000" w:rsidRPr="0039534C">
        <w:tblPrEx>
          <w:tblCellMar>
            <w:top w:w="0" w:type="dxa"/>
            <w:bottom w:w="0" w:type="dxa"/>
          </w:tblCellMar>
        </w:tblPrEx>
        <w:tc>
          <w:tcPr>
            <w:tcW w:w="1583" w:type="dxa"/>
            <w:tcBorders>
              <w:top w:val="single" w:sz="18" w:space="0" w:color="auto"/>
              <w:bottom w:val="single" w:sz="6" w:space="0" w:color="auto"/>
            </w:tcBorders>
          </w:tcPr>
          <w:p w:rsidR="00E07BA8" w:rsidRPr="0039534C" w:rsidRDefault="00E07BA8">
            <w:r w:rsidRPr="0039534C">
              <w:t>KBV 201-202</w:t>
            </w:r>
          </w:p>
        </w:tc>
        <w:tc>
          <w:tcPr>
            <w:tcW w:w="851" w:type="dxa"/>
            <w:tcBorders>
              <w:top w:val="single" w:sz="18" w:space="0" w:color="auto"/>
              <w:bottom w:val="single" w:sz="6" w:space="0" w:color="auto"/>
            </w:tcBorders>
          </w:tcPr>
          <w:p w:rsidR="00E07BA8" w:rsidRPr="0039534C" w:rsidRDefault="00E07BA8">
            <w:r w:rsidRPr="0039534C">
              <w:t>256</w:t>
            </w:r>
          </w:p>
        </w:tc>
        <w:tc>
          <w:tcPr>
            <w:tcW w:w="851" w:type="dxa"/>
            <w:tcBorders>
              <w:top w:val="single" w:sz="18" w:space="0" w:color="auto"/>
              <w:bottom w:val="single" w:sz="6" w:space="0" w:color="auto"/>
            </w:tcBorders>
          </w:tcPr>
          <w:p w:rsidR="00E07BA8" w:rsidRPr="0039534C" w:rsidRDefault="00E07BA8">
            <w:r w:rsidRPr="0039534C">
              <w:t>256</w:t>
            </w:r>
          </w:p>
        </w:tc>
        <w:tc>
          <w:tcPr>
            <w:tcW w:w="851" w:type="dxa"/>
            <w:tcBorders>
              <w:top w:val="single" w:sz="18" w:space="0" w:color="auto"/>
              <w:bottom w:val="single" w:sz="6" w:space="0" w:color="auto"/>
            </w:tcBorders>
          </w:tcPr>
          <w:p w:rsidR="00E07BA8" w:rsidRPr="0039534C" w:rsidRDefault="00E07BA8">
            <w:r w:rsidRPr="0039534C">
              <w:t>0</w:t>
            </w:r>
          </w:p>
        </w:tc>
        <w:tc>
          <w:tcPr>
            <w:tcW w:w="851" w:type="dxa"/>
            <w:tcBorders>
              <w:top w:val="single" w:sz="18" w:space="0" w:color="auto"/>
              <w:bottom w:val="single" w:sz="6" w:space="0" w:color="auto"/>
            </w:tcBorders>
          </w:tcPr>
          <w:p w:rsidR="00E07BA8" w:rsidRPr="0039534C" w:rsidRDefault="00E07BA8">
            <w:r w:rsidRPr="0039534C">
              <w:t>0</w:t>
            </w:r>
          </w:p>
        </w:tc>
        <w:tc>
          <w:tcPr>
            <w:tcW w:w="851" w:type="dxa"/>
            <w:tcBorders>
              <w:top w:val="single" w:sz="18" w:space="0" w:color="auto"/>
              <w:bottom w:val="single" w:sz="6" w:space="0" w:color="auto"/>
            </w:tcBorders>
          </w:tcPr>
          <w:p w:rsidR="00E07BA8" w:rsidRPr="0039534C" w:rsidRDefault="00E07BA8">
            <w:r w:rsidRPr="0039534C">
              <w:t>0</w:t>
            </w:r>
          </w:p>
        </w:tc>
      </w:tr>
      <w:tr w:rsidR="00000000" w:rsidRPr="0039534C">
        <w:tblPrEx>
          <w:tblCellMar>
            <w:top w:w="0" w:type="dxa"/>
            <w:bottom w:w="0" w:type="dxa"/>
          </w:tblCellMar>
        </w:tblPrEx>
        <w:tc>
          <w:tcPr>
            <w:tcW w:w="1583" w:type="dxa"/>
            <w:tcBorders>
              <w:top w:val="single" w:sz="6" w:space="0" w:color="auto"/>
              <w:bottom w:val="single" w:sz="6" w:space="0" w:color="auto"/>
            </w:tcBorders>
          </w:tcPr>
          <w:p w:rsidR="00E07BA8" w:rsidRPr="0039534C" w:rsidRDefault="00E07BA8">
            <w:r w:rsidRPr="0039534C">
              <w:t>Flygplan</w:t>
            </w:r>
          </w:p>
        </w:tc>
        <w:tc>
          <w:tcPr>
            <w:tcW w:w="851" w:type="dxa"/>
            <w:tcBorders>
              <w:top w:val="single" w:sz="6" w:space="0" w:color="auto"/>
              <w:bottom w:val="single" w:sz="6" w:space="0" w:color="auto"/>
            </w:tcBorders>
          </w:tcPr>
          <w:p w:rsidR="00E07BA8" w:rsidRPr="0039534C" w:rsidRDefault="00E07BA8">
            <w:r w:rsidRPr="0039534C">
              <w:t>135</w:t>
            </w:r>
          </w:p>
        </w:tc>
        <w:tc>
          <w:tcPr>
            <w:tcW w:w="851" w:type="dxa"/>
            <w:tcBorders>
              <w:top w:val="single" w:sz="6" w:space="0" w:color="auto"/>
              <w:bottom w:val="single" w:sz="6" w:space="0" w:color="auto"/>
            </w:tcBorders>
          </w:tcPr>
          <w:p w:rsidR="00E07BA8" w:rsidRPr="0039534C" w:rsidRDefault="00E07BA8"/>
        </w:tc>
        <w:tc>
          <w:tcPr>
            <w:tcW w:w="851" w:type="dxa"/>
            <w:tcBorders>
              <w:top w:val="single" w:sz="6" w:space="0" w:color="auto"/>
              <w:bottom w:val="single" w:sz="6" w:space="0" w:color="auto"/>
            </w:tcBorders>
          </w:tcPr>
          <w:p w:rsidR="00E07BA8" w:rsidRPr="0039534C" w:rsidRDefault="00E07BA8">
            <w:r w:rsidRPr="0039534C">
              <w:t>10</w:t>
            </w:r>
          </w:p>
        </w:tc>
        <w:tc>
          <w:tcPr>
            <w:tcW w:w="851" w:type="dxa"/>
            <w:tcBorders>
              <w:top w:val="single" w:sz="6" w:space="0" w:color="auto"/>
              <w:bottom w:val="single" w:sz="6" w:space="0" w:color="auto"/>
            </w:tcBorders>
          </w:tcPr>
          <w:p w:rsidR="00E07BA8" w:rsidRPr="0039534C" w:rsidRDefault="00E07BA8">
            <w:r w:rsidRPr="0039534C">
              <w:t>65</w:t>
            </w:r>
          </w:p>
        </w:tc>
        <w:tc>
          <w:tcPr>
            <w:tcW w:w="851" w:type="dxa"/>
            <w:tcBorders>
              <w:top w:val="single" w:sz="6" w:space="0" w:color="auto"/>
              <w:bottom w:val="single" w:sz="6" w:space="0" w:color="auto"/>
            </w:tcBorders>
          </w:tcPr>
          <w:p w:rsidR="00E07BA8" w:rsidRPr="0039534C" w:rsidRDefault="00E07BA8">
            <w:r w:rsidRPr="0039534C">
              <w:t>60</w:t>
            </w:r>
          </w:p>
        </w:tc>
      </w:tr>
      <w:tr w:rsidR="00000000" w:rsidRPr="0039534C">
        <w:tblPrEx>
          <w:tblCellMar>
            <w:top w:w="0" w:type="dxa"/>
            <w:bottom w:w="0" w:type="dxa"/>
          </w:tblCellMar>
        </w:tblPrEx>
        <w:tc>
          <w:tcPr>
            <w:tcW w:w="1583" w:type="dxa"/>
            <w:tcBorders>
              <w:top w:val="single" w:sz="6" w:space="0" w:color="auto"/>
              <w:bottom w:val="single" w:sz="6" w:space="0" w:color="auto"/>
            </w:tcBorders>
          </w:tcPr>
          <w:p w:rsidR="00E07BA8" w:rsidRPr="0039534C" w:rsidRDefault="00E07BA8">
            <w:r w:rsidRPr="0039534C">
              <w:t>Övriga</w:t>
            </w:r>
            <w:r w:rsidRPr="0039534C">
              <w:br/>
              <w:t>invest</w:t>
            </w:r>
            <w:r w:rsidRPr="0039534C">
              <w:t>e</w:t>
            </w:r>
            <w:r w:rsidRPr="0039534C">
              <w:t>ringar</w:t>
            </w:r>
          </w:p>
        </w:tc>
        <w:tc>
          <w:tcPr>
            <w:tcW w:w="851" w:type="dxa"/>
            <w:tcBorders>
              <w:top w:val="single" w:sz="6" w:space="0" w:color="auto"/>
              <w:bottom w:val="single" w:sz="6" w:space="0" w:color="auto"/>
            </w:tcBorders>
            <w:vAlign w:val="bottom"/>
          </w:tcPr>
          <w:p w:rsidR="00E07BA8" w:rsidRPr="0039534C" w:rsidRDefault="00E07BA8">
            <w:r w:rsidRPr="0039534C">
              <w:t>110</w:t>
            </w:r>
          </w:p>
        </w:tc>
        <w:tc>
          <w:tcPr>
            <w:tcW w:w="851" w:type="dxa"/>
            <w:tcBorders>
              <w:top w:val="single" w:sz="6" w:space="0" w:color="auto"/>
              <w:bottom w:val="single" w:sz="6" w:space="0" w:color="auto"/>
            </w:tcBorders>
            <w:vAlign w:val="bottom"/>
          </w:tcPr>
          <w:p w:rsidR="00E07BA8" w:rsidRPr="0039534C" w:rsidRDefault="00E07BA8">
            <w:r w:rsidRPr="0039534C">
              <w:t>34</w:t>
            </w:r>
          </w:p>
        </w:tc>
        <w:tc>
          <w:tcPr>
            <w:tcW w:w="851" w:type="dxa"/>
            <w:tcBorders>
              <w:top w:val="single" w:sz="6" w:space="0" w:color="auto"/>
              <w:bottom w:val="single" w:sz="6" w:space="0" w:color="auto"/>
            </w:tcBorders>
            <w:vAlign w:val="bottom"/>
          </w:tcPr>
          <w:p w:rsidR="00E07BA8" w:rsidRPr="0039534C" w:rsidRDefault="00E07BA8">
            <w:r w:rsidRPr="0039534C">
              <w:t>21</w:t>
            </w:r>
          </w:p>
        </w:tc>
        <w:tc>
          <w:tcPr>
            <w:tcW w:w="851" w:type="dxa"/>
            <w:tcBorders>
              <w:top w:val="single" w:sz="6" w:space="0" w:color="auto"/>
              <w:bottom w:val="single" w:sz="6" w:space="0" w:color="auto"/>
            </w:tcBorders>
            <w:vAlign w:val="bottom"/>
          </w:tcPr>
          <w:p w:rsidR="00E07BA8" w:rsidRPr="0039534C" w:rsidRDefault="00E07BA8">
            <w:r w:rsidRPr="0039534C">
              <w:t>28</w:t>
            </w:r>
          </w:p>
        </w:tc>
        <w:tc>
          <w:tcPr>
            <w:tcW w:w="851" w:type="dxa"/>
            <w:tcBorders>
              <w:top w:val="single" w:sz="6" w:space="0" w:color="auto"/>
              <w:bottom w:val="single" w:sz="6" w:space="0" w:color="auto"/>
            </w:tcBorders>
            <w:vAlign w:val="bottom"/>
          </w:tcPr>
          <w:p w:rsidR="00E07BA8" w:rsidRPr="0039534C" w:rsidRDefault="00E07BA8">
            <w:r w:rsidRPr="0039534C">
              <w:t>27</w:t>
            </w:r>
          </w:p>
        </w:tc>
      </w:tr>
      <w:tr w:rsidR="00000000" w:rsidRPr="0039534C">
        <w:tblPrEx>
          <w:tblCellMar>
            <w:top w:w="0" w:type="dxa"/>
            <w:bottom w:w="0" w:type="dxa"/>
          </w:tblCellMar>
        </w:tblPrEx>
        <w:tc>
          <w:tcPr>
            <w:tcW w:w="1583" w:type="dxa"/>
            <w:tcBorders>
              <w:top w:val="single" w:sz="6" w:space="0" w:color="auto"/>
              <w:bottom w:val="single" w:sz="6" w:space="0" w:color="auto"/>
            </w:tcBorders>
          </w:tcPr>
          <w:p w:rsidR="00E07BA8" w:rsidRPr="0039534C" w:rsidRDefault="00E07BA8">
            <w:pPr>
              <w:rPr>
                <w:b/>
              </w:rPr>
            </w:pPr>
            <w:r w:rsidRPr="0039534C">
              <w:rPr>
                <w:b/>
              </w:rPr>
              <w:t>Summa</w:t>
            </w:r>
            <w:r w:rsidRPr="0039534C">
              <w:rPr>
                <w:b/>
              </w:rPr>
              <w:br/>
              <w:t>invest</w:t>
            </w:r>
            <w:r w:rsidRPr="0039534C">
              <w:rPr>
                <w:b/>
              </w:rPr>
              <w:t>e</w:t>
            </w:r>
            <w:r w:rsidRPr="0039534C">
              <w:rPr>
                <w:b/>
              </w:rPr>
              <w:t>ringar</w:t>
            </w:r>
          </w:p>
        </w:tc>
        <w:tc>
          <w:tcPr>
            <w:tcW w:w="851" w:type="dxa"/>
            <w:tcBorders>
              <w:top w:val="single" w:sz="6" w:space="0" w:color="auto"/>
              <w:bottom w:val="single" w:sz="6" w:space="0" w:color="auto"/>
            </w:tcBorders>
            <w:vAlign w:val="bottom"/>
          </w:tcPr>
          <w:p w:rsidR="00E07BA8" w:rsidRPr="0039534C" w:rsidRDefault="00E07BA8">
            <w:pPr>
              <w:rPr>
                <w:b/>
              </w:rPr>
            </w:pPr>
            <w:r w:rsidRPr="0039534C">
              <w:rPr>
                <w:b/>
              </w:rPr>
              <w:t>501</w:t>
            </w:r>
          </w:p>
        </w:tc>
        <w:tc>
          <w:tcPr>
            <w:tcW w:w="851" w:type="dxa"/>
            <w:tcBorders>
              <w:top w:val="single" w:sz="6" w:space="0" w:color="auto"/>
              <w:bottom w:val="single" w:sz="6" w:space="0" w:color="auto"/>
            </w:tcBorders>
            <w:vAlign w:val="bottom"/>
          </w:tcPr>
          <w:p w:rsidR="00E07BA8" w:rsidRPr="0039534C" w:rsidRDefault="00E07BA8">
            <w:pPr>
              <w:rPr>
                <w:b/>
              </w:rPr>
            </w:pPr>
            <w:r w:rsidRPr="0039534C">
              <w:rPr>
                <w:b/>
              </w:rPr>
              <w:t>290</w:t>
            </w:r>
          </w:p>
        </w:tc>
        <w:tc>
          <w:tcPr>
            <w:tcW w:w="851" w:type="dxa"/>
            <w:tcBorders>
              <w:top w:val="single" w:sz="6" w:space="0" w:color="auto"/>
              <w:bottom w:val="single" w:sz="6" w:space="0" w:color="auto"/>
            </w:tcBorders>
            <w:vAlign w:val="bottom"/>
          </w:tcPr>
          <w:p w:rsidR="00E07BA8" w:rsidRPr="0039534C" w:rsidRDefault="00E07BA8">
            <w:pPr>
              <w:rPr>
                <w:b/>
              </w:rPr>
            </w:pPr>
            <w:r w:rsidRPr="0039534C">
              <w:rPr>
                <w:b/>
              </w:rPr>
              <w:t>31</w:t>
            </w:r>
          </w:p>
        </w:tc>
        <w:tc>
          <w:tcPr>
            <w:tcW w:w="851" w:type="dxa"/>
            <w:tcBorders>
              <w:top w:val="single" w:sz="6" w:space="0" w:color="auto"/>
              <w:bottom w:val="single" w:sz="6" w:space="0" w:color="auto"/>
            </w:tcBorders>
            <w:vAlign w:val="bottom"/>
          </w:tcPr>
          <w:p w:rsidR="00E07BA8" w:rsidRPr="0039534C" w:rsidRDefault="00E07BA8">
            <w:pPr>
              <w:rPr>
                <w:b/>
              </w:rPr>
            </w:pPr>
            <w:r w:rsidRPr="0039534C">
              <w:rPr>
                <w:b/>
              </w:rPr>
              <w:t>93</w:t>
            </w:r>
          </w:p>
        </w:tc>
        <w:tc>
          <w:tcPr>
            <w:tcW w:w="851" w:type="dxa"/>
            <w:tcBorders>
              <w:top w:val="single" w:sz="6" w:space="0" w:color="auto"/>
              <w:bottom w:val="single" w:sz="6" w:space="0" w:color="auto"/>
            </w:tcBorders>
            <w:vAlign w:val="bottom"/>
          </w:tcPr>
          <w:p w:rsidR="00E07BA8" w:rsidRPr="0039534C" w:rsidRDefault="00E07BA8">
            <w:pPr>
              <w:rPr>
                <w:b/>
              </w:rPr>
            </w:pPr>
            <w:r w:rsidRPr="0039534C">
              <w:rPr>
                <w:b/>
              </w:rPr>
              <w:t>87</w:t>
            </w:r>
          </w:p>
        </w:tc>
      </w:tr>
      <w:tr w:rsidR="00000000" w:rsidRPr="0039534C">
        <w:tblPrEx>
          <w:tblCellMar>
            <w:top w:w="0" w:type="dxa"/>
            <w:bottom w:w="0" w:type="dxa"/>
          </w:tblCellMar>
        </w:tblPrEx>
        <w:tc>
          <w:tcPr>
            <w:tcW w:w="1583" w:type="dxa"/>
            <w:tcBorders>
              <w:top w:val="single" w:sz="6" w:space="0" w:color="auto"/>
              <w:bottom w:val="single" w:sz="6" w:space="0" w:color="auto"/>
            </w:tcBorders>
          </w:tcPr>
          <w:p w:rsidR="00E07BA8" w:rsidRPr="0039534C" w:rsidRDefault="00E07BA8">
            <w:r w:rsidRPr="0039534C">
              <w:t>Lån</w:t>
            </w:r>
          </w:p>
        </w:tc>
        <w:tc>
          <w:tcPr>
            <w:tcW w:w="851" w:type="dxa"/>
            <w:tcBorders>
              <w:top w:val="single" w:sz="6" w:space="0" w:color="auto"/>
              <w:bottom w:val="single" w:sz="6" w:space="0" w:color="auto"/>
            </w:tcBorders>
          </w:tcPr>
          <w:p w:rsidR="00E07BA8" w:rsidRPr="0039534C" w:rsidRDefault="00E07BA8">
            <w:r w:rsidRPr="0039534C">
              <w:t>501</w:t>
            </w:r>
          </w:p>
        </w:tc>
        <w:tc>
          <w:tcPr>
            <w:tcW w:w="851" w:type="dxa"/>
            <w:tcBorders>
              <w:top w:val="single" w:sz="6" w:space="0" w:color="auto"/>
              <w:bottom w:val="single" w:sz="6" w:space="0" w:color="auto"/>
            </w:tcBorders>
          </w:tcPr>
          <w:p w:rsidR="00E07BA8" w:rsidRPr="0039534C" w:rsidRDefault="00E07BA8">
            <w:r w:rsidRPr="0039534C">
              <w:t>290</w:t>
            </w:r>
          </w:p>
        </w:tc>
        <w:tc>
          <w:tcPr>
            <w:tcW w:w="851" w:type="dxa"/>
            <w:tcBorders>
              <w:top w:val="single" w:sz="6" w:space="0" w:color="auto"/>
              <w:bottom w:val="single" w:sz="6" w:space="0" w:color="auto"/>
            </w:tcBorders>
          </w:tcPr>
          <w:p w:rsidR="00E07BA8" w:rsidRPr="0039534C" w:rsidRDefault="00E07BA8">
            <w:r w:rsidRPr="0039534C">
              <w:t>31</w:t>
            </w:r>
          </w:p>
        </w:tc>
        <w:tc>
          <w:tcPr>
            <w:tcW w:w="851" w:type="dxa"/>
            <w:tcBorders>
              <w:top w:val="single" w:sz="6" w:space="0" w:color="auto"/>
              <w:bottom w:val="single" w:sz="6" w:space="0" w:color="auto"/>
            </w:tcBorders>
          </w:tcPr>
          <w:p w:rsidR="00E07BA8" w:rsidRPr="0039534C" w:rsidRDefault="00E07BA8">
            <w:r w:rsidRPr="0039534C">
              <w:t>93</w:t>
            </w:r>
          </w:p>
        </w:tc>
        <w:tc>
          <w:tcPr>
            <w:tcW w:w="851" w:type="dxa"/>
            <w:tcBorders>
              <w:top w:val="single" w:sz="6" w:space="0" w:color="auto"/>
              <w:bottom w:val="single" w:sz="6" w:space="0" w:color="auto"/>
            </w:tcBorders>
          </w:tcPr>
          <w:p w:rsidR="00E07BA8" w:rsidRPr="0039534C" w:rsidRDefault="00E07BA8">
            <w:r w:rsidRPr="0039534C">
              <w:t>87</w:t>
            </w:r>
          </w:p>
        </w:tc>
      </w:tr>
      <w:tr w:rsidR="00000000" w:rsidRPr="0039534C">
        <w:tblPrEx>
          <w:tblCellMar>
            <w:top w:w="0" w:type="dxa"/>
            <w:bottom w:w="0" w:type="dxa"/>
          </w:tblCellMar>
        </w:tblPrEx>
        <w:tc>
          <w:tcPr>
            <w:tcW w:w="1583" w:type="dxa"/>
            <w:tcBorders>
              <w:top w:val="single" w:sz="6" w:space="0" w:color="auto"/>
              <w:bottom w:val="single" w:sz="12" w:space="0" w:color="auto"/>
            </w:tcBorders>
          </w:tcPr>
          <w:p w:rsidR="00E07BA8" w:rsidRPr="0039534C" w:rsidRDefault="00E07BA8">
            <w:pPr>
              <w:rPr>
                <w:b/>
              </w:rPr>
            </w:pPr>
            <w:r w:rsidRPr="0039534C">
              <w:rPr>
                <w:b/>
              </w:rPr>
              <w:t>Summa</w:t>
            </w:r>
            <w:r w:rsidRPr="0039534C">
              <w:rPr>
                <w:b/>
              </w:rPr>
              <w:br/>
              <w:t>finansi</w:t>
            </w:r>
            <w:r w:rsidRPr="0039534C">
              <w:rPr>
                <w:b/>
              </w:rPr>
              <w:t>e</w:t>
            </w:r>
            <w:r w:rsidRPr="0039534C">
              <w:rPr>
                <w:b/>
              </w:rPr>
              <w:t>ring</w:t>
            </w:r>
          </w:p>
        </w:tc>
        <w:tc>
          <w:tcPr>
            <w:tcW w:w="851" w:type="dxa"/>
            <w:tcBorders>
              <w:top w:val="single" w:sz="6" w:space="0" w:color="auto"/>
              <w:bottom w:val="single" w:sz="12" w:space="0" w:color="auto"/>
            </w:tcBorders>
            <w:vAlign w:val="bottom"/>
          </w:tcPr>
          <w:p w:rsidR="00E07BA8" w:rsidRPr="0039534C" w:rsidRDefault="00E07BA8">
            <w:pPr>
              <w:rPr>
                <w:b/>
              </w:rPr>
            </w:pPr>
            <w:r w:rsidRPr="0039534C">
              <w:rPr>
                <w:b/>
              </w:rPr>
              <w:t>501</w:t>
            </w:r>
          </w:p>
        </w:tc>
        <w:tc>
          <w:tcPr>
            <w:tcW w:w="851" w:type="dxa"/>
            <w:tcBorders>
              <w:top w:val="single" w:sz="6" w:space="0" w:color="auto"/>
              <w:bottom w:val="single" w:sz="12" w:space="0" w:color="auto"/>
            </w:tcBorders>
            <w:vAlign w:val="bottom"/>
          </w:tcPr>
          <w:p w:rsidR="00E07BA8" w:rsidRPr="0039534C" w:rsidRDefault="00E07BA8">
            <w:pPr>
              <w:rPr>
                <w:b/>
              </w:rPr>
            </w:pPr>
            <w:r w:rsidRPr="0039534C">
              <w:rPr>
                <w:b/>
              </w:rPr>
              <w:t>290</w:t>
            </w:r>
          </w:p>
        </w:tc>
        <w:tc>
          <w:tcPr>
            <w:tcW w:w="851" w:type="dxa"/>
            <w:tcBorders>
              <w:top w:val="single" w:sz="6" w:space="0" w:color="auto"/>
              <w:bottom w:val="single" w:sz="12" w:space="0" w:color="auto"/>
            </w:tcBorders>
            <w:vAlign w:val="bottom"/>
          </w:tcPr>
          <w:p w:rsidR="00E07BA8" w:rsidRPr="0039534C" w:rsidRDefault="00E07BA8">
            <w:pPr>
              <w:rPr>
                <w:b/>
              </w:rPr>
            </w:pPr>
            <w:r w:rsidRPr="0039534C">
              <w:rPr>
                <w:b/>
              </w:rPr>
              <w:t>31</w:t>
            </w:r>
          </w:p>
        </w:tc>
        <w:tc>
          <w:tcPr>
            <w:tcW w:w="851" w:type="dxa"/>
            <w:tcBorders>
              <w:top w:val="single" w:sz="6" w:space="0" w:color="auto"/>
              <w:bottom w:val="single" w:sz="12" w:space="0" w:color="auto"/>
            </w:tcBorders>
            <w:vAlign w:val="bottom"/>
          </w:tcPr>
          <w:p w:rsidR="00E07BA8" w:rsidRPr="0039534C" w:rsidRDefault="00E07BA8">
            <w:pPr>
              <w:rPr>
                <w:b/>
              </w:rPr>
            </w:pPr>
            <w:r w:rsidRPr="0039534C">
              <w:rPr>
                <w:b/>
              </w:rPr>
              <w:t>93</w:t>
            </w:r>
          </w:p>
        </w:tc>
        <w:tc>
          <w:tcPr>
            <w:tcW w:w="851" w:type="dxa"/>
            <w:tcBorders>
              <w:top w:val="single" w:sz="6" w:space="0" w:color="auto"/>
              <w:bottom w:val="single" w:sz="12" w:space="0" w:color="auto"/>
            </w:tcBorders>
            <w:vAlign w:val="bottom"/>
          </w:tcPr>
          <w:p w:rsidR="00E07BA8" w:rsidRPr="0039534C" w:rsidRDefault="00E07BA8">
            <w:pPr>
              <w:rPr>
                <w:b/>
              </w:rPr>
            </w:pPr>
            <w:r w:rsidRPr="0039534C">
              <w:rPr>
                <w:b/>
              </w:rPr>
              <w:t>87</w:t>
            </w:r>
          </w:p>
        </w:tc>
      </w:tr>
    </w:tbl>
    <w:p w:rsidR="00E07BA8" w:rsidRPr="0039534C" w:rsidRDefault="00E07BA8">
      <w:pPr>
        <w:pStyle w:val="R3"/>
      </w:pPr>
      <w:r w:rsidRPr="0039534C">
        <w:t>Ramanslaget 7:4 Statens räddningsverk: Samhällets skydd mot olyckor</w:t>
      </w:r>
    </w:p>
    <w:p w:rsidR="00E07BA8" w:rsidRPr="0039534C" w:rsidRDefault="00E07BA8">
      <w:r w:rsidRPr="0039534C">
        <w:t>I statsbudgeten för innevarande år finns för detta ändamål uppfört ett rama</w:t>
      </w:r>
      <w:r w:rsidRPr="0039534C">
        <w:t>n</w:t>
      </w:r>
      <w:r w:rsidRPr="0039534C">
        <w:t>slag på 555 449 000 kr.</w:t>
      </w:r>
    </w:p>
    <w:p w:rsidR="00E07BA8" w:rsidRPr="0039534C" w:rsidRDefault="00E07BA8">
      <w:pPr>
        <w:pStyle w:val="Normaltindrag"/>
      </w:pPr>
      <w:r w:rsidRPr="0039534C">
        <w:t xml:space="preserve">Regeringen föreslår att anslaget 7:4 </w:t>
      </w:r>
      <w:r w:rsidRPr="0039534C">
        <w:rPr>
          <w:i/>
        </w:rPr>
        <w:t>Statens räddningsverk: Samhällets skydd mot olyckor</w:t>
      </w:r>
      <w:r w:rsidRPr="0039534C">
        <w:t xml:space="preserve"> minskas med 1 700 000 kr. Skälet är att anslaget 7:4 </w:t>
      </w:r>
      <w:r w:rsidRPr="0039534C">
        <w:rPr>
          <w:i/>
        </w:rPr>
        <w:t>St</w:t>
      </w:r>
      <w:r w:rsidRPr="0039534C">
        <w:rPr>
          <w:i/>
        </w:rPr>
        <w:t>a</w:t>
      </w:r>
      <w:r w:rsidRPr="0039534C">
        <w:rPr>
          <w:i/>
        </w:rPr>
        <w:t>tens räddningsverk: Samhällets skydd mot olyckor</w:t>
      </w:r>
      <w:r w:rsidRPr="0039534C">
        <w:t xml:space="preserve"> bör minskas med 1 700 000 kr för att finansiera det under utgiftsområde 1 Rikets styrelse up</w:t>
      </w:r>
      <w:r w:rsidRPr="0039534C">
        <w:t>p</w:t>
      </w:r>
      <w:r w:rsidRPr="0039534C">
        <w:t xml:space="preserve">tagna anslaget 90:5 </w:t>
      </w:r>
      <w:r w:rsidRPr="0039534C">
        <w:rPr>
          <w:i/>
        </w:rPr>
        <w:t>Regeringskan</w:t>
      </w:r>
      <w:r w:rsidRPr="0039534C">
        <w:rPr>
          <w:i/>
        </w:rPr>
        <w:t>s</w:t>
      </w:r>
      <w:r w:rsidRPr="0039534C">
        <w:rPr>
          <w:i/>
        </w:rPr>
        <w:t>liet m.m.</w:t>
      </w:r>
    </w:p>
    <w:p w:rsidR="00E07BA8" w:rsidRPr="0039534C" w:rsidRDefault="00E07BA8">
      <w:pPr>
        <w:pStyle w:val="Rubrik2"/>
      </w:pPr>
      <w:bookmarkStart w:id="4" w:name="_Toc513969307"/>
      <w:r w:rsidRPr="0039534C">
        <w:t>Motionen</w:t>
      </w:r>
      <w:bookmarkEnd w:id="4"/>
    </w:p>
    <w:p w:rsidR="00E07BA8" w:rsidRPr="0039534C" w:rsidRDefault="00E07BA8">
      <w:r w:rsidRPr="0039534C">
        <w:rPr>
          <w:i/>
        </w:rPr>
        <w:t>Moderata samlingspartiet</w:t>
      </w:r>
      <w:r w:rsidRPr="0039534C">
        <w:t xml:space="preserve"> (m kommitté) framhåller i motion Fi31 att den obalans mellan uppgifter och anvisade medel som uppstod under år 2000 inom Försvarsmakten är ett resultat av försvarsbeslutet våren 2000. Avsatta resurser motsvarar inte den verksamhet som Försvarsmakten väntades geno</w:t>
      </w:r>
      <w:r w:rsidRPr="0039534C">
        <w:t>m</w:t>
      </w:r>
      <w:r w:rsidRPr="0039534C">
        <w:t xml:space="preserve">föra. Konsekvenserna av regeringens försvarspolitik är att förbanden vare sig får erforderlig utbildning eller utrustning. Försvarsmakten har begärt att få omfördela sammanlagt 1,4 miljarder kronor från ramanslaget 6:3 Materiel, anläggningar samt </w:t>
      </w:r>
      <w:r w:rsidRPr="0039534C">
        <w:t>forskning och teknikutveckling till ramanslaget 6:1 Fö</w:t>
      </w:r>
      <w:r w:rsidRPr="0039534C">
        <w:t>r</w:t>
      </w:r>
      <w:r w:rsidRPr="0039534C">
        <w:t>bandsverksamhet och beredskap m.m. för att täcka överutnyttjandet för år 2000 samt för att kunna genomföra den planerade verksamheten under inn</w:t>
      </w:r>
      <w:r w:rsidRPr="0039534C">
        <w:t>e</w:t>
      </w:r>
      <w:r w:rsidRPr="0039534C">
        <w:t>varande år. Regeringen föreslår endast en omfördelning med 700 miljoner kronor.</w:t>
      </w:r>
    </w:p>
    <w:p w:rsidR="00E07BA8" w:rsidRPr="0039534C" w:rsidRDefault="00E07BA8">
      <w:pPr>
        <w:pStyle w:val="Normaltindrag"/>
      </w:pPr>
      <w:r w:rsidRPr="0039534C">
        <w:t>Regeringens förslag att nu endast omfördela 700 miljoner kronor medför att den beslutade förändringen försenas och försvåras. Moderata samlingspa</w:t>
      </w:r>
      <w:r w:rsidRPr="0039534C">
        <w:t>r</w:t>
      </w:r>
      <w:r w:rsidRPr="0039534C">
        <w:t>tiet föreslår att 1,4 miljarder kronor omfördelas mellan de berörda anslagen.</w:t>
      </w:r>
    </w:p>
    <w:p w:rsidR="00E07BA8" w:rsidRPr="0039534C" w:rsidRDefault="00E07BA8">
      <w:pPr>
        <w:pStyle w:val="Normaltindrag"/>
      </w:pPr>
      <w:r w:rsidRPr="0039534C">
        <w:t>Vidare föreslås i motionen att riksdagen bör ge regeringen i uppdrag att pröva samtliga nu beslutade, pågående och planerade om- och nylokaliserin</w:t>
      </w:r>
      <w:r w:rsidRPr="0039534C">
        <w:t>g</w:t>
      </w:r>
      <w:r w:rsidRPr="0039534C">
        <w:t>ar av försvarsverksamheten för att minska behovet av investeringsmedel.</w:t>
      </w:r>
    </w:p>
    <w:p w:rsidR="00E07BA8" w:rsidRPr="0039534C" w:rsidRDefault="00E07BA8">
      <w:pPr>
        <w:pStyle w:val="Rubrik2"/>
        <w:rPr>
          <w:sz w:val="19"/>
        </w:rPr>
      </w:pPr>
      <w:bookmarkStart w:id="5" w:name="_Toc513969308"/>
      <w:r w:rsidRPr="0039534C">
        <w:t xml:space="preserve">Försvarsutskottets </w:t>
      </w:r>
      <w:bookmarkEnd w:id="5"/>
      <w:r w:rsidRPr="0039534C">
        <w:t>överväganden</w:t>
      </w:r>
    </w:p>
    <w:p w:rsidR="00E07BA8" w:rsidRPr="0039534C" w:rsidRDefault="00E07BA8">
      <w:pPr>
        <w:spacing w:before="0"/>
      </w:pPr>
      <w:r w:rsidRPr="0039534C">
        <w:t>Försvarsmakten har i en föredragning för utskottet redogjort för det ekon</w:t>
      </w:r>
      <w:r w:rsidRPr="0039534C">
        <w:t>o</w:t>
      </w:r>
      <w:r w:rsidRPr="0039534C">
        <w:t>miska läget under innevarande budgetår och skälen för att myndigheten fö</w:t>
      </w:r>
      <w:r w:rsidRPr="0039534C">
        <w:t>r</w:t>
      </w:r>
      <w:r w:rsidRPr="0039534C">
        <w:t>ordar en större omfördelning mellan anslagen än den regeringen föreslagit. Till grund för Försvarsmaktens överväganden ligger att inte planera för att utnyttja den anslagskredit som kan ianspråktas för anslaget 6:1</w:t>
      </w:r>
      <w:r w:rsidRPr="0039534C">
        <w:rPr>
          <w:i/>
        </w:rPr>
        <w:t xml:space="preserve"> Förband</w:t>
      </w:r>
      <w:r w:rsidRPr="0039534C">
        <w:rPr>
          <w:i/>
        </w:rPr>
        <w:t>s</w:t>
      </w:r>
      <w:r w:rsidRPr="0039534C">
        <w:rPr>
          <w:i/>
        </w:rPr>
        <w:t>verksamhet och bere</w:t>
      </w:r>
      <w:r w:rsidRPr="0039534C">
        <w:rPr>
          <w:i/>
        </w:rPr>
        <w:t>d</w:t>
      </w:r>
      <w:r w:rsidRPr="0039534C">
        <w:rPr>
          <w:i/>
        </w:rPr>
        <w:t xml:space="preserve">skap m.m. </w:t>
      </w:r>
    </w:p>
    <w:p w:rsidR="00E07BA8" w:rsidRPr="0039534C" w:rsidRDefault="00E07BA8">
      <w:pPr>
        <w:pStyle w:val="Normaltindrag"/>
        <w:spacing w:line="240" w:lineRule="atLeast"/>
      </w:pPr>
      <w:r w:rsidRPr="0039534C">
        <w:t>Utskottet noterar att det enligt Riksrevisionsverkets och regeringens up</w:t>
      </w:r>
      <w:r w:rsidRPr="0039534C">
        <w:t>p</w:t>
      </w:r>
      <w:r w:rsidRPr="0039534C">
        <w:t>fattning finns brister i Försvarsmaktens styrning och uppföljning av förband</w:t>
      </w:r>
      <w:r w:rsidRPr="0039534C">
        <w:t>s</w:t>
      </w:r>
      <w:r w:rsidRPr="0039534C">
        <w:t>verksamheten. Utskottet har erfarit att Försvarsmakten inte invänder mot den bedömningen. Försvarsmakten har för utskottet vid flera tillfällen redogjort för de åtgärder som nu vidtas för att åstadkomma en tillfredsställande ordning på detta omr</w:t>
      </w:r>
      <w:r w:rsidRPr="0039534C">
        <w:t>å</w:t>
      </w:r>
      <w:r w:rsidRPr="0039534C">
        <w:t xml:space="preserve">de. </w:t>
      </w:r>
    </w:p>
    <w:p w:rsidR="00E07BA8" w:rsidRPr="0039534C" w:rsidRDefault="00E07BA8">
      <w:pPr>
        <w:pStyle w:val="Normaltindrag"/>
        <w:spacing w:line="240" w:lineRule="atLeast"/>
      </w:pPr>
      <w:r w:rsidRPr="0039534C">
        <w:t>Utskottet är inte främmande för att en omfördelning enligt det förslag som regeringen förordar i propositionen kan medföra betydande ingrepp i den verksamhet som planerats av Försvars</w:t>
      </w:r>
      <w:r w:rsidRPr="0039534C">
        <w:t>makten för innevarande år. Om a</w:t>
      </w:r>
      <w:r w:rsidRPr="0039534C">
        <w:t>n</w:t>
      </w:r>
      <w:r w:rsidRPr="0039534C">
        <w:t>slagskrediten – som uppgår till drygt 540 miljoner kronor – utnyttjas bör åtminstone huvuddelen av de redovisade konsekvenserna kunna bemästras. Efterhand som styr- och uppföljningsrutinerna förbättras skapas säkrare grund för övervägandena om behovet av en långsiktigt motiverad omavvägning mellan resurserna för förbandsverksamhet respektive för materielförsörjning m.m. Regeringen anmäler i propositionen att den vid behov återkommer till riksdagen med förslag till ytterligare</w:t>
      </w:r>
      <w:r w:rsidRPr="0039534C">
        <w:t xml:space="preserve"> omfördelning under innevarande bu</w:t>
      </w:r>
      <w:r w:rsidRPr="0039534C">
        <w:t>d</w:t>
      </w:r>
      <w:r w:rsidRPr="0039534C">
        <w:t>getår mellan berörda anslag i budgetpropositionen för år 2002. Utskottet räknar med att frågan om en eventuell annan avvägning mellan förbandsver</w:t>
      </w:r>
      <w:r w:rsidRPr="0039534C">
        <w:t>k</w:t>
      </w:r>
      <w:r w:rsidRPr="0039534C">
        <w:t>samhet och materielförsörjning m.m. under försvarsbeslutsperioden redovisas i budgetpr</w:t>
      </w:r>
      <w:r w:rsidRPr="0039534C">
        <w:t>o</w:t>
      </w:r>
      <w:r w:rsidRPr="0039534C">
        <w:t>positionen för år 2002.</w:t>
      </w:r>
    </w:p>
    <w:p w:rsidR="00E07BA8" w:rsidRPr="0039534C" w:rsidRDefault="00E07BA8">
      <w:pPr>
        <w:pStyle w:val="Normaltindrag"/>
      </w:pPr>
      <w:r w:rsidRPr="0039534C">
        <w:t>Utskottet förordar att riksdagen godkänner den föreslagna användningen av medel under ramanslaget 6:4 Funktionen Civil ledning. Det är angeläget att skyddet ökar mot informationsoperationer hos de större finansiella före</w:t>
      </w:r>
      <w:r w:rsidRPr="0039534C">
        <w:t>t</w:t>
      </w:r>
      <w:r w:rsidRPr="0039534C">
        <w:t>a</w:t>
      </w:r>
      <w:r w:rsidRPr="0039534C">
        <w:t>gen.</w:t>
      </w:r>
    </w:p>
    <w:p w:rsidR="00E07BA8" w:rsidRPr="0039534C" w:rsidRDefault="00E07BA8">
      <w:pPr>
        <w:pStyle w:val="Normaltindrag"/>
      </w:pPr>
      <w:r w:rsidRPr="0039534C">
        <w:t>Utskottet tillstyrker förslag till ny investeringsplan för Kustbevakningen.</w:t>
      </w:r>
    </w:p>
    <w:p w:rsidR="00E07BA8" w:rsidRPr="0039534C" w:rsidRDefault="00E07BA8">
      <w:r w:rsidRPr="0039534C">
        <w:t>Mot bakgrund av vad utskottet nu anfört</w:t>
      </w:r>
    </w:p>
    <w:p w:rsidR="00E07BA8" w:rsidRPr="0039534C" w:rsidRDefault="00E07BA8">
      <w:pPr>
        <w:pStyle w:val="Normaltindrag"/>
        <w:numPr>
          <w:ilvl w:val="0"/>
          <w:numId w:val="6"/>
        </w:numPr>
        <w:tabs>
          <w:tab w:val="clear" w:pos="360"/>
          <w:tab w:val="num" w:pos="587"/>
        </w:tabs>
        <w:ind w:left="587"/>
      </w:pPr>
      <w:r w:rsidRPr="0039534C">
        <w:t>tillstyrker utskottet att riksdagen godkänner regeringens förslag nr 37 såvitt avser utgiftsområde 6 Totalförsvar,</w:t>
      </w:r>
    </w:p>
    <w:p w:rsidR="00E07BA8" w:rsidRPr="0039534C" w:rsidRDefault="00E07BA8">
      <w:pPr>
        <w:pStyle w:val="Normaltindrag"/>
        <w:numPr>
          <w:ilvl w:val="0"/>
          <w:numId w:val="6"/>
        </w:numPr>
        <w:tabs>
          <w:tab w:val="clear" w:pos="360"/>
          <w:tab w:val="num" w:pos="587"/>
        </w:tabs>
        <w:ind w:left="587"/>
      </w:pPr>
      <w:r w:rsidRPr="0039534C">
        <w:t>avstyrker utskottet motion 2000/01:Fi31,</w:t>
      </w:r>
    </w:p>
    <w:p w:rsidR="00E07BA8" w:rsidRPr="0039534C" w:rsidRDefault="00E07BA8">
      <w:pPr>
        <w:pStyle w:val="Normaltindrag"/>
        <w:numPr>
          <w:ilvl w:val="0"/>
          <w:numId w:val="6"/>
        </w:numPr>
        <w:tabs>
          <w:tab w:val="clear" w:pos="360"/>
          <w:tab w:val="num" w:pos="587"/>
        </w:tabs>
        <w:ind w:left="587"/>
      </w:pPr>
      <w:r w:rsidRPr="0039534C">
        <w:t>tillstyrker utskottet att riksdagen godkänner regeringens förslag till ny a</w:t>
      </w:r>
      <w:r w:rsidRPr="0039534C">
        <w:t>n</w:t>
      </w:r>
      <w:r w:rsidRPr="0039534C">
        <w:t>vändning av ramanslaget 6:4 Funktionen Civil ledning,</w:t>
      </w:r>
    </w:p>
    <w:p w:rsidR="00E07BA8" w:rsidRPr="0039534C" w:rsidRDefault="00E07BA8">
      <w:pPr>
        <w:pStyle w:val="Normaltindrag"/>
        <w:numPr>
          <w:ilvl w:val="0"/>
          <w:numId w:val="6"/>
        </w:numPr>
        <w:tabs>
          <w:tab w:val="clear" w:pos="360"/>
          <w:tab w:val="num" w:pos="587"/>
        </w:tabs>
        <w:ind w:left="587"/>
      </w:pPr>
      <w:r w:rsidRPr="0039534C">
        <w:t>tillstyrker utskottet att riksdagen godkänner förslag till ny invest</w:t>
      </w:r>
      <w:r w:rsidRPr="0039534C">
        <w:t>e</w:t>
      </w:r>
      <w:r w:rsidRPr="0039534C">
        <w:t>ringsplan för Kustbevakningen.</w:t>
      </w:r>
    </w:p>
    <w:p w:rsidR="00E07BA8" w:rsidRPr="0039534C" w:rsidRDefault="00E07BA8">
      <w:pPr>
        <w:pStyle w:val="Normaltindrag"/>
        <w:ind w:firstLine="0"/>
      </w:pPr>
    </w:p>
    <w:p w:rsidR="00E07BA8" w:rsidRPr="0039534C" w:rsidRDefault="00E07BA8">
      <w:pPr>
        <w:pStyle w:val="Deltagare"/>
        <w:keepLines w:val="0"/>
        <w:spacing w:before="62" w:line="250" w:lineRule="atLeast"/>
        <w:rPr>
          <w:noProof w:val="0"/>
        </w:rPr>
      </w:pPr>
    </w:p>
    <w:p w:rsidR="00E07BA8" w:rsidRPr="0039534C" w:rsidRDefault="00E07BA8">
      <w:pPr>
        <w:pStyle w:val="OrtochDatum"/>
      </w:pPr>
      <w:r w:rsidRPr="0039534C">
        <w:t>Stockholm den 15 maj 2001</w:t>
      </w:r>
    </w:p>
    <w:p w:rsidR="00E07BA8" w:rsidRPr="0039534C" w:rsidRDefault="00E07BA8">
      <w:pPr>
        <w:pStyle w:val="Pxx-utskottetsvgnar"/>
      </w:pPr>
      <w:r w:rsidRPr="0039534C">
        <w:t>På försvarsutskottets vägnar</w:t>
      </w:r>
    </w:p>
    <w:p w:rsidR="00E07BA8" w:rsidRPr="0039534C" w:rsidRDefault="00E07BA8">
      <w:pPr>
        <w:pStyle w:val="Ordfranden"/>
        <w:rPr>
          <w:noProof w:val="0"/>
        </w:rPr>
      </w:pPr>
      <w:r w:rsidRPr="0039534C">
        <w:rPr>
          <w:noProof w:val="0"/>
        </w:rPr>
        <w:t xml:space="preserve">Henrik Landerholm </w:t>
      </w:r>
    </w:p>
    <w:p w:rsidR="00E07BA8" w:rsidRPr="0039534C" w:rsidRDefault="00E07BA8">
      <w:pPr>
        <w:pStyle w:val="Deltagare"/>
        <w:rPr>
          <w:noProof w:val="0"/>
        </w:rPr>
      </w:pPr>
      <w:r w:rsidRPr="0039534C">
        <w:rPr>
          <w:noProof w:val="0"/>
        </w:rPr>
        <w:t>Följande ledamöter har deltagit i beslutet: Henrik Landerholm (m), Tone Tingsgård (s), Christer Skoog (s), Stig Sandström (v), Åke Carnerö (kd), Olle Lindström (m), Rolf Gunnarsson (m), Ola Rask (s), Berit Jóhannesson (v), Margareta Viklund (kd), Anna Lilliehöök (m), Lars Ångström (mp), Erik Arthur Egervärn (c), Runar Patriksson (fp) och Berndt Sköldestig (s).</w:t>
      </w:r>
    </w:p>
    <w:p w:rsidR="00E07BA8" w:rsidRPr="0039534C" w:rsidRDefault="00E07BA8">
      <w:pPr>
        <w:pStyle w:val="Normaltindrag"/>
        <w:ind w:firstLine="0"/>
      </w:pPr>
    </w:p>
    <w:p w:rsidR="00E07BA8" w:rsidRPr="0039534C" w:rsidRDefault="00E07BA8">
      <w:pPr>
        <w:pStyle w:val="R1"/>
      </w:pPr>
      <w:r w:rsidRPr="0039534C">
        <w:br w:type="page"/>
      </w:r>
      <w:bookmarkStart w:id="6" w:name="_Toc513969309"/>
      <w:r w:rsidRPr="0039534C">
        <w:t>Avvikande mening</w:t>
      </w:r>
      <w:bookmarkEnd w:id="6"/>
    </w:p>
    <w:p w:rsidR="00E07BA8" w:rsidRPr="0039534C" w:rsidRDefault="00E07BA8">
      <w:pPr>
        <w:spacing w:before="0"/>
      </w:pPr>
      <w:r w:rsidRPr="0039534C">
        <w:t>Utskottets beredning av ärendet har föranlett följande avvikande mening.</w:t>
      </w:r>
    </w:p>
    <w:p w:rsidR="00E07BA8" w:rsidRPr="0039534C" w:rsidRDefault="00E07BA8">
      <w:pPr>
        <w:pStyle w:val="Yttrandepunkt"/>
        <w:rPr>
          <w:noProof w:val="0"/>
        </w:rPr>
      </w:pPr>
      <w:r w:rsidRPr="0039534C">
        <w:rPr>
          <w:noProof w:val="0"/>
        </w:rPr>
        <w:t>Tilläggsbudget för år 2001 – Utgiftsområde 6 Totalförsvar (m)</w:t>
      </w:r>
    </w:p>
    <w:p w:rsidR="00E07BA8" w:rsidRPr="0039534C" w:rsidRDefault="00E07BA8">
      <w:r w:rsidRPr="0039534C">
        <w:t>av Henrik Landerholm, Olle Lindström, Rolf Gunnarsson och Anna Lilli</w:t>
      </w:r>
      <w:r w:rsidRPr="0039534C">
        <w:t>e</w:t>
      </w:r>
      <w:r w:rsidRPr="0039534C">
        <w:t>höök (alla m).</w:t>
      </w:r>
    </w:p>
    <w:p w:rsidR="00E07BA8" w:rsidRPr="0039534C" w:rsidRDefault="00E07BA8">
      <w:r w:rsidRPr="0039534C">
        <w:t>Försvarskrisen är över oss igen. Förra årets försvarsbeslut visar sig redan nu vara otillräckligt, även med de begränsade ambitioner som ligger bakom beslutet.</w:t>
      </w:r>
    </w:p>
    <w:p w:rsidR="00E07BA8" w:rsidRPr="0039534C" w:rsidRDefault="00E07BA8">
      <w:pPr>
        <w:pStyle w:val="Normaltindrag"/>
      </w:pPr>
      <w:r w:rsidRPr="0039534C">
        <w:t>Försvarsbeslutet som helhet är underbalanserat. Driften blir avsevärt dyr</w:t>
      </w:r>
      <w:r w:rsidRPr="0039534C">
        <w:t>a</w:t>
      </w:r>
      <w:r w:rsidRPr="0039534C">
        <w:t>re än beräknat under perioden 2002–2004. Dessutom har regeringen genom beslutade och föreslagna pålagor belastat Försvarsmakten med kostnader på minst 650 miljoner – kanske upp till 1 250 miljoner – kronor per år utöver vad som fanns med i försvarsbeslutet.</w:t>
      </w:r>
    </w:p>
    <w:p w:rsidR="00E07BA8" w:rsidRPr="0039534C" w:rsidRDefault="00E07BA8">
      <w:pPr>
        <w:pStyle w:val="Normaltindrag"/>
      </w:pPr>
      <w:r w:rsidRPr="0039534C">
        <w:t>Underskottet för förbandsverksamheten uppgick förra året till drygt 700 miljoner kronor. Detta som följd av högre kostnader än beräknat – framför allt för avveckling men också för kostnader för driften av den nya organis</w:t>
      </w:r>
      <w:r w:rsidRPr="0039534C">
        <w:t>a</w:t>
      </w:r>
      <w:r w:rsidRPr="0039534C">
        <w:t>tionen – och därmed svårigheter att anpassa verksamheten i övergången från den gamla till den nya ekonomiska ramen. Resultatet av överutnyttjandet innebar alltför stora ambitionssänkningar redan i förbandens planerade ver</w:t>
      </w:r>
      <w:r w:rsidRPr="0039534C">
        <w:t>k</w:t>
      </w:r>
      <w:r w:rsidRPr="0039534C">
        <w:t>samhet under 2001. En stor del av de påverkbara kostnaderna skars bort i budgetdialoger under början av året. Utveckling och framtidstro förvandlades till ett utbil</w:t>
      </w:r>
      <w:r w:rsidRPr="0039534C">
        <w:t>d</w:t>
      </w:r>
      <w:r w:rsidRPr="0039534C">
        <w:t xml:space="preserve">ningsår med ytterligare hårda sparkrav. </w:t>
      </w:r>
    </w:p>
    <w:p w:rsidR="00E07BA8" w:rsidRPr="0039534C" w:rsidRDefault="00E07BA8">
      <w:pPr>
        <w:pStyle w:val="Normaltindrag"/>
      </w:pPr>
      <w:r w:rsidRPr="0039534C">
        <w:t>För att både klara av situationen kortsiktigt och komma till rätta med u</w:t>
      </w:r>
      <w:r w:rsidRPr="0039534C">
        <w:t>n</w:t>
      </w:r>
      <w:r w:rsidRPr="0039534C">
        <w:t>derskotten långsiktigt föreslog Försvarsmakten i budgetunderlaget att det skulle få använda överskott från materielanskaffningen för att täcka överskr</w:t>
      </w:r>
      <w:r w:rsidRPr="0039534C">
        <w:t>i</w:t>
      </w:r>
      <w:r w:rsidRPr="0039534C">
        <w:t>danden inom förbandsverksamheten, såväl de existerande för 2000 som de väntade för 2001. Regeringen föreslår emellertid att endast förra årets öve</w:t>
      </w:r>
      <w:r w:rsidRPr="0039534C">
        <w:t>r</w:t>
      </w:r>
      <w:r w:rsidRPr="0039534C">
        <w:t>skridande skall täckas genom att använda överskottet från materielanskaf</w:t>
      </w:r>
      <w:r w:rsidRPr="0039534C">
        <w:t>f</w:t>
      </w:r>
      <w:r w:rsidRPr="0039534C">
        <w:t xml:space="preserve">ningen. En organisation som redan utsatts för ytterst hårda sparkrav tvingas att inskränka verksamheten med ytterligare 700 miljoner kronor </w:t>
      </w:r>
      <w:r w:rsidRPr="0039534C">
        <w:t>för innev</w:t>
      </w:r>
      <w:r w:rsidRPr="0039534C">
        <w:t>a</w:t>
      </w:r>
      <w:r w:rsidRPr="0039534C">
        <w:t>rande år.</w:t>
      </w:r>
    </w:p>
    <w:p w:rsidR="00E07BA8" w:rsidRPr="0039534C" w:rsidRDefault="00E07BA8">
      <w:r w:rsidRPr="0039534C">
        <w:t>Moderata samlingspartiet anser i grunden att av riksdagen beslutad verksa</w:t>
      </w:r>
      <w:r w:rsidRPr="0039534C">
        <w:t>m</w:t>
      </w:r>
      <w:r w:rsidRPr="0039534C">
        <w:t>het skall genomföras inom de ramar som anvisats. Detta kräver emellertid att det finns en balans mellan beslutad verksamhet och tilldelade resurser.</w:t>
      </w:r>
    </w:p>
    <w:p w:rsidR="00E07BA8" w:rsidRPr="0039534C" w:rsidRDefault="00E07BA8">
      <w:r w:rsidRPr="0039534C">
        <w:t>Förslaget i tilläggsbudgeten är sålunda orimligt. Det är inte möjligt att minska anslaget 6:1</w:t>
      </w:r>
      <w:r w:rsidRPr="0039534C">
        <w:rPr>
          <w:i/>
        </w:rPr>
        <w:t xml:space="preserve"> Förbandsverksamhet och beredskap m.m.</w:t>
      </w:r>
      <w:r w:rsidRPr="0039534C">
        <w:t xml:space="preserve"> under de kvarvarande sju månaderna på ett sådant sätt som regeringen begär. Att ”öka omvan</w:t>
      </w:r>
      <w:r w:rsidRPr="0039534C">
        <w:t>d</w:t>
      </w:r>
      <w:r w:rsidRPr="0039534C">
        <w:t>lingstrycket” för att få försvaret att komma i kostymen är en sak, men met</w:t>
      </w:r>
      <w:r w:rsidRPr="0039534C">
        <w:t>o</w:t>
      </w:r>
      <w:r w:rsidRPr="0039534C">
        <w:t>derna ansvarslösa. Det är möjligt att den kamerala ekvationen kan lyckas. Detta kräver dock att all förbandsverksamhet i huvudsak inställs under resten av året.</w:t>
      </w:r>
    </w:p>
    <w:p w:rsidR="00E07BA8" w:rsidRPr="0039534C" w:rsidRDefault="00E07BA8">
      <w:r w:rsidRPr="0039534C">
        <w:t>Försvarsmaktens högkvarter har inför försvarsutskottet redovisat vilka ko</w:t>
      </w:r>
      <w:r w:rsidRPr="0039534C">
        <w:t>n</w:t>
      </w:r>
      <w:r w:rsidRPr="0039534C">
        <w:t>sekvenserna blir under 2001. Förslagen är att:</w:t>
      </w:r>
    </w:p>
    <w:p w:rsidR="00E07BA8" w:rsidRPr="0039534C" w:rsidRDefault="00E07BA8">
      <w:pPr>
        <w:pStyle w:val="Normaltindrag"/>
      </w:pPr>
      <w:r w:rsidRPr="0039534C">
        <w:t>- hemvärnsutbildningen reduceras med 50 %,</w:t>
      </w:r>
    </w:p>
    <w:p w:rsidR="00E07BA8" w:rsidRPr="0039534C" w:rsidRDefault="00E07BA8">
      <w:pPr>
        <w:pStyle w:val="Normaltindrag"/>
      </w:pPr>
      <w:r w:rsidRPr="0039534C">
        <w:t>- förbandsutbildningen minskas med 30–40 % av de rörliga kostnaderna,</w:t>
      </w:r>
    </w:p>
    <w:p w:rsidR="00E07BA8" w:rsidRPr="0039534C" w:rsidRDefault="00E07BA8">
      <w:pPr>
        <w:pStyle w:val="Normaltindrag"/>
      </w:pPr>
      <w:r w:rsidRPr="0039534C">
        <w:t>- flygtidsuttag och gångtid på fartyg reduceras kraftigt,</w:t>
      </w:r>
    </w:p>
    <w:p w:rsidR="00E07BA8" w:rsidRPr="0039534C" w:rsidRDefault="00E07BA8">
      <w:pPr>
        <w:pStyle w:val="Normaltindrag"/>
      </w:pPr>
      <w:r w:rsidRPr="0039534C">
        <w:t>- omskolningen av JAS försenas cirka ett år (utöver effekten av den milit</w:t>
      </w:r>
      <w:r w:rsidRPr="0039534C">
        <w:t>ä</w:t>
      </w:r>
      <w:r w:rsidRPr="0039534C">
        <w:t>ra flygutbildningens lokalisering),</w:t>
      </w:r>
    </w:p>
    <w:p w:rsidR="00E07BA8" w:rsidRPr="0039534C" w:rsidRDefault="00E07BA8">
      <w:pPr>
        <w:pStyle w:val="Normaltindrag"/>
      </w:pPr>
      <w:r w:rsidRPr="0039534C">
        <w:t>- helikopterverksamheten i försvaret inskränks till fredsräddning, SAR (Search and Rescue) och ambulanstransporter, samt</w:t>
      </w:r>
    </w:p>
    <w:p w:rsidR="00E07BA8" w:rsidRPr="0039534C" w:rsidRDefault="00E07BA8">
      <w:pPr>
        <w:pStyle w:val="Normaltindrag"/>
      </w:pPr>
      <w:r w:rsidRPr="0039534C">
        <w:t>- vid skolor och centrum senareläggs övergångsutbildning av arméofficer</w:t>
      </w:r>
      <w:r w:rsidRPr="0039534C">
        <w:t>a</w:t>
      </w:r>
      <w:r w:rsidRPr="0039534C">
        <w:t>re och studie- och utvecklingsverksamheten dras ned kraftigt.</w:t>
      </w:r>
    </w:p>
    <w:p w:rsidR="00E07BA8" w:rsidRPr="0039534C" w:rsidRDefault="00E07BA8">
      <w:r w:rsidRPr="0039534C">
        <w:t>Sammantaget innebär detta att såväl internationalisering som utveckling av insatsorganisationen försenas. Utöver detta försenas omställningen till ”det nya försvaret”. Planerad omförrådsställning senareläggs och på den utrustning som finns i förråd begränsas underhållet (300–500 civilanställda avskedas).</w:t>
      </w:r>
    </w:p>
    <w:p w:rsidR="00E07BA8" w:rsidRPr="0039534C" w:rsidRDefault="00E07BA8">
      <w:pPr>
        <w:pStyle w:val="Normaltindrag"/>
      </w:pPr>
      <w:r w:rsidRPr="0039534C">
        <w:t>Övriga åtgärder som övervägs är att ställa in eller reducera det taktiska programmet samt stabs- och chefsprogrammen vid Försvarshögskolan. Detta trots att 70 % av kostnaden vid Försvarshögskolan inte går att påverka. He</w:t>
      </w:r>
      <w:r w:rsidRPr="0039534C">
        <w:t>m</w:t>
      </w:r>
      <w:r w:rsidRPr="0039534C">
        <w:t>värnets verksamhet övervägs att helt ställas in. Dessutom övervägs ytterligare reduceringar av förbandsverksamheten.</w:t>
      </w:r>
    </w:p>
    <w:p w:rsidR="00E07BA8" w:rsidRPr="0039534C" w:rsidRDefault="00E07BA8">
      <w:pPr>
        <w:pStyle w:val="Normaltindrag"/>
      </w:pPr>
      <w:r w:rsidRPr="0039534C">
        <w:t>Det handlar alltså om att hitta åtgärder som över huvud taget är möjliga att genomföra för att spara pengar. Men då får skattebetalarna heller ingen vidare effekt av de 45 miljarder kronor som faktiskt satsas på totalförsvaret.</w:t>
      </w:r>
    </w:p>
    <w:p w:rsidR="00E07BA8" w:rsidRPr="0039534C" w:rsidRDefault="00E07BA8">
      <w:r w:rsidRPr="0039534C">
        <w:t>Stora oönskade avgångar av officerare är redan en del av verkligheten. Förra året slutade över 400 officerare helt utan de generösa erbjudanden som andra fått. Och avhoppen – för att inte säga strömhoppen – fortsätter. Många dukt</w:t>
      </w:r>
      <w:r w:rsidRPr="0039534C">
        <w:t>i</w:t>
      </w:r>
      <w:r w:rsidRPr="0039534C">
        <w:t>ga och välutbildade nyckelpersoner försvinner när Försvarsdepartementet ökar omvandlingstrycket. Försvaret blöder inte bara ekonomiskt, utan också personellt. Kompetensflykten fortsätter. Om utvecklingen fortsätter riskeras ett självgenererande förfall och systemkollaps.</w:t>
      </w:r>
    </w:p>
    <w:p w:rsidR="00E07BA8" w:rsidRPr="0039534C" w:rsidRDefault="00E07BA8">
      <w:pPr>
        <w:pStyle w:val="Normaltindrag"/>
      </w:pPr>
      <w:r w:rsidRPr="0039534C">
        <w:t>Särskilt allvarliga blir konsekvenserna för de delar av verksamheten där de berörda kan ”rösta med fötterna”. Åtskilliga hemvärnsmän och framför allt unga officerare kommer inte att finnas kvar efter detta halvårs stålbad. Också framtida r</w:t>
      </w:r>
      <w:r w:rsidRPr="0039534C">
        <w:t>ekryteringskraft såväl vad gäller hemvärn som officersyrke försä</w:t>
      </w:r>
      <w:r w:rsidRPr="0039534C">
        <w:t>m</w:t>
      </w:r>
      <w:r w:rsidRPr="0039534C">
        <w:t>ras genom åtgärderna.</w:t>
      </w:r>
    </w:p>
    <w:p w:rsidR="00E07BA8" w:rsidRPr="0039534C" w:rsidRDefault="00E07BA8">
      <w:pPr>
        <w:pStyle w:val="Normaltindrag"/>
      </w:pPr>
      <w:r w:rsidRPr="0039534C">
        <w:t>För att ta försvaret ur detta kaos krävs handling på kort och på lång sikt. På kort sikt mera pengar – i första hand ett ekonomiskt tillskott, i andra hand överföringar från materielanslagen för 2001. Det drabbar visserligen förnye</w:t>
      </w:r>
      <w:r w:rsidRPr="0039534C">
        <w:t>l</w:t>
      </w:r>
      <w:r w:rsidRPr="0039534C">
        <w:t>sen – investeringarna som inte görs nu måste göras senare – men är till skil</w:t>
      </w:r>
      <w:r w:rsidRPr="0039534C">
        <w:t>l</w:t>
      </w:r>
      <w:r w:rsidRPr="0039534C">
        <w:t>nad från dråpslaget mot övnings- och utbildningsverksamheten inte helt omöjliga att ta igen.</w:t>
      </w:r>
    </w:p>
    <w:p w:rsidR="00E07BA8" w:rsidRPr="0039534C" w:rsidRDefault="00E07BA8">
      <w:pPr>
        <w:pStyle w:val="Normaltindrag"/>
      </w:pPr>
      <w:r w:rsidRPr="0039534C">
        <w:t>Regeringen tror sig genom den hårda linjen driva på för en bättre budge</w:t>
      </w:r>
      <w:r w:rsidRPr="0039534C">
        <w:t>t</w:t>
      </w:r>
      <w:r w:rsidRPr="0039534C">
        <w:t>disciplin i försvaret, vars förbandsverksamhet nu ”skall in i kostymen”. A</w:t>
      </w:r>
      <w:r w:rsidRPr="0039534C">
        <w:t>m</w:t>
      </w:r>
      <w:r w:rsidRPr="0039534C">
        <w:t>bitionen är god, men de panikåtgärder som planeras har inget med frågan om att komma in i kostnadsramen för nästa försvarsbeslutsperiod att göra. Om besparingsåtgärderna vore ett led i en anpassning av förbandsverksamheten skulle det vara förståeligt. Självklart behövs åtgärder på sikt – planeringen och prognosinstrumenten har varit undermåliga, men är också till stor del ett resultat av brister i regeringens styrning av Försvarsmak</w:t>
      </w:r>
      <w:r w:rsidRPr="0039534C">
        <w:t>ten – men detta är inget skäl för att utsätta Försvarsmakten för panikbesparingar som fördröjer den nödvändiga omställningen av försvaret.</w:t>
      </w:r>
    </w:p>
    <w:p w:rsidR="00E07BA8" w:rsidRPr="0039534C" w:rsidRDefault="00E07BA8">
      <w:r w:rsidRPr="0039534C">
        <w:t>Regeringen försvarar sig med att pengar kan komma att tillskjutas sedan – när man känner utfallet. Då är skadan redan skedd. I efterhand kan ju pengar bara skjutas till om panikåtgärderna inte ger det utfall man hoppas på. Verksa</w:t>
      </w:r>
      <w:r w:rsidRPr="0039534C">
        <w:t>m</w:t>
      </w:r>
      <w:r w:rsidRPr="0039534C">
        <w:t>heten drabbas lika hårt i alla fall. Regeringen agerar i stället för att reagera. Detta är inte ansvarsfullt.</w:t>
      </w:r>
    </w:p>
    <w:p w:rsidR="00E07BA8" w:rsidRPr="0039534C" w:rsidRDefault="00E07BA8">
      <w:r w:rsidRPr="0039534C">
        <w:t>Samtidigt har stora investeringar i försvarsfastigheter genomförts under 1990-talet. Av dessa investeringar har minst 1 ½ miljard kronor investerats i fö</w:t>
      </w:r>
      <w:r w:rsidRPr="0039534C">
        <w:t>r</w:t>
      </w:r>
      <w:r w:rsidRPr="0039534C">
        <w:t>svarsfastigheter som nu har lämnats eller som man planerar att lämna. Nya investeringar pågår och andra planeras. Det är utmanande att genomföra dessa investeringar med sikte på 2010–2015 när utrymmet för de åtaganden som staten gör samtidigt krymper på de flesta områden. Det är ett uppenbart slös</w:t>
      </w:r>
      <w:r w:rsidRPr="0039534C">
        <w:t>e</w:t>
      </w:r>
      <w:r w:rsidRPr="0039534C">
        <w:t>ri med skattebetalarnas pengar. Samtidigt är det förvånande att dessa invest</w:t>
      </w:r>
      <w:r w:rsidRPr="0039534C">
        <w:t>e</w:t>
      </w:r>
      <w:r w:rsidRPr="0039534C">
        <w:t>ringar kan göras obehindrat samtidigt som förbandsverksamheten åläggs besparingskrav av sådan omfattning att det blir förödande för utb</w:t>
      </w:r>
      <w:r w:rsidRPr="0039534C">
        <w:t>ildningsr</w:t>
      </w:r>
      <w:r w:rsidRPr="0039534C">
        <w:t>e</w:t>
      </w:r>
      <w:r w:rsidRPr="0039534C">
        <w:t>sultat och övrig verksamhet. Denna utveckling är destruktiv för de anställda inom Försvarsmakten och för allmänhetens förtroende för det sätt på vilket riksdag och regering styr utvecklingen av det s.k. ”nya försvaret”.</w:t>
      </w:r>
    </w:p>
    <w:p w:rsidR="00E07BA8" w:rsidRPr="0039534C" w:rsidRDefault="00E07BA8">
      <w:r w:rsidRPr="0039534C">
        <w:t>Moderata samlingspartiet föreslår att 1 400 000 000 kr, i enlighet med Fö</w:t>
      </w:r>
      <w:r w:rsidRPr="0039534C">
        <w:t>r</w:t>
      </w:r>
      <w:r w:rsidRPr="0039534C">
        <w:t>svarsmaktens förslag, förs från ramanslaget 6.3</w:t>
      </w:r>
      <w:r w:rsidRPr="0039534C">
        <w:rPr>
          <w:i/>
        </w:rPr>
        <w:t xml:space="preserve"> Materiel, anläggningar samt forskning och utveckling</w:t>
      </w:r>
      <w:r w:rsidRPr="0039534C">
        <w:t xml:space="preserve"> till ramanslaget 6.1</w:t>
      </w:r>
      <w:r w:rsidRPr="0039534C">
        <w:rPr>
          <w:i/>
        </w:rPr>
        <w:t xml:space="preserve"> Förbandsverksamhet och bere</w:t>
      </w:r>
      <w:r w:rsidRPr="0039534C">
        <w:rPr>
          <w:i/>
        </w:rPr>
        <w:t>d</w:t>
      </w:r>
      <w:r w:rsidRPr="0039534C">
        <w:rPr>
          <w:i/>
        </w:rPr>
        <w:t>skap m.m.</w:t>
      </w:r>
    </w:p>
    <w:p w:rsidR="00E07BA8" w:rsidRPr="0039534C" w:rsidRDefault="00E07BA8">
      <w:r w:rsidRPr="0039534C">
        <w:t>Riksdagen bör därutöver ge regeringen i uppdrag att pröva samtliga nu b</w:t>
      </w:r>
      <w:r w:rsidRPr="0039534C">
        <w:t>e</w:t>
      </w:r>
      <w:r w:rsidRPr="0039534C">
        <w:t>slutade, pågående och planerade om- och nylokaliseringar av försvarsver</w:t>
      </w:r>
      <w:r w:rsidRPr="0039534C">
        <w:t>k</w:t>
      </w:r>
      <w:r w:rsidRPr="0039534C">
        <w:t>samhet. Syftet skall vara att frigöra investeringsmedel som kan tillföras ram- anslaget 6:3</w:t>
      </w:r>
      <w:r w:rsidRPr="0039534C">
        <w:rPr>
          <w:i/>
        </w:rPr>
        <w:t xml:space="preserve"> Materiel, anläggningar samt forskning och utveckling</w:t>
      </w:r>
      <w:r w:rsidRPr="0039534C">
        <w:t xml:space="preserve"> som en engångskompensation för de reduktioner som har genomförts och som man nu planerar att genomföra inom detta anslag.</w:t>
      </w:r>
    </w:p>
    <w:p w:rsidR="00E07BA8" w:rsidRPr="0039534C" w:rsidRDefault="00E07BA8"/>
    <w:p w:rsidR="00E07BA8" w:rsidRPr="0039534C" w:rsidRDefault="00E07BA8">
      <w:pPr>
        <w:pStyle w:val="Tryckort"/>
        <w:framePr w:wrap="around"/>
        <w:jc w:val="right"/>
      </w:pPr>
      <w:r w:rsidRPr="0039534C">
        <w:t>Elanders Gotab, Stockholm  2001</w:t>
      </w:r>
    </w:p>
    <w:p w:rsidR="00E07BA8" w:rsidRPr="0039534C" w:rsidRDefault="00E07BA8">
      <w:pPr>
        <w:pStyle w:val="Normaltindrag"/>
      </w:pPr>
    </w:p>
    <w:sectPr w:rsidR="00E07BA8" w:rsidRPr="0039534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7BA8" w:rsidRPr="0039534C" w:rsidRDefault="00E07BA8">
      <w:pPr>
        <w:spacing w:before="0" w:line="240" w:lineRule="auto"/>
      </w:pPr>
      <w:r w:rsidRPr="0039534C">
        <w:separator/>
      </w:r>
    </w:p>
  </w:endnote>
  <w:endnote w:type="continuationSeparator" w:id="0">
    <w:p w:rsidR="00E07BA8" w:rsidRPr="0039534C" w:rsidRDefault="00E07BA8">
      <w:pPr>
        <w:spacing w:before="0" w:line="240" w:lineRule="auto"/>
      </w:pPr>
      <w:r w:rsidRPr="003953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adeGothic">
    <w:altName w:val="Calibri"/>
    <w:charset w:val="00"/>
    <w:family w:val="auto"/>
    <w:pitch w:val="variable"/>
    <w:sig w:usb0="00000003" w:usb1="00000000" w:usb2="00000000" w:usb3="00000000" w:csb0="00000001" w:csb1="00000000"/>
  </w:font>
  <w:font w:name="TradeGothic CondEighteen">
    <w:altName w:val="Calibri"/>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BA8" w:rsidRPr="0039534C" w:rsidRDefault="00E07BA8">
    <w:pPr>
      <w:pStyle w:val="SidfotV"/>
      <w:framePr w:w="8732" w:h="284" w:hRule="exact" w:hSpace="0" w:vSpace="0" w:wrap="around" w:xAlign="inside" w:y="13042" w:anchorLock="0"/>
    </w:pPr>
    <w:r w:rsidRPr="0039534C">
      <w:fldChar w:fldCharType="begin" w:fldLock="1"/>
    </w:r>
    <w:r w:rsidRPr="0039534C">
      <w:instrText xml:space="preserve"> P</w:instrText>
    </w:r>
    <w:r w:rsidRPr="0039534C">
      <w:instrText>A</w:instrText>
    </w:r>
    <w:r w:rsidRPr="0039534C">
      <w:instrText xml:space="preserve">GE </w:instrText>
    </w:r>
    <w:r w:rsidRPr="0039534C">
      <w:fldChar w:fldCharType="separate"/>
    </w:r>
    <w:r w:rsidRPr="0039534C">
      <w:t>2</w:t>
    </w:r>
    <w:r w:rsidRPr="0039534C">
      <w:fldChar w:fldCharType="end"/>
    </w:r>
  </w:p>
  <w:p w:rsidR="00E07BA8" w:rsidRPr="0039534C" w:rsidRDefault="00E07BA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BA8" w:rsidRPr="0039534C" w:rsidRDefault="00E07BA8">
    <w:pPr>
      <w:pStyle w:val="SidfotH"/>
      <w:framePr w:w="8732" w:h="284" w:hRule="exact" w:hSpace="0" w:vSpace="0" w:wrap="around" w:xAlign="inside" w:y="13042" w:anchorLock="0"/>
    </w:pPr>
    <w:r w:rsidRPr="0039534C">
      <w:fldChar w:fldCharType="begin" w:fldLock="1"/>
    </w:r>
    <w:r w:rsidRPr="0039534C">
      <w:instrText xml:space="preserve"> P</w:instrText>
    </w:r>
    <w:r w:rsidRPr="0039534C">
      <w:instrText>A</w:instrText>
    </w:r>
    <w:r w:rsidRPr="0039534C">
      <w:instrText xml:space="preserve">GE </w:instrText>
    </w:r>
    <w:r w:rsidRPr="0039534C">
      <w:fldChar w:fldCharType="separate"/>
    </w:r>
    <w:r w:rsidRPr="0039534C">
      <w:t>3</w:t>
    </w:r>
    <w:r w:rsidRPr="0039534C">
      <w:fldChar w:fldCharType="end"/>
    </w:r>
  </w:p>
  <w:p w:rsidR="00E07BA8" w:rsidRPr="0039534C" w:rsidRDefault="00E07BA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BA8" w:rsidRPr="0039534C" w:rsidRDefault="00E07BA8">
    <w:pPr>
      <w:pStyle w:val="SidfotV"/>
      <w:framePr w:w="8732" w:h="284" w:hRule="exact" w:hSpace="0" w:vSpace="0" w:wrap="around" w:xAlign="inside" w:y="13042" w:anchorLock="0"/>
    </w:pPr>
    <w:r w:rsidRPr="0039534C">
      <w:fldChar w:fldCharType="begin" w:fldLock="1"/>
    </w:r>
    <w:r w:rsidRPr="0039534C">
      <w:instrText xml:space="preserve"> if </w:instrText>
    </w:r>
    <w:r w:rsidRPr="0039534C">
      <w:fldChar w:fldCharType="begin" w:fldLock="1"/>
    </w:r>
    <w:r w:rsidRPr="0039534C">
      <w:instrText xml:space="preserve"> = </w:instrText>
    </w:r>
    <w:r w:rsidRPr="0039534C">
      <w:fldChar w:fldCharType="begin" w:fldLock="1"/>
    </w:r>
    <w:r w:rsidRPr="0039534C">
      <w:instrText xml:space="preserve"> = </w:instrText>
    </w:r>
    <w:r w:rsidRPr="0039534C">
      <w:fldChar w:fldCharType="begin" w:fldLock="1"/>
    </w:r>
    <w:r w:rsidRPr="0039534C">
      <w:instrText xml:space="preserve"> page</w:instrText>
    </w:r>
    <w:r w:rsidRPr="0039534C">
      <w:fldChar w:fldCharType="separate"/>
    </w:r>
    <w:r w:rsidR="0039534C">
      <w:rPr>
        <w:noProof/>
      </w:rPr>
      <w:instrText>1</w:instrText>
    </w:r>
    <w:r w:rsidRPr="0039534C">
      <w:fldChar w:fldCharType="end"/>
    </w:r>
    <w:r w:rsidRPr="0039534C">
      <w:instrText xml:space="preserve">/2 </w:instrText>
    </w:r>
    <w:r w:rsidRPr="0039534C">
      <w:fldChar w:fldCharType="separate"/>
    </w:r>
    <w:r w:rsidR="0039534C">
      <w:rPr>
        <w:noProof/>
      </w:rPr>
      <w:instrText>0,5</w:instrText>
    </w:r>
    <w:r w:rsidRPr="0039534C">
      <w:fldChar w:fldCharType="end"/>
    </w:r>
    <w:r w:rsidRPr="0039534C">
      <w:instrText xml:space="preserve"> - </w:instrText>
    </w:r>
    <w:r w:rsidRPr="0039534C">
      <w:fldChar w:fldCharType="begin" w:fldLock="1"/>
    </w:r>
    <w:r w:rsidRPr="0039534C">
      <w:instrText xml:space="preserve"> = int(</w:instrText>
    </w:r>
    <w:r w:rsidRPr="0039534C">
      <w:fldChar w:fldCharType="begin" w:fldLock="1"/>
    </w:r>
    <w:r w:rsidRPr="0039534C">
      <w:instrText xml:space="preserve"> page</w:instrText>
    </w:r>
    <w:r w:rsidRPr="0039534C">
      <w:fldChar w:fldCharType="separate"/>
    </w:r>
    <w:r w:rsidR="0039534C">
      <w:rPr>
        <w:noProof/>
      </w:rPr>
      <w:instrText>1</w:instrText>
    </w:r>
    <w:r w:rsidRPr="0039534C">
      <w:fldChar w:fldCharType="end"/>
    </w:r>
    <w:r w:rsidRPr="0039534C">
      <w:instrText xml:space="preserve">/2) </w:instrText>
    </w:r>
    <w:r w:rsidRPr="0039534C">
      <w:fldChar w:fldCharType="separate"/>
    </w:r>
    <w:r w:rsidR="0039534C">
      <w:rPr>
        <w:noProof/>
      </w:rPr>
      <w:instrText>0</w:instrText>
    </w:r>
    <w:r w:rsidRPr="0039534C">
      <w:fldChar w:fldCharType="end"/>
    </w:r>
    <w:r w:rsidRPr="0039534C">
      <w:fldChar w:fldCharType="separate"/>
    </w:r>
    <w:r w:rsidR="0039534C">
      <w:rPr>
        <w:noProof/>
      </w:rPr>
      <w:instrText>0,5</w:instrText>
    </w:r>
    <w:r w:rsidRPr="0039534C">
      <w:fldChar w:fldCharType="end"/>
    </w:r>
    <w:r w:rsidRPr="0039534C">
      <w:instrText xml:space="preserve"> = 0 "</w:instrText>
    </w:r>
    <w:r w:rsidRPr="0039534C">
      <w:fldChar w:fldCharType="begin" w:fldLock="1"/>
    </w:r>
    <w:r w:rsidRPr="0039534C">
      <w:instrText xml:space="preserve"> P</w:instrText>
    </w:r>
    <w:r w:rsidRPr="0039534C">
      <w:instrText>A</w:instrText>
    </w:r>
    <w:r w:rsidRPr="0039534C">
      <w:instrText xml:space="preserve">GE </w:instrText>
    </w:r>
    <w:r w:rsidRPr="0039534C">
      <w:fldChar w:fldCharType="separate"/>
    </w:r>
    <w:r w:rsidRPr="0039534C">
      <w:instrText>6</w:instrText>
    </w:r>
    <w:r w:rsidRPr="0039534C">
      <w:fldChar w:fldCharType="end"/>
    </w:r>
  </w:p>
  <w:p w:rsidR="00E07BA8" w:rsidRPr="0039534C" w:rsidRDefault="00E07BA8">
    <w:pPr>
      <w:pStyle w:val="SidfotH"/>
      <w:framePr w:w="8732" w:h="284" w:hRule="exact" w:hSpace="0" w:vSpace="0" w:wrap="around" w:xAlign="inside" w:y="13042" w:anchorLock="0"/>
    </w:pPr>
    <w:r w:rsidRPr="0039534C">
      <w:instrText>""</w:instrText>
    </w:r>
    <w:r w:rsidRPr="0039534C">
      <w:fldChar w:fldCharType="begin" w:fldLock="1"/>
    </w:r>
    <w:r w:rsidRPr="0039534C">
      <w:instrText xml:space="preserve"> P</w:instrText>
    </w:r>
    <w:r w:rsidRPr="0039534C">
      <w:instrText>A</w:instrText>
    </w:r>
    <w:r w:rsidRPr="0039534C">
      <w:instrText xml:space="preserve">GE </w:instrText>
    </w:r>
    <w:r w:rsidRPr="0039534C">
      <w:fldChar w:fldCharType="separate"/>
    </w:r>
    <w:r w:rsidR="0039534C">
      <w:rPr>
        <w:noProof/>
      </w:rPr>
      <w:instrText>1</w:instrText>
    </w:r>
    <w:r w:rsidRPr="0039534C">
      <w:fldChar w:fldCharType="end"/>
    </w:r>
    <w:r w:rsidRPr="0039534C">
      <w:instrText>"</w:instrText>
    </w:r>
    <w:r w:rsidRPr="0039534C">
      <w:fldChar w:fldCharType="separate"/>
    </w:r>
    <w:r w:rsidR="0039534C">
      <w:rPr>
        <w:noProof/>
      </w:rPr>
      <w:t>1</w:t>
    </w:r>
    <w:r w:rsidRPr="0039534C">
      <w:fldChar w:fldCharType="end"/>
    </w:r>
  </w:p>
  <w:p w:rsidR="00E07BA8" w:rsidRPr="0039534C" w:rsidRDefault="00E07B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7BA8" w:rsidRPr="0039534C" w:rsidRDefault="00E07BA8">
      <w:pPr>
        <w:pStyle w:val="Sidfot"/>
      </w:pPr>
    </w:p>
  </w:footnote>
  <w:footnote w:type="continuationSeparator" w:id="0">
    <w:p w:rsidR="00E07BA8" w:rsidRPr="0039534C" w:rsidRDefault="00E07BA8">
      <w:pPr>
        <w:spacing w:before="0" w:line="240" w:lineRule="auto"/>
      </w:pPr>
      <w:r w:rsidRPr="003953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BA8" w:rsidRPr="0039534C" w:rsidRDefault="00E07BA8">
    <w:pPr>
      <w:pStyle w:val="SidhuvudKantJmn"/>
      <w:framePr w:w="8732" w:h="567" w:hRule="exact" w:vSpace="0" w:wrap="around" w:vAnchor="page" w:y="341" w:anchorLock="0"/>
    </w:pPr>
    <w:r w:rsidRPr="0039534C">
      <w:rPr>
        <w:rStyle w:val="SidhuvudUtskott"/>
      </w:rPr>
      <w:t>2000/01:FöU5y</w:t>
    </w:r>
    <w:r w:rsidRPr="0039534C">
      <w:t xml:space="preserve">     </w:t>
    </w:r>
    <w:r w:rsidRPr="0039534C">
      <w:rPr>
        <w:rStyle w:val="SidhuvudBilaga"/>
      </w:rPr>
      <w:t xml:space="preserve"> </w:t>
    </w:r>
    <w:r w:rsidRPr="0039534C">
      <w:rPr>
        <w:rStyle w:val="SidhuvudRubrikReferens"/>
      </w:rPr>
      <w:t>Försvarsutskottets yttrande</w:t>
    </w:r>
  </w:p>
  <w:p w:rsidR="00E07BA8" w:rsidRPr="0039534C" w:rsidRDefault="00E07BA8">
    <w:pPr>
      <w:pStyle w:val="SidhuvudKantJmn"/>
      <w:framePr w:w="8732" w:h="567" w:hRule="exact" w:vSpace="0" w:wrap="around" w:vAnchor="page" w:y="341" w:anchorLock="0"/>
    </w:pPr>
  </w:p>
  <w:p w:rsidR="00E07BA8" w:rsidRPr="0039534C" w:rsidRDefault="00E07BA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BA8" w:rsidRPr="0039534C" w:rsidRDefault="00E07BA8">
    <w:pPr>
      <w:pStyle w:val="SidhuvudKantUdda"/>
      <w:framePr w:w="8732" w:h="567" w:hRule="exact" w:vSpace="0" w:wrap="around" w:vAnchor="page" w:y="341" w:anchorLock="0"/>
    </w:pPr>
    <w:r w:rsidRPr="0039534C">
      <w:rPr>
        <w:rStyle w:val="SidhuvudRubrikReferens"/>
      </w:rPr>
      <w:t>Försvarsutskottets yttrande</w:t>
    </w:r>
    <w:r w:rsidRPr="0039534C">
      <w:rPr>
        <w:rStyle w:val="SidhuvudBilaga"/>
      </w:rPr>
      <w:t xml:space="preserve"> </w:t>
    </w:r>
    <w:r w:rsidRPr="0039534C">
      <w:t xml:space="preserve">     </w:t>
    </w:r>
    <w:r w:rsidRPr="0039534C">
      <w:rPr>
        <w:rStyle w:val="SidhuvudUtskott"/>
      </w:rPr>
      <w:t>2000/01:FöU5y</w:t>
    </w:r>
  </w:p>
  <w:p w:rsidR="00E07BA8" w:rsidRPr="0039534C" w:rsidRDefault="00E07BA8">
    <w:pPr>
      <w:pStyle w:val="SidhuvudKantUdda"/>
      <w:framePr w:w="8732" w:h="567" w:hRule="exact" w:vSpace="0" w:wrap="around" w:vAnchor="page" w:y="341" w:anchorLock="0"/>
    </w:pPr>
  </w:p>
  <w:p w:rsidR="00E07BA8" w:rsidRPr="0039534C" w:rsidRDefault="00E07BA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BA8" w:rsidRPr="0039534C" w:rsidRDefault="00E07BA8">
    <w:pPr>
      <w:pStyle w:val="SidhuvudKantUdda"/>
      <w:framePr w:w="8732" w:h="567" w:hRule="exact" w:vSpace="0" w:wrap="around" w:vAnchor="page" w:y="341" w:anchorLock="0"/>
    </w:pPr>
    <w:r w:rsidRPr="0039534C">
      <w:t xml:space="preserve"> </w:t>
    </w:r>
  </w:p>
  <w:p w:rsidR="00E07BA8" w:rsidRPr="0039534C" w:rsidRDefault="00E07BA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1B4843E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F9524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4CF29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99B21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947EB1"/>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229073647">
    <w:abstractNumId w:val="0"/>
  </w:num>
  <w:num w:numId="2" w16cid:durableId="1070806066">
    <w:abstractNumId w:val="3"/>
  </w:num>
  <w:num w:numId="3" w16cid:durableId="542331499">
    <w:abstractNumId w:val="2"/>
  </w:num>
  <w:num w:numId="4" w16cid:durableId="245385196">
    <w:abstractNumId w:val="4"/>
  </w:num>
  <w:num w:numId="5" w16cid:durableId="1965232423">
    <w:abstractNumId w:val="5"/>
  </w:num>
  <w:num w:numId="6" w16cid:durableId="985278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001"/>
  </w:docVars>
  <w:rsids>
    <w:rsidRoot w:val="00187174"/>
    <w:rsid w:val="00187174"/>
    <w:rsid w:val="0039534C"/>
    <w:rsid w:val="00E07BA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108BFE-5EA8-4958-BDCC-43BEA5EA7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TabellUnderrubrik">
    <w:name w:val="Tabell Underrubrik"/>
    <w:basedOn w:val="TabellRubrik0"/>
    <w:next w:val="Brdtext"/>
    <w:pPr>
      <w:shd w:val="clear" w:color="auto" w:fill="auto"/>
      <w:spacing w:after="120"/>
    </w:pPr>
    <w:rPr>
      <w:b w:val="0"/>
      <w:i/>
      <w:color w:val="auto"/>
      <w:spacing w:val="0"/>
      <w:sz w:val="14"/>
    </w:rPr>
  </w:style>
  <w:style w:type="paragraph" w:customStyle="1" w:styleId="TabellRubrik0">
    <w:name w:val="Tabell Rubrik"/>
    <w:basedOn w:val="Normal"/>
    <w:next w:val="Brdtext"/>
    <w:pPr>
      <w:keepNext/>
      <w:shd w:val="solid" w:color="auto" w:fill="auto"/>
      <w:overflowPunct w:val="0"/>
      <w:autoSpaceDE w:val="0"/>
      <w:autoSpaceDN w:val="0"/>
      <w:adjustRightInd w:val="0"/>
      <w:spacing w:before="0" w:after="40" w:line="200" w:lineRule="exact"/>
      <w:jc w:val="left"/>
      <w:textAlignment w:val="baseline"/>
    </w:pPr>
    <w:rPr>
      <w:rFonts w:ascii="TradeGothic" w:hAnsi="TradeGothic"/>
      <w:b/>
      <w:color w:val="FFFFFF"/>
      <w:spacing w:val="2"/>
      <w:sz w:val="16"/>
    </w:rPr>
  </w:style>
  <w:style w:type="paragraph" w:styleId="Brdtext">
    <w:name w:val="Body Text"/>
    <w:basedOn w:val="Normal"/>
    <w:semiHidden/>
    <w:pPr>
      <w:spacing w:after="120"/>
    </w:pPr>
  </w:style>
  <w:style w:type="paragraph" w:customStyle="1" w:styleId="TabellHuvud">
    <w:name w:val="Tabell Huvud"/>
    <w:basedOn w:val="Normal"/>
    <w:pPr>
      <w:overflowPunct w:val="0"/>
      <w:autoSpaceDE w:val="0"/>
      <w:autoSpaceDN w:val="0"/>
      <w:adjustRightInd w:val="0"/>
      <w:spacing w:before="0" w:line="160" w:lineRule="exact"/>
      <w:jc w:val="right"/>
      <w:textAlignment w:val="baseline"/>
    </w:pPr>
    <w:rPr>
      <w:rFonts w:ascii="TradeGothic CondEighteen" w:hAnsi="TradeGothic CondEighteen"/>
      <w:spacing w:val="4"/>
      <w:sz w:val="14"/>
    </w:rPr>
  </w:style>
  <w:style w:type="paragraph" w:customStyle="1" w:styleId="TabellRader">
    <w:name w:val="Tabell Rader"/>
    <w:basedOn w:val="Normal"/>
    <w:pPr>
      <w:overflowPunct w:val="0"/>
      <w:autoSpaceDE w:val="0"/>
      <w:autoSpaceDN w:val="0"/>
      <w:adjustRightInd w:val="0"/>
      <w:spacing w:before="60" w:after="20" w:line="200" w:lineRule="exact"/>
      <w:jc w:val="right"/>
      <w:textAlignment w:val="baseline"/>
    </w:pPr>
    <w:rPr>
      <w:rFonts w:ascii="TradeGothic CondEighteen" w:hAnsi="TradeGothic CondEighteen"/>
      <w:spacing w:val="4"/>
      <w:sz w:val="16"/>
    </w:rPr>
  </w:style>
  <w:style w:type="paragraph" w:customStyle="1" w:styleId="TabellSlutsumma">
    <w:name w:val="Tabell Slutsumma"/>
    <w:basedOn w:val="TabellRader"/>
    <w:rPr>
      <w:b/>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2405</Words>
  <Characters>15279</Characters>
  <Application>Microsoft Office Word</Application>
  <DocSecurity>4</DocSecurity>
  <Lines>339</Lines>
  <Paragraphs>136</Paragraphs>
  <ScaleCrop>false</ScaleCrop>
  <HeadingPairs>
    <vt:vector size="4" baseType="variant">
      <vt:variant>
        <vt:lpstr>Title</vt:lpstr>
      </vt:variant>
      <vt:variant>
        <vt:i4>1</vt:i4>
      </vt:variant>
      <vt:variant>
        <vt:lpstr>Rubriker</vt:lpstr>
      </vt:variant>
      <vt:variant>
        <vt:i4>5</vt:i4>
      </vt:variant>
    </vt:vector>
  </HeadingPairs>
  <TitlesOfParts>
    <vt:vector size="6" baseType="lpstr">
      <vt:lpstr>Försvarsutskottets yttrande</vt:lpstr>
      <vt:lpstr>    Regeringen</vt:lpstr>
      <vt:lpstr>        Ny investeringsplan för Kustbevakningen</vt:lpstr>
      <vt:lpstr>    Motionen</vt:lpstr>
      <vt:lpstr>    Försvarsutskottets överväganden</vt:lpstr>
      <vt:lpstr>    Tilläggsbudget för år 2001 – Utgiftsområde 6 Totalförsvar (m)</vt:lpstr>
    </vt:vector>
  </TitlesOfParts>
  <Company>Riksdagen</Company>
  <LinksUpToDate>false</LinksUpToDate>
  <CharactersWithSpaces>17548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yttrande</dc:title>
  <dc:subject>Försvarsutskottets yttrande</dc:subject>
  <dc:creator>Riksdagen</dc:creator>
  <cp:keywords>Riksdagen</cp:keywords>
  <cp:lastModifiedBy>Lars Brink</cp:lastModifiedBy>
  <cp:revision>2</cp:revision>
  <cp:lastPrinted>2001-05-18T07:06:00Z</cp:lastPrinted>
  <dcterms:created xsi:type="dcterms:W3CDTF">2025-12-15T23:57:00Z</dcterms:created>
  <dcterms:modified xsi:type="dcterms:W3CDTF">2025-12-15T23:57:00Z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5y</vt:lpwstr>
  </property>
  <property fmtid="{D5CDD505-2E9C-101B-9397-08002B2CF9AE}" pid="3" name="Utskott">
    <vt:lpwstr>FöU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