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177FF8" w:rsidRPr="000E5611" w14:paraId="361DC62B" w14:textId="77777777" w:rsidTr="002127BD">
        <w:tc>
          <w:tcPr>
            <w:tcW w:w="9141" w:type="dxa"/>
          </w:tcPr>
          <w:p w14:paraId="53697DE9" w14:textId="77777777" w:rsidR="00177FF8" w:rsidRPr="000E5611" w:rsidRDefault="00177FF8">
            <w:pPr>
              <w:rPr>
                <w:sz w:val="22"/>
                <w:szCs w:val="22"/>
              </w:rPr>
            </w:pPr>
            <w:r w:rsidRPr="000E5611">
              <w:rPr>
                <w:sz w:val="22"/>
                <w:szCs w:val="22"/>
              </w:rPr>
              <w:t>RIKSDAGEN</w:t>
            </w:r>
          </w:p>
          <w:p w14:paraId="11103714" w14:textId="77777777" w:rsidR="00177FF8" w:rsidRPr="000E5611" w:rsidRDefault="00177FF8">
            <w:pPr>
              <w:rPr>
                <w:sz w:val="22"/>
                <w:szCs w:val="22"/>
              </w:rPr>
            </w:pPr>
            <w:r w:rsidRPr="000E5611">
              <w:rPr>
                <w:sz w:val="22"/>
                <w:szCs w:val="22"/>
              </w:rPr>
              <w:t>MILJÖ- OCH JORDBRUKSUTSKOTTET</w:t>
            </w:r>
          </w:p>
        </w:tc>
      </w:tr>
    </w:tbl>
    <w:p w14:paraId="2F483989" w14:textId="77777777" w:rsidR="00177FF8" w:rsidRPr="000E5611" w:rsidRDefault="00177FF8">
      <w:pPr>
        <w:rPr>
          <w:sz w:val="22"/>
          <w:szCs w:val="22"/>
        </w:rPr>
      </w:pPr>
    </w:p>
    <w:p w14:paraId="00D4156A" w14:textId="10B41DF3" w:rsidR="00177FF8" w:rsidRDefault="00177FF8">
      <w:pPr>
        <w:rPr>
          <w:sz w:val="22"/>
          <w:szCs w:val="22"/>
        </w:rPr>
      </w:pPr>
    </w:p>
    <w:p w14:paraId="68EDAC98" w14:textId="77777777" w:rsidR="00DF0154" w:rsidRPr="000E5611" w:rsidRDefault="00DF0154">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0E5611" w14:paraId="49CA94DE" w14:textId="77777777">
        <w:trPr>
          <w:cantSplit/>
          <w:trHeight w:val="742"/>
        </w:trPr>
        <w:tc>
          <w:tcPr>
            <w:tcW w:w="1985" w:type="dxa"/>
          </w:tcPr>
          <w:p w14:paraId="63463269" w14:textId="77777777" w:rsidR="00177FF8" w:rsidRPr="000E5611" w:rsidRDefault="00177FF8">
            <w:pPr>
              <w:rPr>
                <w:b/>
                <w:sz w:val="22"/>
                <w:szCs w:val="22"/>
              </w:rPr>
            </w:pPr>
            <w:r w:rsidRPr="000E5611">
              <w:rPr>
                <w:b/>
                <w:sz w:val="22"/>
                <w:szCs w:val="22"/>
              </w:rPr>
              <w:t xml:space="preserve">PROTOKOLL </w:t>
            </w:r>
          </w:p>
        </w:tc>
        <w:tc>
          <w:tcPr>
            <w:tcW w:w="6463" w:type="dxa"/>
          </w:tcPr>
          <w:p w14:paraId="1708DB1D" w14:textId="09F9C81B" w:rsidR="00177FF8" w:rsidRPr="000E5611" w:rsidRDefault="00626575" w:rsidP="00D1794C">
            <w:pPr>
              <w:rPr>
                <w:b/>
                <w:sz w:val="22"/>
                <w:szCs w:val="22"/>
              </w:rPr>
            </w:pPr>
            <w:r w:rsidRPr="000E5611">
              <w:rPr>
                <w:b/>
                <w:sz w:val="22"/>
                <w:szCs w:val="22"/>
              </w:rPr>
              <w:t>UTSKOTTSSAMMANTRÄDE 20</w:t>
            </w:r>
            <w:r w:rsidR="004072D7" w:rsidRPr="000E5611">
              <w:rPr>
                <w:b/>
                <w:sz w:val="22"/>
                <w:szCs w:val="22"/>
              </w:rPr>
              <w:t>2</w:t>
            </w:r>
            <w:r w:rsidR="00041991" w:rsidRPr="000E5611">
              <w:rPr>
                <w:b/>
                <w:sz w:val="22"/>
                <w:szCs w:val="22"/>
              </w:rPr>
              <w:t>2</w:t>
            </w:r>
            <w:r w:rsidR="000E777E" w:rsidRPr="000E5611">
              <w:rPr>
                <w:b/>
                <w:sz w:val="22"/>
                <w:szCs w:val="22"/>
              </w:rPr>
              <w:t>/2</w:t>
            </w:r>
            <w:r w:rsidR="00041991" w:rsidRPr="000E5611">
              <w:rPr>
                <w:b/>
                <w:sz w:val="22"/>
                <w:szCs w:val="22"/>
              </w:rPr>
              <w:t>3</w:t>
            </w:r>
            <w:r w:rsidR="003B57EC" w:rsidRPr="000E5611">
              <w:rPr>
                <w:b/>
                <w:sz w:val="22"/>
                <w:szCs w:val="22"/>
              </w:rPr>
              <w:t>:</w:t>
            </w:r>
            <w:r w:rsidR="0040164F" w:rsidRPr="000E5611">
              <w:rPr>
                <w:b/>
                <w:sz w:val="22"/>
                <w:szCs w:val="22"/>
              </w:rPr>
              <w:t>2</w:t>
            </w:r>
          </w:p>
        </w:tc>
      </w:tr>
      <w:tr w:rsidR="00177FF8" w:rsidRPr="000E5611" w14:paraId="6943EA1B" w14:textId="77777777">
        <w:tc>
          <w:tcPr>
            <w:tcW w:w="1985" w:type="dxa"/>
          </w:tcPr>
          <w:p w14:paraId="7BBDDE5D" w14:textId="77777777" w:rsidR="00177FF8" w:rsidRPr="000E5611" w:rsidRDefault="00177FF8">
            <w:pPr>
              <w:rPr>
                <w:sz w:val="22"/>
                <w:szCs w:val="22"/>
              </w:rPr>
            </w:pPr>
            <w:r w:rsidRPr="000E5611">
              <w:rPr>
                <w:sz w:val="22"/>
                <w:szCs w:val="22"/>
              </w:rPr>
              <w:t>DATUM</w:t>
            </w:r>
          </w:p>
        </w:tc>
        <w:tc>
          <w:tcPr>
            <w:tcW w:w="6463" w:type="dxa"/>
          </w:tcPr>
          <w:p w14:paraId="3E088E32" w14:textId="62728B82" w:rsidR="00177FF8" w:rsidRPr="000E5611" w:rsidRDefault="00626575" w:rsidP="00FB0559">
            <w:pPr>
              <w:rPr>
                <w:sz w:val="22"/>
                <w:szCs w:val="22"/>
              </w:rPr>
            </w:pPr>
            <w:r w:rsidRPr="000E5611">
              <w:rPr>
                <w:sz w:val="22"/>
                <w:szCs w:val="22"/>
              </w:rPr>
              <w:t>20</w:t>
            </w:r>
            <w:r w:rsidR="00CB71B9" w:rsidRPr="000E5611">
              <w:rPr>
                <w:sz w:val="22"/>
                <w:szCs w:val="22"/>
              </w:rPr>
              <w:t>2</w:t>
            </w:r>
            <w:r w:rsidR="008E6B40" w:rsidRPr="000E5611">
              <w:rPr>
                <w:sz w:val="22"/>
                <w:szCs w:val="22"/>
              </w:rPr>
              <w:t>2</w:t>
            </w:r>
            <w:r w:rsidR="008C2D5B" w:rsidRPr="000E5611">
              <w:rPr>
                <w:sz w:val="22"/>
                <w:szCs w:val="22"/>
              </w:rPr>
              <w:t>-</w:t>
            </w:r>
            <w:r w:rsidR="00041991" w:rsidRPr="000E5611">
              <w:rPr>
                <w:sz w:val="22"/>
                <w:szCs w:val="22"/>
              </w:rPr>
              <w:t>10</w:t>
            </w:r>
            <w:r w:rsidR="00374911" w:rsidRPr="000E5611">
              <w:rPr>
                <w:sz w:val="22"/>
                <w:szCs w:val="22"/>
              </w:rPr>
              <w:t>-</w:t>
            </w:r>
            <w:r w:rsidR="0040164F" w:rsidRPr="000E5611">
              <w:rPr>
                <w:sz w:val="22"/>
                <w:szCs w:val="22"/>
              </w:rPr>
              <w:t>13</w:t>
            </w:r>
          </w:p>
        </w:tc>
      </w:tr>
      <w:tr w:rsidR="00177FF8" w:rsidRPr="000E5611" w14:paraId="01C45F28" w14:textId="77777777">
        <w:tc>
          <w:tcPr>
            <w:tcW w:w="1985" w:type="dxa"/>
          </w:tcPr>
          <w:p w14:paraId="6D78F4C2" w14:textId="77777777" w:rsidR="00177FF8" w:rsidRPr="000E5611" w:rsidRDefault="00177FF8">
            <w:pPr>
              <w:rPr>
                <w:sz w:val="22"/>
                <w:szCs w:val="22"/>
              </w:rPr>
            </w:pPr>
            <w:r w:rsidRPr="000E5611">
              <w:rPr>
                <w:sz w:val="22"/>
                <w:szCs w:val="22"/>
              </w:rPr>
              <w:t>TID</w:t>
            </w:r>
          </w:p>
        </w:tc>
        <w:tc>
          <w:tcPr>
            <w:tcW w:w="6463" w:type="dxa"/>
          </w:tcPr>
          <w:p w14:paraId="5452A658" w14:textId="59E132D0" w:rsidR="00177FF8" w:rsidRPr="000E5611" w:rsidRDefault="0040164F" w:rsidP="00231475">
            <w:pPr>
              <w:rPr>
                <w:sz w:val="22"/>
                <w:szCs w:val="22"/>
              </w:rPr>
            </w:pPr>
            <w:r w:rsidRPr="000E5611">
              <w:rPr>
                <w:sz w:val="22"/>
                <w:szCs w:val="22"/>
              </w:rPr>
              <w:t>08</w:t>
            </w:r>
            <w:r w:rsidR="00B54A57" w:rsidRPr="000E5611">
              <w:rPr>
                <w:sz w:val="22"/>
                <w:szCs w:val="22"/>
              </w:rPr>
              <w:t>.</w:t>
            </w:r>
            <w:r w:rsidR="0021176A" w:rsidRPr="000E5611">
              <w:rPr>
                <w:sz w:val="22"/>
                <w:szCs w:val="22"/>
              </w:rPr>
              <w:t>0</w:t>
            </w:r>
            <w:r w:rsidR="00B5691D" w:rsidRPr="000E5611">
              <w:rPr>
                <w:sz w:val="22"/>
                <w:szCs w:val="22"/>
              </w:rPr>
              <w:t>0</w:t>
            </w:r>
            <w:r w:rsidR="00762508" w:rsidRPr="000E5611">
              <w:rPr>
                <w:sz w:val="22"/>
                <w:szCs w:val="22"/>
              </w:rPr>
              <w:t xml:space="preserve"> </w:t>
            </w:r>
            <w:r w:rsidR="00302EBE" w:rsidRPr="000E5611">
              <w:rPr>
                <w:sz w:val="22"/>
                <w:szCs w:val="22"/>
              </w:rPr>
              <w:t>–</w:t>
            </w:r>
            <w:r w:rsidR="00DA5AAC" w:rsidRPr="000E5611">
              <w:rPr>
                <w:sz w:val="22"/>
                <w:szCs w:val="22"/>
              </w:rPr>
              <w:t xml:space="preserve"> </w:t>
            </w:r>
            <w:r w:rsidR="00701DE5">
              <w:rPr>
                <w:sz w:val="22"/>
                <w:szCs w:val="22"/>
              </w:rPr>
              <w:t>09.10    09.15 – 10.10</w:t>
            </w:r>
            <w:r w:rsidR="00762508" w:rsidRPr="000E5611">
              <w:rPr>
                <w:sz w:val="22"/>
                <w:szCs w:val="22"/>
              </w:rPr>
              <w:t xml:space="preserve"> </w:t>
            </w:r>
          </w:p>
        </w:tc>
      </w:tr>
      <w:tr w:rsidR="00177FF8" w:rsidRPr="000E5611" w14:paraId="1A707585" w14:textId="77777777">
        <w:tc>
          <w:tcPr>
            <w:tcW w:w="1985" w:type="dxa"/>
          </w:tcPr>
          <w:p w14:paraId="65832532" w14:textId="77777777" w:rsidR="00177FF8" w:rsidRPr="000E5611" w:rsidRDefault="00177FF8">
            <w:pPr>
              <w:rPr>
                <w:sz w:val="22"/>
                <w:szCs w:val="22"/>
              </w:rPr>
            </w:pPr>
            <w:r w:rsidRPr="000E5611">
              <w:rPr>
                <w:sz w:val="22"/>
                <w:szCs w:val="22"/>
              </w:rPr>
              <w:t>NÄRVARANDE</w:t>
            </w:r>
          </w:p>
        </w:tc>
        <w:tc>
          <w:tcPr>
            <w:tcW w:w="6463" w:type="dxa"/>
          </w:tcPr>
          <w:p w14:paraId="7336DAB0" w14:textId="77777777" w:rsidR="00177FF8" w:rsidRPr="000E5611" w:rsidRDefault="00177FF8">
            <w:pPr>
              <w:rPr>
                <w:sz w:val="22"/>
                <w:szCs w:val="22"/>
              </w:rPr>
            </w:pPr>
            <w:r w:rsidRPr="000E5611">
              <w:rPr>
                <w:sz w:val="22"/>
                <w:szCs w:val="22"/>
              </w:rPr>
              <w:t>Se bilaga 1</w:t>
            </w:r>
          </w:p>
        </w:tc>
      </w:tr>
    </w:tbl>
    <w:p w14:paraId="63E8BCC6" w14:textId="77777777" w:rsidR="00177FF8" w:rsidRPr="000E5611" w:rsidRDefault="00177FF8">
      <w:pPr>
        <w:tabs>
          <w:tab w:val="left" w:pos="1701"/>
        </w:tabs>
        <w:rPr>
          <w:snapToGrid w:val="0"/>
          <w:color w:val="000000"/>
          <w:sz w:val="22"/>
          <w:szCs w:val="22"/>
        </w:rPr>
      </w:pPr>
    </w:p>
    <w:p w14:paraId="729EF2BC" w14:textId="0211B7DF" w:rsidR="00177FF8" w:rsidRDefault="00177FF8">
      <w:pPr>
        <w:tabs>
          <w:tab w:val="left" w:pos="1701"/>
        </w:tabs>
        <w:rPr>
          <w:snapToGrid w:val="0"/>
          <w:color w:val="000000"/>
          <w:sz w:val="22"/>
          <w:szCs w:val="22"/>
        </w:rPr>
      </w:pPr>
    </w:p>
    <w:p w14:paraId="7CC79BE2" w14:textId="77777777" w:rsidR="00DF0154" w:rsidRPr="000E5611" w:rsidRDefault="00DF0154">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30A97" w:rsidRPr="000E5611" w14:paraId="2BB83371" w14:textId="77777777" w:rsidTr="00DF0154">
        <w:tc>
          <w:tcPr>
            <w:tcW w:w="567" w:type="dxa"/>
          </w:tcPr>
          <w:p w14:paraId="56D30B55" w14:textId="77777777" w:rsidR="00D30A97" w:rsidRPr="000E5611" w:rsidRDefault="00D30A97" w:rsidP="00C5706E">
            <w:pPr>
              <w:tabs>
                <w:tab w:val="left" w:pos="1701"/>
              </w:tabs>
              <w:rPr>
                <w:b/>
                <w:snapToGrid w:val="0"/>
                <w:sz w:val="22"/>
                <w:szCs w:val="22"/>
              </w:rPr>
            </w:pPr>
            <w:r w:rsidRPr="000E5611">
              <w:rPr>
                <w:b/>
                <w:snapToGrid w:val="0"/>
                <w:sz w:val="22"/>
                <w:szCs w:val="22"/>
              </w:rPr>
              <w:t xml:space="preserve">§ </w:t>
            </w:r>
            <w:r w:rsidR="008E6B40" w:rsidRPr="000E5611">
              <w:rPr>
                <w:b/>
                <w:snapToGrid w:val="0"/>
                <w:sz w:val="22"/>
                <w:szCs w:val="22"/>
              </w:rPr>
              <w:t>1</w:t>
            </w:r>
          </w:p>
        </w:tc>
        <w:tc>
          <w:tcPr>
            <w:tcW w:w="6946" w:type="dxa"/>
            <w:gridSpan w:val="2"/>
          </w:tcPr>
          <w:p w14:paraId="44040F77" w14:textId="2AD48F0A" w:rsidR="00302E69" w:rsidRDefault="00302E69" w:rsidP="00305501">
            <w:pPr>
              <w:rPr>
                <w:b/>
                <w:snapToGrid w:val="0"/>
                <w:sz w:val="22"/>
                <w:szCs w:val="22"/>
              </w:rPr>
            </w:pPr>
            <w:r>
              <w:rPr>
                <w:b/>
                <w:snapToGrid w:val="0"/>
                <w:sz w:val="22"/>
                <w:szCs w:val="22"/>
              </w:rPr>
              <w:t>Inledning</w:t>
            </w:r>
            <w:r>
              <w:rPr>
                <w:b/>
                <w:snapToGrid w:val="0"/>
                <w:sz w:val="22"/>
                <w:szCs w:val="22"/>
              </w:rPr>
              <w:br/>
            </w:r>
            <w:r>
              <w:rPr>
                <w:bCs/>
                <w:snapToGrid w:val="0"/>
                <w:sz w:val="22"/>
                <w:szCs w:val="22"/>
              </w:rPr>
              <w:t>Ordförande hälsade nya suppleanter välkomna till miljö- och jordbruksutskottet</w:t>
            </w:r>
            <w:r w:rsidR="0034455C">
              <w:rPr>
                <w:bCs/>
                <w:snapToGrid w:val="0"/>
                <w:sz w:val="22"/>
                <w:szCs w:val="22"/>
              </w:rPr>
              <w:t>.</w:t>
            </w:r>
          </w:p>
          <w:p w14:paraId="6E82D1D1" w14:textId="1023AF2D" w:rsidR="00302E69" w:rsidRPr="000E5611" w:rsidRDefault="00302E69" w:rsidP="00305501">
            <w:pPr>
              <w:rPr>
                <w:b/>
                <w:snapToGrid w:val="0"/>
                <w:sz w:val="22"/>
                <w:szCs w:val="22"/>
              </w:rPr>
            </w:pPr>
          </w:p>
        </w:tc>
      </w:tr>
      <w:tr w:rsidR="00302E69" w:rsidRPr="000E5611" w14:paraId="6C5DEDAA" w14:textId="77777777" w:rsidTr="00DF0154">
        <w:tc>
          <w:tcPr>
            <w:tcW w:w="567" w:type="dxa"/>
          </w:tcPr>
          <w:p w14:paraId="62009FF7" w14:textId="5347F348" w:rsidR="00302E69" w:rsidRPr="000E5611" w:rsidRDefault="00302E69" w:rsidP="00C5706E">
            <w:pPr>
              <w:tabs>
                <w:tab w:val="left" w:pos="1701"/>
              </w:tabs>
              <w:rPr>
                <w:b/>
                <w:snapToGrid w:val="0"/>
                <w:sz w:val="22"/>
                <w:szCs w:val="22"/>
              </w:rPr>
            </w:pPr>
            <w:r>
              <w:rPr>
                <w:b/>
                <w:snapToGrid w:val="0"/>
                <w:sz w:val="22"/>
                <w:szCs w:val="22"/>
              </w:rPr>
              <w:t>§ 2</w:t>
            </w:r>
          </w:p>
        </w:tc>
        <w:tc>
          <w:tcPr>
            <w:tcW w:w="6946" w:type="dxa"/>
            <w:gridSpan w:val="2"/>
          </w:tcPr>
          <w:p w14:paraId="58288739" w14:textId="77777777" w:rsidR="00302E69" w:rsidRPr="000E5611" w:rsidRDefault="00302E69" w:rsidP="00302E69">
            <w:pPr>
              <w:rPr>
                <w:b/>
                <w:snapToGrid w:val="0"/>
                <w:sz w:val="22"/>
                <w:szCs w:val="22"/>
              </w:rPr>
            </w:pPr>
            <w:r w:rsidRPr="000E5611">
              <w:rPr>
                <w:b/>
                <w:snapToGrid w:val="0"/>
                <w:sz w:val="22"/>
                <w:szCs w:val="22"/>
              </w:rPr>
              <w:t>Medgivande att närvara</w:t>
            </w:r>
          </w:p>
          <w:p w14:paraId="25D88294" w14:textId="77777777" w:rsidR="00302E69" w:rsidRPr="000E5611" w:rsidRDefault="00302E69" w:rsidP="00302E69">
            <w:pPr>
              <w:rPr>
                <w:b/>
                <w:snapToGrid w:val="0"/>
                <w:sz w:val="22"/>
                <w:szCs w:val="22"/>
              </w:rPr>
            </w:pPr>
          </w:p>
          <w:p w14:paraId="7E163EAE" w14:textId="77777777" w:rsidR="00302E69" w:rsidRPr="000E5611" w:rsidRDefault="00302E69" w:rsidP="00302E69">
            <w:pPr>
              <w:rPr>
                <w:bCs/>
                <w:color w:val="000000"/>
                <w:sz w:val="22"/>
                <w:szCs w:val="22"/>
              </w:rPr>
            </w:pPr>
            <w:r w:rsidRPr="000E5611">
              <w:rPr>
                <w:bCs/>
                <w:color w:val="000000"/>
                <w:sz w:val="22"/>
                <w:szCs w:val="22"/>
              </w:rPr>
              <w:t>Utskottet beslutade att tjänstemän från EU-nämndens kansli får närvara fortsättningsvis vid sammanträdespunkter som rör överläggningar och information om EU-frågor.</w:t>
            </w:r>
          </w:p>
          <w:p w14:paraId="4D05A37E" w14:textId="27165DB1" w:rsidR="00302E69" w:rsidRPr="000E5611" w:rsidRDefault="00302E69" w:rsidP="0011495B">
            <w:pPr>
              <w:rPr>
                <w:b/>
                <w:snapToGrid w:val="0"/>
                <w:sz w:val="22"/>
                <w:szCs w:val="22"/>
              </w:rPr>
            </w:pPr>
          </w:p>
        </w:tc>
      </w:tr>
      <w:tr w:rsidR="0011495B" w:rsidRPr="000E5611" w14:paraId="68157B60" w14:textId="77777777" w:rsidTr="00DF0154">
        <w:tc>
          <w:tcPr>
            <w:tcW w:w="567" w:type="dxa"/>
          </w:tcPr>
          <w:p w14:paraId="75F23FCD" w14:textId="00E883AF" w:rsidR="0011495B" w:rsidRPr="000E5611" w:rsidRDefault="0011495B" w:rsidP="00C5706E">
            <w:pPr>
              <w:tabs>
                <w:tab w:val="left" w:pos="1701"/>
              </w:tabs>
              <w:rPr>
                <w:b/>
                <w:snapToGrid w:val="0"/>
                <w:sz w:val="22"/>
                <w:szCs w:val="22"/>
              </w:rPr>
            </w:pPr>
            <w:r w:rsidRPr="000E5611">
              <w:rPr>
                <w:b/>
                <w:snapToGrid w:val="0"/>
                <w:sz w:val="22"/>
                <w:szCs w:val="22"/>
              </w:rPr>
              <w:t xml:space="preserve">§ </w:t>
            </w:r>
            <w:r w:rsidR="00302E69">
              <w:rPr>
                <w:b/>
                <w:snapToGrid w:val="0"/>
                <w:sz w:val="22"/>
                <w:szCs w:val="22"/>
              </w:rPr>
              <w:t>3</w:t>
            </w:r>
          </w:p>
        </w:tc>
        <w:tc>
          <w:tcPr>
            <w:tcW w:w="6946" w:type="dxa"/>
            <w:gridSpan w:val="2"/>
          </w:tcPr>
          <w:p w14:paraId="2B0A585F" w14:textId="77777777" w:rsidR="0011495B" w:rsidRPr="000E5611" w:rsidRDefault="0011495B" w:rsidP="0011495B">
            <w:pPr>
              <w:rPr>
                <w:b/>
                <w:snapToGrid w:val="0"/>
                <w:sz w:val="22"/>
                <w:szCs w:val="22"/>
              </w:rPr>
            </w:pPr>
            <w:r w:rsidRPr="000E5611">
              <w:rPr>
                <w:b/>
                <w:sz w:val="22"/>
                <w:szCs w:val="22"/>
              </w:rPr>
              <w:t>Kommissionens förslag om fastställande av fiskemöjligheterna för vissa fiskbestånd och grupper av fiskbestånd i Östersjön för 2023 och om ändring av förordning (EU) 2022/109 vad gäller vissa fiskemöjligheter i andra vatten</w:t>
            </w:r>
          </w:p>
          <w:p w14:paraId="0BCB8CB8" w14:textId="28A30464" w:rsidR="0011495B" w:rsidRDefault="0011495B" w:rsidP="0011495B">
            <w:pPr>
              <w:rPr>
                <w:b/>
                <w:snapToGrid w:val="0"/>
                <w:sz w:val="22"/>
                <w:szCs w:val="22"/>
              </w:rPr>
            </w:pPr>
          </w:p>
          <w:p w14:paraId="4F263BFF" w14:textId="77777777" w:rsidR="0077566F" w:rsidRPr="003F2F33" w:rsidRDefault="0077566F" w:rsidP="0077566F">
            <w:pPr>
              <w:rPr>
                <w:rFonts w:eastAsiaTheme="minorHAnsi"/>
                <w:color w:val="000000"/>
                <w:sz w:val="22"/>
                <w:szCs w:val="22"/>
                <w:lang w:eastAsia="en-US"/>
              </w:rPr>
            </w:pPr>
            <w:r w:rsidRPr="0070719B">
              <w:rPr>
                <w:snapToGrid w:val="0"/>
                <w:sz w:val="22"/>
                <w:szCs w:val="22"/>
              </w:rPr>
              <w:t xml:space="preserve">Utskottet överlade med </w:t>
            </w:r>
            <w:r w:rsidRPr="0070719B">
              <w:rPr>
                <w:bCs/>
                <w:color w:val="000000"/>
                <w:sz w:val="22"/>
                <w:szCs w:val="22"/>
              </w:rPr>
              <w:t xml:space="preserve">statssekreterare </w:t>
            </w:r>
            <w:r>
              <w:rPr>
                <w:bCs/>
                <w:color w:val="000000"/>
                <w:sz w:val="22"/>
                <w:szCs w:val="22"/>
              </w:rPr>
              <w:t>Oskar Magnusson,</w:t>
            </w:r>
            <w:r w:rsidRPr="0070719B">
              <w:rPr>
                <w:bCs/>
                <w:color w:val="000000"/>
                <w:sz w:val="22"/>
                <w:szCs w:val="22"/>
              </w:rPr>
              <w:t xml:space="preserve"> </w:t>
            </w:r>
            <w:r w:rsidRPr="003F2F33">
              <w:rPr>
                <w:rFonts w:eastAsiaTheme="minorHAnsi"/>
                <w:color w:val="000000"/>
                <w:sz w:val="22"/>
                <w:szCs w:val="22"/>
                <w:lang w:eastAsia="en-US"/>
              </w:rPr>
              <w:t xml:space="preserve">åtföljd av medarbetare från </w:t>
            </w:r>
            <w:r>
              <w:rPr>
                <w:rFonts w:eastAsiaTheme="minorHAnsi"/>
                <w:color w:val="000000"/>
                <w:sz w:val="22"/>
                <w:szCs w:val="22"/>
                <w:lang w:eastAsia="en-US"/>
              </w:rPr>
              <w:t>Näringsde</w:t>
            </w:r>
            <w:r w:rsidRPr="003F2F33">
              <w:rPr>
                <w:rFonts w:eastAsiaTheme="minorHAnsi"/>
                <w:color w:val="000000"/>
                <w:sz w:val="22"/>
                <w:szCs w:val="22"/>
                <w:lang w:eastAsia="en-US"/>
              </w:rPr>
              <w:t>partementet.</w:t>
            </w:r>
          </w:p>
          <w:p w14:paraId="08D88FE4" w14:textId="77777777" w:rsidR="0077566F" w:rsidRPr="0070719B" w:rsidRDefault="0077566F" w:rsidP="0077566F">
            <w:pPr>
              <w:rPr>
                <w:rFonts w:eastAsiaTheme="minorHAnsi"/>
                <w:b/>
                <w:bCs/>
                <w:color w:val="000000"/>
                <w:sz w:val="22"/>
                <w:szCs w:val="22"/>
                <w:lang w:eastAsia="en-US"/>
              </w:rPr>
            </w:pPr>
            <w:r w:rsidRPr="0070719B">
              <w:rPr>
                <w:bCs/>
                <w:color w:val="000000"/>
                <w:sz w:val="22"/>
                <w:szCs w:val="22"/>
              </w:rPr>
              <w:t xml:space="preserve">  </w:t>
            </w:r>
          </w:p>
          <w:p w14:paraId="7714C0AB" w14:textId="77777777" w:rsidR="0077566F" w:rsidRPr="0070719B" w:rsidRDefault="0077566F" w:rsidP="0077566F">
            <w:pPr>
              <w:widowControl/>
              <w:tabs>
                <w:tab w:val="left" w:pos="284"/>
              </w:tabs>
              <w:rPr>
                <w:bCs/>
                <w:color w:val="000000"/>
                <w:sz w:val="22"/>
                <w:szCs w:val="22"/>
              </w:rPr>
            </w:pPr>
            <w:r w:rsidRPr="0070719B">
              <w:rPr>
                <w:bCs/>
                <w:color w:val="000000"/>
                <w:sz w:val="22"/>
                <w:szCs w:val="22"/>
              </w:rPr>
              <w:t xml:space="preserve">Underlaget utgjordes av </w:t>
            </w:r>
            <w:r>
              <w:rPr>
                <w:bCs/>
                <w:color w:val="000000"/>
                <w:sz w:val="22"/>
                <w:szCs w:val="22"/>
              </w:rPr>
              <w:t xml:space="preserve">kommissionens förslag </w:t>
            </w:r>
            <w:r w:rsidRPr="0070719B">
              <w:rPr>
                <w:bCs/>
                <w:color w:val="000000"/>
                <w:sz w:val="22"/>
                <w:szCs w:val="22"/>
              </w:rPr>
              <w:t>COM(202</w:t>
            </w:r>
            <w:r>
              <w:rPr>
                <w:bCs/>
                <w:color w:val="000000"/>
                <w:sz w:val="22"/>
                <w:szCs w:val="22"/>
              </w:rPr>
              <w:t>2</w:t>
            </w:r>
            <w:r w:rsidRPr="0070719B">
              <w:rPr>
                <w:bCs/>
                <w:color w:val="000000"/>
                <w:sz w:val="22"/>
                <w:szCs w:val="22"/>
              </w:rPr>
              <w:t xml:space="preserve">) </w:t>
            </w:r>
            <w:r>
              <w:rPr>
                <w:bCs/>
                <w:color w:val="000000"/>
                <w:sz w:val="22"/>
                <w:szCs w:val="22"/>
              </w:rPr>
              <w:t xml:space="preserve">415 och </w:t>
            </w:r>
            <w:r w:rsidRPr="003F2F33">
              <w:rPr>
                <w:color w:val="000000"/>
                <w:sz w:val="22"/>
                <w:szCs w:val="22"/>
              </w:rPr>
              <w:t xml:space="preserve">Regeringskansliets </w:t>
            </w:r>
            <w:r w:rsidRPr="003F2F33">
              <w:rPr>
                <w:bCs/>
                <w:sz w:val="22"/>
                <w:szCs w:val="22"/>
              </w:rPr>
              <w:t xml:space="preserve">överläggningspromemoria </w:t>
            </w:r>
            <w:r w:rsidRPr="0070719B">
              <w:rPr>
                <w:bCs/>
                <w:color w:val="000000"/>
                <w:sz w:val="22"/>
                <w:szCs w:val="22"/>
              </w:rPr>
              <w:t xml:space="preserve">(dnr </w:t>
            </w:r>
            <w:bookmarkStart w:id="0" w:name="_Hlk64985663"/>
            <w:r>
              <w:rPr>
                <w:bCs/>
                <w:color w:val="000000"/>
                <w:sz w:val="22"/>
                <w:szCs w:val="22"/>
              </w:rPr>
              <w:t>250</w:t>
            </w:r>
            <w:r w:rsidRPr="00175025">
              <w:rPr>
                <w:sz w:val="22"/>
                <w:szCs w:val="22"/>
              </w:rPr>
              <w:t>-</w:t>
            </w:r>
            <w:r w:rsidRPr="0070719B">
              <w:rPr>
                <w:sz w:val="22"/>
                <w:szCs w:val="22"/>
              </w:rPr>
              <w:t>20</w:t>
            </w:r>
            <w:r>
              <w:rPr>
                <w:sz w:val="22"/>
                <w:szCs w:val="22"/>
              </w:rPr>
              <w:t>22</w:t>
            </w:r>
            <w:r w:rsidRPr="0070719B">
              <w:rPr>
                <w:sz w:val="22"/>
                <w:szCs w:val="22"/>
              </w:rPr>
              <w:t>/2</w:t>
            </w:r>
            <w:bookmarkEnd w:id="0"/>
            <w:r>
              <w:rPr>
                <w:sz w:val="22"/>
                <w:szCs w:val="22"/>
              </w:rPr>
              <w:t>3</w:t>
            </w:r>
            <w:r w:rsidRPr="0070719B">
              <w:rPr>
                <w:bCs/>
                <w:color w:val="000000"/>
                <w:sz w:val="22"/>
                <w:szCs w:val="22"/>
              </w:rPr>
              <w:t>)</w:t>
            </w:r>
            <w:r>
              <w:rPr>
                <w:bCs/>
                <w:color w:val="000000"/>
                <w:sz w:val="22"/>
                <w:szCs w:val="22"/>
              </w:rPr>
              <w:t>.</w:t>
            </w:r>
          </w:p>
          <w:p w14:paraId="72304BB7" w14:textId="77777777" w:rsidR="0077566F" w:rsidRPr="0070719B" w:rsidRDefault="0077566F" w:rsidP="0077566F">
            <w:pPr>
              <w:widowControl/>
              <w:autoSpaceDE w:val="0"/>
              <w:autoSpaceDN w:val="0"/>
              <w:adjustRightInd w:val="0"/>
              <w:rPr>
                <w:bCs/>
                <w:color w:val="000000"/>
                <w:sz w:val="22"/>
                <w:szCs w:val="22"/>
              </w:rPr>
            </w:pPr>
          </w:p>
          <w:p w14:paraId="41D5A564" w14:textId="77777777" w:rsidR="0077566F" w:rsidRPr="0070719B" w:rsidRDefault="0077566F" w:rsidP="0077566F">
            <w:pPr>
              <w:widowControl/>
              <w:autoSpaceDE w:val="0"/>
              <w:autoSpaceDN w:val="0"/>
              <w:adjustRightInd w:val="0"/>
              <w:rPr>
                <w:bCs/>
                <w:color w:val="000000"/>
                <w:sz w:val="22"/>
                <w:szCs w:val="22"/>
              </w:rPr>
            </w:pPr>
            <w:r w:rsidRPr="0070719B">
              <w:rPr>
                <w:bCs/>
                <w:color w:val="000000"/>
                <w:sz w:val="22"/>
                <w:szCs w:val="22"/>
              </w:rPr>
              <w:t xml:space="preserve">Statssekreterare </w:t>
            </w:r>
            <w:r>
              <w:rPr>
                <w:bCs/>
                <w:color w:val="000000"/>
                <w:sz w:val="22"/>
                <w:szCs w:val="22"/>
              </w:rPr>
              <w:t>Oskar Magnusson</w:t>
            </w:r>
            <w:r w:rsidRPr="0070719B">
              <w:rPr>
                <w:bCs/>
                <w:color w:val="000000"/>
                <w:sz w:val="22"/>
                <w:szCs w:val="22"/>
              </w:rPr>
              <w:t xml:space="preserve"> </w:t>
            </w:r>
            <w:r w:rsidRPr="0070719B">
              <w:rPr>
                <w:snapToGrid w:val="0"/>
                <w:sz w:val="22"/>
                <w:szCs w:val="22"/>
              </w:rPr>
              <w:t>r</w:t>
            </w:r>
            <w:r w:rsidRPr="0070719B">
              <w:rPr>
                <w:bCs/>
                <w:color w:val="000000"/>
                <w:sz w:val="22"/>
                <w:szCs w:val="22"/>
              </w:rPr>
              <w:t>edogjorde för regeringens ståndpunkt i enlighet med överläggningspromemorian (bilaga 2).</w:t>
            </w:r>
          </w:p>
          <w:p w14:paraId="3C36B52F" w14:textId="77777777" w:rsidR="0077566F" w:rsidRDefault="0077566F" w:rsidP="0077566F">
            <w:pPr>
              <w:autoSpaceDE w:val="0"/>
              <w:autoSpaceDN w:val="0"/>
            </w:pPr>
            <w:r>
              <w:rPr>
                <w:rFonts w:ascii="Segoe UI" w:hAnsi="Segoe UI" w:cs="Segoe UI"/>
                <w:color w:val="4E586A"/>
                <w:sz w:val="16"/>
                <w:szCs w:val="16"/>
              </w:rPr>
              <w:t> </w:t>
            </w:r>
          </w:p>
          <w:p w14:paraId="19D1AD55" w14:textId="77777777" w:rsidR="0077566F" w:rsidRPr="0070719B" w:rsidRDefault="0077566F" w:rsidP="0077566F">
            <w:pPr>
              <w:rPr>
                <w:rStyle w:val="normaltextrun"/>
                <w:snapToGrid w:val="0"/>
                <w:sz w:val="22"/>
                <w:szCs w:val="22"/>
              </w:rPr>
            </w:pPr>
            <w:r w:rsidRPr="001D24C3">
              <w:rPr>
                <w:snapToGrid w:val="0"/>
                <w:sz w:val="22"/>
                <w:szCs w:val="22"/>
              </w:rPr>
              <w:t>SD-,</w:t>
            </w:r>
            <w:r>
              <w:rPr>
                <w:snapToGrid w:val="0"/>
                <w:sz w:val="22"/>
                <w:szCs w:val="22"/>
              </w:rPr>
              <w:t xml:space="preserve"> M-, V-, KD-, MP- och L-</w:t>
            </w:r>
            <w:r w:rsidRPr="001D24C3">
              <w:rPr>
                <w:snapToGrid w:val="0"/>
                <w:sz w:val="22"/>
                <w:szCs w:val="22"/>
              </w:rPr>
              <w:t>ledam</w:t>
            </w:r>
            <w:r>
              <w:rPr>
                <w:snapToGrid w:val="0"/>
                <w:sz w:val="22"/>
                <w:szCs w:val="22"/>
              </w:rPr>
              <w:t>ö</w:t>
            </w:r>
            <w:r w:rsidRPr="001D24C3">
              <w:rPr>
                <w:snapToGrid w:val="0"/>
                <w:sz w:val="22"/>
                <w:szCs w:val="22"/>
              </w:rPr>
              <w:t>te</w:t>
            </w:r>
            <w:r>
              <w:rPr>
                <w:snapToGrid w:val="0"/>
                <w:sz w:val="22"/>
                <w:szCs w:val="22"/>
              </w:rPr>
              <w:t>r</w:t>
            </w:r>
            <w:r w:rsidRPr="001D24C3">
              <w:rPr>
                <w:snapToGrid w:val="0"/>
                <w:sz w:val="22"/>
                <w:szCs w:val="22"/>
              </w:rPr>
              <w:t>n</w:t>
            </w:r>
            <w:r>
              <w:rPr>
                <w:snapToGrid w:val="0"/>
                <w:sz w:val="22"/>
                <w:szCs w:val="22"/>
              </w:rPr>
              <w:t>a</w:t>
            </w:r>
            <w:r w:rsidRPr="001D24C3">
              <w:rPr>
                <w:snapToGrid w:val="0"/>
                <w:sz w:val="22"/>
                <w:szCs w:val="22"/>
              </w:rPr>
              <w:t xml:space="preserve"> anmälde avvikande ståndpunkt</w:t>
            </w:r>
            <w:r>
              <w:rPr>
                <w:snapToGrid w:val="0"/>
                <w:sz w:val="22"/>
                <w:szCs w:val="22"/>
              </w:rPr>
              <w:t>er</w:t>
            </w:r>
            <w:r w:rsidRPr="001D24C3">
              <w:rPr>
                <w:snapToGrid w:val="0"/>
                <w:sz w:val="22"/>
                <w:szCs w:val="22"/>
              </w:rPr>
              <w:t xml:space="preserve"> vilk</w:t>
            </w:r>
            <w:r>
              <w:rPr>
                <w:snapToGrid w:val="0"/>
                <w:sz w:val="22"/>
                <w:szCs w:val="22"/>
              </w:rPr>
              <w:t>a</w:t>
            </w:r>
            <w:r w:rsidRPr="001D24C3">
              <w:rPr>
                <w:snapToGrid w:val="0"/>
                <w:sz w:val="22"/>
                <w:szCs w:val="22"/>
              </w:rPr>
              <w:t xml:space="preserve"> framgår av bilaga 3.</w:t>
            </w:r>
          </w:p>
          <w:p w14:paraId="1BF366E1" w14:textId="77777777" w:rsidR="0077566F" w:rsidRDefault="0077566F" w:rsidP="0077566F">
            <w:pPr>
              <w:widowControl/>
              <w:autoSpaceDE w:val="0"/>
              <w:autoSpaceDN w:val="0"/>
              <w:adjustRightInd w:val="0"/>
              <w:rPr>
                <w:rStyle w:val="normaltextrun"/>
                <w:i/>
                <w:sz w:val="22"/>
                <w:szCs w:val="22"/>
              </w:rPr>
            </w:pPr>
          </w:p>
          <w:p w14:paraId="63BE86C6" w14:textId="77777777" w:rsidR="0077566F" w:rsidRPr="00AE029C" w:rsidRDefault="0077566F" w:rsidP="0077566F">
            <w:pPr>
              <w:autoSpaceDE w:val="0"/>
              <w:autoSpaceDN w:val="0"/>
              <w:rPr>
                <w:snapToGrid w:val="0"/>
                <w:sz w:val="22"/>
                <w:szCs w:val="22"/>
              </w:rPr>
            </w:pPr>
            <w:r w:rsidRPr="00AE029C">
              <w:rPr>
                <w:snapToGrid w:val="0"/>
                <w:sz w:val="22"/>
                <w:szCs w:val="22"/>
              </w:rPr>
              <w:t>Ordförande konstaterade att det i övrigt fanns stöd för regeringens ståndpunkt.</w:t>
            </w:r>
          </w:p>
          <w:p w14:paraId="10EC2A7A" w14:textId="77777777" w:rsidR="0077566F" w:rsidRPr="0077566F" w:rsidRDefault="0077566F" w:rsidP="0011495B">
            <w:pPr>
              <w:rPr>
                <w:b/>
                <w:iCs/>
                <w:snapToGrid w:val="0"/>
                <w:sz w:val="22"/>
                <w:szCs w:val="22"/>
              </w:rPr>
            </w:pPr>
          </w:p>
          <w:p w14:paraId="1AE235A7" w14:textId="77777777" w:rsidR="0011495B" w:rsidRPr="000E5611" w:rsidRDefault="0011495B" w:rsidP="0011495B">
            <w:pPr>
              <w:rPr>
                <w:bCs/>
                <w:snapToGrid w:val="0"/>
                <w:sz w:val="22"/>
                <w:szCs w:val="22"/>
              </w:rPr>
            </w:pPr>
            <w:r w:rsidRPr="000E5611">
              <w:rPr>
                <w:bCs/>
                <w:snapToGrid w:val="0"/>
                <w:sz w:val="22"/>
                <w:szCs w:val="22"/>
              </w:rPr>
              <w:t>Denna paragraf förklarades omedelbart justerad.</w:t>
            </w:r>
          </w:p>
          <w:p w14:paraId="69868126" w14:textId="77777777" w:rsidR="0011495B" w:rsidRPr="000E5611" w:rsidRDefault="0011495B" w:rsidP="00305501">
            <w:pPr>
              <w:rPr>
                <w:b/>
                <w:sz w:val="22"/>
                <w:szCs w:val="22"/>
              </w:rPr>
            </w:pPr>
          </w:p>
        </w:tc>
      </w:tr>
      <w:tr w:rsidR="007A1132" w:rsidRPr="000E5611" w14:paraId="2210C982" w14:textId="77777777" w:rsidTr="00DF0154">
        <w:tc>
          <w:tcPr>
            <w:tcW w:w="567" w:type="dxa"/>
          </w:tcPr>
          <w:p w14:paraId="549A3AE9" w14:textId="5D0E083A" w:rsidR="007A1132" w:rsidRPr="000E5611" w:rsidRDefault="0040164F" w:rsidP="00201DCD">
            <w:pPr>
              <w:tabs>
                <w:tab w:val="left" w:pos="1701"/>
              </w:tabs>
              <w:rPr>
                <w:b/>
                <w:snapToGrid w:val="0"/>
                <w:sz w:val="22"/>
                <w:szCs w:val="22"/>
              </w:rPr>
            </w:pPr>
            <w:r w:rsidRPr="000E5611">
              <w:rPr>
                <w:b/>
                <w:snapToGrid w:val="0"/>
                <w:sz w:val="22"/>
                <w:szCs w:val="22"/>
              </w:rPr>
              <w:t xml:space="preserve">§ </w:t>
            </w:r>
            <w:r w:rsidR="00302E69">
              <w:rPr>
                <w:b/>
                <w:snapToGrid w:val="0"/>
                <w:sz w:val="22"/>
                <w:szCs w:val="22"/>
              </w:rPr>
              <w:t>4</w:t>
            </w:r>
          </w:p>
        </w:tc>
        <w:tc>
          <w:tcPr>
            <w:tcW w:w="6946" w:type="dxa"/>
            <w:gridSpan w:val="2"/>
          </w:tcPr>
          <w:p w14:paraId="771F966F" w14:textId="2046D4E5" w:rsidR="007A1132" w:rsidRPr="000E5611" w:rsidRDefault="00D41CDA" w:rsidP="00201DCD">
            <w:pPr>
              <w:rPr>
                <w:rFonts w:eastAsiaTheme="minorHAnsi"/>
                <w:bCs/>
                <w:color w:val="000000"/>
                <w:sz w:val="22"/>
                <w:szCs w:val="22"/>
                <w:lang w:eastAsia="en-US"/>
              </w:rPr>
            </w:pPr>
            <w:r w:rsidRPr="000E5611">
              <w:rPr>
                <w:b/>
                <w:sz w:val="22"/>
                <w:szCs w:val="22"/>
              </w:rPr>
              <w:t>Jordbruksråd 17 – 18 oktober 2022</w:t>
            </w:r>
            <w:r w:rsidR="00704D64" w:rsidRPr="000E5611">
              <w:rPr>
                <w:b/>
                <w:sz w:val="22"/>
                <w:szCs w:val="22"/>
              </w:rPr>
              <w:br/>
            </w:r>
            <w:r w:rsidR="00704D64" w:rsidRPr="000E5611">
              <w:rPr>
                <w:b/>
                <w:sz w:val="22"/>
                <w:szCs w:val="22"/>
              </w:rPr>
              <w:br/>
            </w:r>
            <w:r w:rsidR="00704D64" w:rsidRPr="000E5611">
              <w:rPr>
                <w:bCs/>
                <w:sz w:val="22"/>
                <w:szCs w:val="22"/>
              </w:rPr>
              <w:t xml:space="preserve">Statssekreterare Oskar Magnusson, Näringsdepartementet, med medarbetare lämnade information inför </w:t>
            </w:r>
            <w:r w:rsidR="00F618B5">
              <w:rPr>
                <w:bCs/>
                <w:sz w:val="22"/>
                <w:szCs w:val="22"/>
              </w:rPr>
              <w:t>J</w:t>
            </w:r>
            <w:r w:rsidR="00704D64" w:rsidRPr="000E5611">
              <w:rPr>
                <w:bCs/>
                <w:sz w:val="22"/>
                <w:szCs w:val="22"/>
              </w:rPr>
              <w:t>ordbruks- och fiskeråd den 17 – 18 oktober 2022.</w:t>
            </w:r>
          </w:p>
          <w:p w14:paraId="3BD2D3B6" w14:textId="6A631B6A" w:rsidR="00D41CDA" w:rsidRPr="000E5611" w:rsidRDefault="00D41CDA" w:rsidP="00201DCD">
            <w:pPr>
              <w:rPr>
                <w:rFonts w:eastAsiaTheme="minorHAnsi"/>
                <w:b/>
                <w:bCs/>
                <w:color w:val="000000"/>
                <w:sz w:val="22"/>
                <w:szCs w:val="22"/>
                <w:lang w:eastAsia="en-US"/>
              </w:rPr>
            </w:pPr>
          </w:p>
        </w:tc>
      </w:tr>
      <w:tr w:rsidR="00D41CDA" w:rsidRPr="003539A5" w14:paraId="04B10036" w14:textId="77777777" w:rsidTr="00DF0154">
        <w:tc>
          <w:tcPr>
            <w:tcW w:w="567" w:type="dxa"/>
          </w:tcPr>
          <w:p w14:paraId="0757A43C" w14:textId="0D61AD28" w:rsidR="00D41CDA" w:rsidRPr="003539A5" w:rsidRDefault="00D41CDA" w:rsidP="00201DCD">
            <w:pPr>
              <w:tabs>
                <w:tab w:val="left" w:pos="1701"/>
              </w:tabs>
              <w:rPr>
                <w:b/>
                <w:snapToGrid w:val="0"/>
                <w:sz w:val="22"/>
                <w:szCs w:val="22"/>
              </w:rPr>
            </w:pPr>
            <w:r w:rsidRPr="003539A5">
              <w:rPr>
                <w:b/>
                <w:snapToGrid w:val="0"/>
                <w:sz w:val="22"/>
                <w:szCs w:val="22"/>
              </w:rPr>
              <w:t xml:space="preserve">§ </w:t>
            </w:r>
            <w:r w:rsidR="00302E69">
              <w:rPr>
                <w:b/>
                <w:snapToGrid w:val="0"/>
                <w:sz w:val="22"/>
                <w:szCs w:val="22"/>
              </w:rPr>
              <w:t>5</w:t>
            </w:r>
          </w:p>
          <w:p w14:paraId="072648A1" w14:textId="4587D733" w:rsidR="00D41CDA" w:rsidRPr="003539A5" w:rsidRDefault="00D41CDA" w:rsidP="00201DCD">
            <w:pPr>
              <w:tabs>
                <w:tab w:val="left" w:pos="1701"/>
              </w:tabs>
              <w:rPr>
                <w:b/>
                <w:snapToGrid w:val="0"/>
                <w:sz w:val="22"/>
                <w:szCs w:val="22"/>
              </w:rPr>
            </w:pPr>
          </w:p>
        </w:tc>
        <w:tc>
          <w:tcPr>
            <w:tcW w:w="6946" w:type="dxa"/>
            <w:gridSpan w:val="2"/>
          </w:tcPr>
          <w:p w14:paraId="4778654B" w14:textId="182DDD28" w:rsidR="00D41CDA" w:rsidRPr="003539A5" w:rsidRDefault="00D41CDA" w:rsidP="00201DCD">
            <w:pPr>
              <w:rPr>
                <w:rFonts w:eastAsiaTheme="minorHAnsi"/>
                <w:b/>
                <w:bCs/>
                <w:color w:val="000000"/>
                <w:sz w:val="22"/>
                <w:szCs w:val="22"/>
                <w:lang w:eastAsia="en-US"/>
              </w:rPr>
            </w:pPr>
            <w:r w:rsidRPr="003539A5">
              <w:rPr>
                <w:rFonts w:eastAsiaTheme="minorHAnsi"/>
                <w:b/>
                <w:bCs/>
                <w:color w:val="000000"/>
                <w:sz w:val="22"/>
                <w:szCs w:val="22"/>
                <w:lang w:eastAsia="en-US"/>
              </w:rPr>
              <w:t xml:space="preserve">Information om avslutat </w:t>
            </w:r>
            <w:r w:rsidRPr="003539A5">
              <w:rPr>
                <w:b/>
                <w:bCs/>
                <w:color w:val="000000"/>
                <w:sz w:val="22"/>
                <w:szCs w:val="22"/>
              </w:rPr>
              <w:t>fransk</w:t>
            </w:r>
            <w:r w:rsidRPr="003539A5">
              <w:rPr>
                <w:rFonts w:eastAsiaTheme="minorHAnsi"/>
                <w:b/>
                <w:bCs/>
                <w:color w:val="000000"/>
                <w:sz w:val="22"/>
                <w:szCs w:val="22"/>
                <w:lang w:eastAsia="en-US"/>
              </w:rPr>
              <w:t xml:space="preserve">t och nytt </w:t>
            </w:r>
            <w:r w:rsidRPr="003539A5">
              <w:rPr>
                <w:b/>
                <w:bCs/>
                <w:color w:val="000000"/>
                <w:sz w:val="22"/>
                <w:szCs w:val="22"/>
              </w:rPr>
              <w:t>tjeckiskt</w:t>
            </w:r>
            <w:r w:rsidRPr="003539A5">
              <w:rPr>
                <w:rFonts w:eastAsiaTheme="minorHAnsi"/>
                <w:b/>
                <w:bCs/>
                <w:color w:val="000000"/>
                <w:sz w:val="22"/>
                <w:szCs w:val="22"/>
                <w:lang w:eastAsia="en-US"/>
              </w:rPr>
              <w:t xml:space="preserve"> ordförandeskap </w:t>
            </w:r>
            <w:r w:rsidRPr="003539A5">
              <w:rPr>
                <w:bCs/>
                <w:sz w:val="22"/>
                <w:szCs w:val="22"/>
              </w:rPr>
              <w:br/>
            </w:r>
          </w:p>
          <w:p w14:paraId="752CADD7" w14:textId="1B0D7894" w:rsidR="00D42156" w:rsidRPr="003539A5" w:rsidRDefault="00D42156" w:rsidP="00D42156">
            <w:pPr>
              <w:tabs>
                <w:tab w:val="left" w:pos="1701"/>
              </w:tabs>
              <w:rPr>
                <w:snapToGrid w:val="0"/>
                <w:sz w:val="22"/>
                <w:szCs w:val="22"/>
              </w:rPr>
            </w:pPr>
            <w:r w:rsidRPr="00996E2F">
              <w:rPr>
                <w:snapToGrid w:val="0"/>
                <w:sz w:val="22"/>
                <w:szCs w:val="22"/>
              </w:rPr>
              <w:t>Skriftlig information om det avslutade franska och det nya tjeckiska ordförandeskapet, i de delar de berörde landsbygdsminister Anna-Caren Sätherbergs ansvarsområde, hade lämnats och lades till handlingarna.</w:t>
            </w:r>
          </w:p>
          <w:p w14:paraId="62BCEBDA" w14:textId="77E5D70F" w:rsidR="00D42156" w:rsidRPr="003539A5" w:rsidRDefault="00D42156" w:rsidP="00201DCD">
            <w:pPr>
              <w:rPr>
                <w:rFonts w:eastAsiaTheme="minorHAnsi"/>
                <w:b/>
                <w:bCs/>
                <w:color w:val="000000"/>
                <w:sz w:val="22"/>
                <w:szCs w:val="22"/>
                <w:lang w:eastAsia="en-US"/>
              </w:rPr>
            </w:pPr>
          </w:p>
        </w:tc>
      </w:tr>
      <w:tr w:rsidR="0011495B" w:rsidRPr="003539A5" w14:paraId="1025D18E" w14:textId="77777777" w:rsidTr="00DF0154">
        <w:tc>
          <w:tcPr>
            <w:tcW w:w="567" w:type="dxa"/>
          </w:tcPr>
          <w:p w14:paraId="2A49C4AB" w14:textId="6B98FBC5" w:rsidR="0011495B" w:rsidRPr="003539A5" w:rsidRDefault="0011495B" w:rsidP="00201DCD">
            <w:pPr>
              <w:tabs>
                <w:tab w:val="left" w:pos="1701"/>
              </w:tabs>
              <w:rPr>
                <w:b/>
                <w:snapToGrid w:val="0"/>
                <w:sz w:val="22"/>
                <w:szCs w:val="22"/>
              </w:rPr>
            </w:pPr>
            <w:r w:rsidRPr="003539A5">
              <w:rPr>
                <w:b/>
                <w:snapToGrid w:val="0"/>
                <w:sz w:val="22"/>
                <w:szCs w:val="22"/>
              </w:rPr>
              <w:t xml:space="preserve">§ </w:t>
            </w:r>
            <w:r w:rsidR="00302E69">
              <w:rPr>
                <w:b/>
                <w:snapToGrid w:val="0"/>
                <w:sz w:val="22"/>
                <w:szCs w:val="22"/>
              </w:rPr>
              <w:t>6</w:t>
            </w:r>
          </w:p>
        </w:tc>
        <w:tc>
          <w:tcPr>
            <w:tcW w:w="6946" w:type="dxa"/>
            <w:gridSpan w:val="2"/>
          </w:tcPr>
          <w:p w14:paraId="6FBB9C60" w14:textId="77777777" w:rsidR="00F618B5" w:rsidRDefault="00F618B5" w:rsidP="00F618B5">
            <w:pPr>
              <w:rPr>
                <w:b/>
                <w:bCs/>
                <w:sz w:val="22"/>
                <w:szCs w:val="22"/>
              </w:rPr>
            </w:pPr>
            <w:bookmarkStart w:id="1" w:name="_Hlk116473084"/>
            <w:r w:rsidRPr="003539A5">
              <w:rPr>
                <w:b/>
                <w:bCs/>
                <w:sz w:val="22"/>
                <w:szCs w:val="22"/>
              </w:rPr>
              <w:t xml:space="preserve">Sveriges genomförande av Agenda 2030 </w:t>
            </w:r>
            <w:r>
              <w:rPr>
                <w:b/>
                <w:bCs/>
                <w:sz w:val="22"/>
                <w:szCs w:val="22"/>
              </w:rPr>
              <w:br/>
            </w:r>
          </w:p>
          <w:bookmarkEnd w:id="1"/>
          <w:p w14:paraId="0A98CEBD" w14:textId="798296AC" w:rsidR="00036F82" w:rsidRPr="00F94D03" w:rsidRDefault="00036F82" w:rsidP="00036F82">
            <w:pPr>
              <w:rPr>
                <w:rFonts w:eastAsiaTheme="minorHAnsi"/>
                <w:b/>
                <w:bCs/>
                <w:color w:val="000000"/>
                <w:sz w:val="22"/>
                <w:szCs w:val="22"/>
                <w:lang w:eastAsia="en-US"/>
              </w:rPr>
            </w:pPr>
            <w:r w:rsidRPr="00F94D03">
              <w:rPr>
                <w:rFonts w:eastAsiaTheme="minorHAnsi"/>
                <w:bCs/>
                <w:color w:val="000000"/>
                <w:sz w:val="22"/>
                <w:szCs w:val="22"/>
                <w:lang w:eastAsia="en-US"/>
              </w:rPr>
              <w:t>Utskottet behandlade frågan om yttrande till finansutskottet över skrivelse 2021/22:</w:t>
            </w:r>
            <w:r>
              <w:rPr>
                <w:rFonts w:eastAsiaTheme="minorHAnsi"/>
                <w:bCs/>
                <w:color w:val="000000"/>
                <w:sz w:val="22"/>
                <w:szCs w:val="22"/>
                <w:lang w:eastAsia="en-US"/>
              </w:rPr>
              <w:t xml:space="preserve">247 Sveriges genomförande av Agenda </w:t>
            </w:r>
            <w:r w:rsidRPr="00F94D03">
              <w:rPr>
                <w:rFonts w:eastAsiaTheme="minorHAnsi"/>
                <w:bCs/>
                <w:color w:val="000000"/>
                <w:sz w:val="22"/>
                <w:szCs w:val="22"/>
                <w:lang w:eastAsia="en-US"/>
              </w:rPr>
              <w:t>20</w:t>
            </w:r>
            <w:r>
              <w:rPr>
                <w:rFonts w:eastAsiaTheme="minorHAnsi"/>
                <w:bCs/>
                <w:color w:val="000000"/>
                <w:sz w:val="22"/>
                <w:szCs w:val="22"/>
                <w:lang w:eastAsia="en-US"/>
              </w:rPr>
              <w:t xml:space="preserve">30 och motioner i de </w:t>
            </w:r>
            <w:r>
              <w:rPr>
                <w:rFonts w:eastAsiaTheme="minorHAnsi"/>
                <w:bCs/>
                <w:color w:val="000000"/>
                <w:sz w:val="22"/>
                <w:szCs w:val="22"/>
                <w:lang w:eastAsia="en-US"/>
              </w:rPr>
              <w:lastRenderedPageBreak/>
              <w:t>delar det berör utskottets beredningsområde</w:t>
            </w:r>
            <w:r w:rsidRPr="00F94D03">
              <w:rPr>
                <w:rFonts w:eastAsiaTheme="minorHAnsi"/>
                <w:bCs/>
                <w:color w:val="000000"/>
                <w:sz w:val="22"/>
                <w:szCs w:val="22"/>
                <w:lang w:eastAsia="en-US"/>
              </w:rPr>
              <w:t>.</w:t>
            </w:r>
          </w:p>
          <w:p w14:paraId="233FF05E" w14:textId="77777777" w:rsidR="00036F82" w:rsidRPr="00F94D03" w:rsidRDefault="00036F82" w:rsidP="00036F82">
            <w:pPr>
              <w:rPr>
                <w:rFonts w:eastAsiaTheme="minorHAnsi"/>
                <w:bCs/>
                <w:color w:val="000000"/>
                <w:sz w:val="22"/>
                <w:szCs w:val="22"/>
                <w:lang w:eastAsia="en-US"/>
              </w:rPr>
            </w:pPr>
          </w:p>
          <w:p w14:paraId="23AFF54A" w14:textId="0561D4A6" w:rsidR="00F618B5" w:rsidRPr="003539A5" w:rsidRDefault="00EA2F6B" w:rsidP="00F618B5">
            <w:pPr>
              <w:rPr>
                <w:sz w:val="22"/>
                <w:szCs w:val="22"/>
              </w:rPr>
            </w:pPr>
            <w:r>
              <w:rPr>
                <w:sz w:val="22"/>
                <w:szCs w:val="22"/>
              </w:rPr>
              <w:t>Frågan</w:t>
            </w:r>
            <w:r w:rsidR="00F618B5">
              <w:rPr>
                <w:sz w:val="22"/>
                <w:szCs w:val="22"/>
              </w:rPr>
              <w:t xml:space="preserve"> bordlades.</w:t>
            </w:r>
          </w:p>
          <w:p w14:paraId="6B0A95E8" w14:textId="5C5E7FA5" w:rsidR="0011495B" w:rsidRPr="003539A5" w:rsidRDefault="0011495B" w:rsidP="00201DCD">
            <w:pPr>
              <w:rPr>
                <w:rFonts w:eastAsiaTheme="minorHAnsi"/>
                <w:b/>
                <w:bCs/>
                <w:color w:val="000000"/>
                <w:sz w:val="22"/>
                <w:szCs w:val="22"/>
                <w:lang w:eastAsia="en-US"/>
              </w:rPr>
            </w:pPr>
          </w:p>
        </w:tc>
      </w:tr>
      <w:tr w:rsidR="0040164F" w:rsidRPr="003539A5" w14:paraId="63412504" w14:textId="77777777" w:rsidTr="00DF0154">
        <w:tc>
          <w:tcPr>
            <w:tcW w:w="567" w:type="dxa"/>
          </w:tcPr>
          <w:p w14:paraId="3066A1FC" w14:textId="7B22B72C" w:rsidR="0040164F" w:rsidRPr="003539A5" w:rsidRDefault="0040164F" w:rsidP="00201DCD">
            <w:pPr>
              <w:tabs>
                <w:tab w:val="left" w:pos="1701"/>
              </w:tabs>
              <w:rPr>
                <w:b/>
                <w:snapToGrid w:val="0"/>
                <w:sz w:val="22"/>
                <w:szCs w:val="22"/>
              </w:rPr>
            </w:pPr>
            <w:r w:rsidRPr="003539A5">
              <w:rPr>
                <w:b/>
                <w:snapToGrid w:val="0"/>
                <w:sz w:val="22"/>
                <w:szCs w:val="22"/>
              </w:rPr>
              <w:lastRenderedPageBreak/>
              <w:t xml:space="preserve">§ </w:t>
            </w:r>
            <w:r w:rsidR="00302E69">
              <w:rPr>
                <w:b/>
                <w:snapToGrid w:val="0"/>
                <w:sz w:val="22"/>
                <w:szCs w:val="22"/>
              </w:rPr>
              <w:t>7</w:t>
            </w:r>
          </w:p>
        </w:tc>
        <w:tc>
          <w:tcPr>
            <w:tcW w:w="6946" w:type="dxa"/>
            <w:gridSpan w:val="2"/>
          </w:tcPr>
          <w:p w14:paraId="524486B3" w14:textId="0D8D6E51" w:rsidR="00F618B5" w:rsidRDefault="00F618B5" w:rsidP="00F618B5">
            <w:pPr>
              <w:rPr>
                <w:rFonts w:eastAsiaTheme="minorHAnsi"/>
                <w:b/>
                <w:bCs/>
                <w:color w:val="000000"/>
                <w:sz w:val="22"/>
                <w:szCs w:val="22"/>
                <w:lang w:eastAsia="en-US"/>
              </w:rPr>
            </w:pPr>
            <w:r w:rsidRPr="003539A5">
              <w:rPr>
                <w:rFonts w:eastAsiaTheme="minorHAnsi"/>
                <w:b/>
                <w:bCs/>
                <w:color w:val="000000"/>
                <w:sz w:val="22"/>
                <w:szCs w:val="22"/>
                <w:lang w:eastAsia="en-US"/>
              </w:rPr>
              <w:t>Miljö- och jordbruksutskottets tematiska konferens under det svenska ordförandeskapet i EU, 20 februari 2023</w:t>
            </w:r>
          </w:p>
          <w:p w14:paraId="05CDC3B0" w14:textId="350F0751" w:rsidR="00F618B5" w:rsidRDefault="00201695" w:rsidP="00F618B5">
            <w:pPr>
              <w:rPr>
                <w:rFonts w:eastAsiaTheme="minorHAnsi"/>
                <w:color w:val="000000"/>
                <w:sz w:val="22"/>
                <w:szCs w:val="22"/>
                <w:lang w:eastAsia="en-US"/>
              </w:rPr>
            </w:pPr>
            <w:r>
              <w:rPr>
                <w:rFonts w:eastAsiaTheme="minorHAnsi"/>
                <w:b/>
                <w:bCs/>
                <w:color w:val="000000"/>
                <w:sz w:val="22"/>
                <w:szCs w:val="22"/>
                <w:lang w:eastAsia="en-US"/>
              </w:rPr>
              <w:br/>
            </w:r>
            <w:r>
              <w:rPr>
                <w:rFonts w:eastAsiaTheme="minorHAnsi"/>
                <w:color w:val="000000"/>
                <w:sz w:val="22"/>
                <w:szCs w:val="22"/>
                <w:lang w:eastAsia="en-US"/>
              </w:rPr>
              <w:t xml:space="preserve">Kansliet informerade om den tematiska konferens </w:t>
            </w:r>
            <w:r w:rsidR="00CB7605">
              <w:rPr>
                <w:rFonts w:eastAsiaTheme="minorHAnsi"/>
                <w:color w:val="000000"/>
                <w:sz w:val="22"/>
                <w:szCs w:val="22"/>
                <w:lang w:eastAsia="en-US"/>
              </w:rPr>
              <w:t xml:space="preserve">inom ramen för det svenska ordförandeskapet som </w:t>
            </w:r>
            <w:r>
              <w:rPr>
                <w:rFonts w:eastAsiaTheme="minorHAnsi"/>
                <w:color w:val="000000"/>
                <w:sz w:val="22"/>
                <w:szCs w:val="22"/>
                <w:lang w:eastAsia="en-US"/>
              </w:rPr>
              <w:t>utskottet arrangerar måndagen den 20 februari 2023.</w:t>
            </w:r>
          </w:p>
          <w:p w14:paraId="6373912E" w14:textId="42ADF7BD" w:rsidR="00201695" w:rsidRDefault="00201695" w:rsidP="00F618B5">
            <w:pPr>
              <w:rPr>
                <w:rFonts w:eastAsiaTheme="minorHAnsi"/>
                <w:color w:val="000000"/>
                <w:sz w:val="22"/>
                <w:szCs w:val="22"/>
                <w:lang w:eastAsia="en-US"/>
              </w:rPr>
            </w:pPr>
          </w:p>
          <w:p w14:paraId="2705E507" w14:textId="37804D4C" w:rsidR="000F0B32" w:rsidRPr="0034455C" w:rsidRDefault="000F0B32" w:rsidP="00F618B5">
            <w:pPr>
              <w:rPr>
                <w:rFonts w:eastAsiaTheme="minorHAnsi"/>
                <w:color w:val="000000"/>
                <w:sz w:val="22"/>
                <w:szCs w:val="22"/>
                <w:lang w:eastAsia="en-US"/>
              </w:rPr>
            </w:pPr>
            <w:r w:rsidRPr="0034455C">
              <w:rPr>
                <w:rFonts w:eastAsiaTheme="minorHAnsi"/>
                <w:color w:val="000000"/>
                <w:sz w:val="22"/>
                <w:szCs w:val="22"/>
                <w:lang w:eastAsia="en-US"/>
              </w:rPr>
              <w:t>Utskottet beslutade att vid nästa sammanträde besluta om deltagare till en arbetsgrupp inför ordförandeskapet i allmänhet och utskottets konferens i synnerhet.</w:t>
            </w:r>
          </w:p>
          <w:p w14:paraId="4D9AB210" w14:textId="77777777" w:rsidR="000F0B32" w:rsidRPr="0034455C" w:rsidRDefault="000F0B32" w:rsidP="00F618B5">
            <w:pPr>
              <w:rPr>
                <w:rFonts w:eastAsiaTheme="minorHAnsi"/>
                <w:color w:val="000000"/>
                <w:sz w:val="22"/>
                <w:szCs w:val="22"/>
                <w:lang w:eastAsia="en-US"/>
              </w:rPr>
            </w:pPr>
          </w:p>
          <w:p w14:paraId="766B7078" w14:textId="6BCCD2FE" w:rsidR="00201695" w:rsidRDefault="00201695" w:rsidP="00F618B5">
            <w:pPr>
              <w:rPr>
                <w:rFonts w:eastAsiaTheme="minorHAnsi"/>
                <w:color w:val="000000"/>
                <w:sz w:val="22"/>
                <w:szCs w:val="22"/>
                <w:lang w:eastAsia="en-US"/>
              </w:rPr>
            </w:pPr>
            <w:r w:rsidRPr="0034455C">
              <w:rPr>
                <w:rFonts w:eastAsiaTheme="minorHAnsi"/>
                <w:color w:val="000000"/>
                <w:sz w:val="22"/>
                <w:szCs w:val="22"/>
                <w:lang w:eastAsia="en-US"/>
              </w:rPr>
              <w:t>Frågan bordlades.</w:t>
            </w:r>
          </w:p>
          <w:p w14:paraId="6C6113CA" w14:textId="77777777" w:rsidR="0040164F" w:rsidRPr="003539A5" w:rsidRDefault="0040164F" w:rsidP="00201DCD">
            <w:pPr>
              <w:rPr>
                <w:rFonts w:eastAsiaTheme="minorHAnsi"/>
                <w:b/>
                <w:bCs/>
                <w:color w:val="000000"/>
                <w:sz w:val="22"/>
                <w:szCs w:val="22"/>
                <w:lang w:eastAsia="en-US"/>
              </w:rPr>
            </w:pPr>
          </w:p>
        </w:tc>
      </w:tr>
      <w:tr w:rsidR="00F618B5" w:rsidRPr="003539A5" w14:paraId="547E6AF3" w14:textId="77777777" w:rsidTr="00DF0154">
        <w:tc>
          <w:tcPr>
            <w:tcW w:w="567" w:type="dxa"/>
          </w:tcPr>
          <w:p w14:paraId="22B74D6E" w14:textId="03E211A2" w:rsidR="00F618B5" w:rsidRPr="003539A5" w:rsidRDefault="00F618B5" w:rsidP="00201DCD">
            <w:pPr>
              <w:tabs>
                <w:tab w:val="left" w:pos="1701"/>
              </w:tabs>
              <w:rPr>
                <w:b/>
                <w:snapToGrid w:val="0"/>
                <w:sz w:val="22"/>
                <w:szCs w:val="22"/>
              </w:rPr>
            </w:pPr>
            <w:r>
              <w:rPr>
                <w:b/>
                <w:snapToGrid w:val="0"/>
                <w:sz w:val="22"/>
                <w:szCs w:val="22"/>
              </w:rPr>
              <w:t xml:space="preserve">§ </w:t>
            </w:r>
            <w:r w:rsidR="00302E69">
              <w:rPr>
                <w:b/>
                <w:snapToGrid w:val="0"/>
                <w:sz w:val="22"/>
                <w:szCs w:val="22"/>
              </w:rPr>
              <w:t>8</w:t>
            </w:r>
          </w:p>
        </w:tc>
        <w:tc>
          <w:tcPr>
            <w:tcW w:w="6946" w:type="dxa"/>
            <w:gridSpan w:val="2"/>
          </w:tcPr>
          <w:p w14:paraId="6615D255" w14:textId="5BEFF993" w:rsidR="00F618B5" w:rsidRDefault="00F618B5" w:rsidP="0040164F">
            <w:pPr>
              <w:tabs>
                <w:tab w:val="left" w:pos="1701"/>
              </w:tabs>
              <w:rPr>
                <w:b/>
                <w:snapToGrid w:val="0"/>
                <w:sz w:val="22"/>
                <w:szCs w:val="22"/>
              </w:rPr>
            </w:pPr>
            <w:r w:rsidRPr="003539A5">
              <w:rPr>
                <w:b/>
                <w:snapToGrid w:val="0"/>
                <w:sz w:val="22"/>
                <w:szCs w:val="22"/>
              </w:rPr>
              <w:t>Justering av protokoll</w:t>
            </w:r>
            <w:r w:rsidRPr="003539A5">
              <w:rPr>
                <w:b/>
                <w:snapToGrid w:val="0"/>
                <w:sz w:val="22"/>
                <w:szCs w:val="22"/>
              </w:rPr>
              <w:br/>
            </w:r>
            <w:r w:rsidRPr="003539A5">
              <w:rPr>
                <w:b/>
                <w:snapToGrid w:val="0"/>
                <w:sz w:val="22"/>
                <w:szCs w:val="22"/>
              </w:rPr>
              <w:br/>
            </w:r>
            <w:r w:rsidRPr="003539A5">
              <w:rPr>
                <w:bCs/>
                <w:snapToGrid w:val="0"/>
                <w:sz w:val="22"/>
                <w:szCs w:val="22"/>
              </w:rPr>
              <w:t>Utskottet justerade protokoll 2022/21:1.</w:t>
            </w:r>
          </w:p>
          <w:p w14:paraId="6D2235FF" w14:textId="3657EC6D" w:rsidR="00F618B5" w:rsidRPr="003539A5" w:rsidRDefault="00F618B5" w:rsidP="0040164F">
            <w:pPr>
              <w:tabs>
                <w:tab w:val="left" w:pos="1701"/>
              </w:tabs>
              <w:rPr>
                <w:b/>
                <w:snapToGrid w:val="0"/>
                <w:sz w:val="22"/>
                <w:szCs w:val="22"/>
              </w:rPr>
            </w:pPr>
          </w:p>
        </w:tc>
      </w:tr>
      <w:tr w:rsidR="0011495B" w:rsidRPr="003539A5" w14:paraId="083C6BCB" w14:textId="77777777" w:rsidTr="00DF0154">
        <w:tc>
          <w:tcPr>
            <w:tcW w:w="567" w:type="dxa"/>
          </w:tcPr>
          <w:p w14:paraId="11BFCB20" w14:textId="16F86FF5" w:rsidR="0011495B" w:rsidRPr="003539A5" w:rsidRDefault="0011495B" w:rsidP="00201DCD">
            <w:pPr>
              <w:tabs>
                <w:tab w:val="left" w:pos="1701"/>
              </w:tabs>
              <w:rPr>
                <w:b/>
                <w:snapToGrid w:val="0"/>
                <w:sz w:val="22"/>
                <w:szCs w:val="22"/>
              </w:rPr>
            </w:pPr>
            <w:r w:rsidRPr="003539A5">
              <w:rPr>
                <w:b/>
                <w:snapToGrid w:val="0"/>
                <w:sz w:val="22"/>
                <w:szCs w:val="22"/>
              </w:rPr>
              <w:t xml:space="preserve">§ </w:t>
            </w:r>
            <w:r w:rsidR="00302E69">
              <w:rPr>
                <w:b/>
                <w:snapToGrid w:val="0"/>
                <w:sz w:val="22"/>
                <w:szCs w:val="22"/>
              </w:rPr>
              <w:t>9</w:t>
            </w:r>
          </w:p>
        </w:tc>
        <w:tc>
          <w:tcPr>
            <w:tcW w:w="6946" w:type="dxa"/>
            <w:gridSpan w:val="2"/>
          </w:tcPr>
          <w:p w14:paraId="3BA66327" w14:textId="77777777" w:rsidR="00DA3609" w:rsidRPr="003539A5" w:rsidRDefault="00DA3609" w:rsidP="00DA3609">
            <w:pPr>
              <w:rPr>
                <w:rFonts w:eastAsiaTheme="minorHAnsi"/>
                <w:b/>
                <w:bCs/>
                <w:color w:val="000000"/>
                <w:sz w:val="22"/>
                <w:szCs w:val="22"/>
                <w:lang w:eastAsia="en-US"/>
              </w:rPr>
            </w:pPr>
            <w:r w:rsidRPr="003539A5">
              <w:rPr>
                <w:rFonts w:eastAsiaTheme="minorHAnsi"/>
                <w:b/>
                <w:bCs/>
                <w:color w:val="000000"/>
                <w:sz w:val="22"/>
                <w:szCs w:val="22"/>
                <w:lang w:eastAsia="en-US"/>
              </w:rPr>
              <w:t>Inkomna EU-dokument</w:t>
            </w:r>
          </w:p>
          <w:p w14:paraId="404C6ACA" w14:textId="77777777" w:rsidR="0011495B" w:rsidRPr="003539A5" w:rsidRDefault="0011495B" w:rsidP="0040164F">
            <w:pPr>
              <w:tabs>
                <w:tab w:val="left" w:pos="1701"/>
              </w:tabs>
              <w:rPr>
                <w:b/>
                <w:snapToGrid w:val="0"/>
                <w:sz w:val="22"/>
                <w:szCs w:val="22"/>
              </w:rPr>
            </w:pPr>
          </w:p>
          <w:p w14:paraId="198A070D" w14:textId="4F46066D" w:rsidR="009E1E6E" w:rsidRPr="00DE675A" w:rsidRDefault="009E1E6E" w:rsidP="009E1E6E">
            <w:pPr>
              <w:rPr>
                <w:rFonts w:eastAsiaTheme="minorHAnsi"/>
                <w:bCs/>
                <w:color w:val="000000"/>
                <w:sz w:val="22"/>
                <w:szCs w:val="22"/>
                <w:lang w:eastAsia="en-US"/>
              </w:rPr>
            </w:pPr>
            <w:r w:rsidRPr="00DE675A">
              <w:rPr>
                <w:rFonts w:eastAsiaTheme="minorHAnsi"/>
                <w:bCs/>
                <w:color w:val="000000"/>
                <w:sz w:val="22"/>
                <w:szCs w:val="22"/>
                <w:lang w:eastAsia="en-US"/>
              </w:rPr>
              <w:t xml:space="preserve">Inkomna EU-dokument enligt </w:t>
            </w:r>
            <w:r w:rsidRPr="002F3181">
              <w:rPr>
                <w:rFonts w:eastAsiaTheme="minorHAnsi"/>
                <w:bCs/>
                <w:color w:val="000000"/>
                <w:sz w:val="22"/>
                <w:szCs w:val="22"/>
                <w:lang w:eastAsia="en-US"/>
              </w:rPr>
              <w:t>bilaga 4 anmäldes</w:t>
            </w:r>
            <w:r w:rsidRPr="00DE675A">
              <w:rPr>
                <w:rFonts w:eastAsiaTheme="minorHAnsi"/>
                <w:bCs/>
                <w:color w:val="000000"/>
                <w:sz w:val="22"/>
                <w:szCs w:val="22"/>
                <w:lang w:eastAsia="en-US"/>
              </w:rPr>
              <w:t xml:space="preserve"> och föranledde ingen vidare åtgärd. </w:t>
            </w:r>
          </w:p>
          <w:p w14:paraId="05E04825" w14:textId="3FD743AF" w:rsidR="000E5611" w:rsidRPr="003539A5" w:rsidRDefault="000E5611" w:rsidP="0040164F">
            <w:pPr>
              <w:tabs>
                <w:tab w:val="left" w:pos="1701"/>
              </w:tabs>
              <w:rPr>
                <w:b/>
                <w:snapToGrid w:val="0"/>
                <w:sz w:val="22"/>
                <w:szCs w:val="22"/>
              </w:rPr>
            </w:pPr>
          </w:p>
        </w:tc>
      </w:tr>
      <w:tr w:rsidR="0040164F" w:rsidRPr="003539A5" w14:paraId="62F92B8F" w14:textId="77777777" w:rsidTr="00DF0154">
        <w:tc>
          <w:tcPr>
            <w:tcW w:w="567" w:type="dxa"/>
          </w:tcPr>
          <w:p w14:paraId="0A7977F0" w14:textId="4F373E80" w:rsidR="0040164F" w:rsidRPr="003539A5" w:rsidRDefault="0040164F" w:rsidP="00201DCD">
            <w:pPr>
              <w:tabs>
                <w:tab w:val="left" w:pos="1701"/>
              </w:tabs>
              <w:rPr>
                <w:b/>
                <w:snapToGrid w:val="0"/>
                <w:sz w:val="22"/>
                <w:szCs w:val="22"/>
              </w:rPr>
            </w:pPr>
            <w:r w:rsidRPr="003539A5">
              <w:rPr>
                <w:b/>
                <w:snapToGrid w:val="0"/>
                <w:sz w:val="22"/>
                <w:szCs w:val="22"/>
              </w:rPr>
              <w:t xml:space="preserve">§ </w:t>
            </w:r>
            <w:r w:rsidR="00302E69">
              <w:rPr>
                <w:b/>
                <w:snapToGrid w:val="0"/>
                <w:sz w:val="22"/>
                <w:szCs w:val="22"/>
              </w:rPr>
              <w:t>10</w:t>
            </w:r>
            <w:r w:rsidRPr="003539A5">
              <w:rPr>
                <w:b/>
                <w:snapToGrid w:val="0"/>
                <w:sz w:val="22"/>
                <w:szCs w:val="22"/>
              </w:rPr>
              <w:t xml:space="preserve"> </w:t>
            </w:r>
          </w:p>
        </w:tc>
        <w:tc>
          <w:tcPr>
            <w:tcW w:w="6946" w:type="dxa"/>
            <w:gridSpan w:val="2"/>
          </w:tcPr>
          <w:p w14:paraId="7DC8DA50" w14:textId="6B5688F3" w:rsidR="0040164F" w:rsidRPr="003539A5" w:rsidRDefault="003633D5" w:rsidP="00201DCD">
            <w:pPr>
              <w:rPr>
                <w:rFonts w:eastAsiaTheme="minorHAnsi"/>
                <w:b/>
                <w:bCs/>
                <w:color w:val="000000"/>
                <w:sz w:val="22"/>
                <w:szCs w:val="22"/>
                <w:lang w:eastAsia="en-US"/>
              </w:rPr>
            </w:pPr>
            <w:r w:rsidRPr="003539A5">
              <w:rPr>
                <w:rFonts w:eastAsiaTheme="minorHAnsi"/>
                <w:b/>
                <w:bCs/>
                <w:color w:val="000000"/>
                <w:sz w:val="22"/>
                <w:szCs w:val="22"/>
                <w:lang w:eastAsia="en-US"/>
              </w:rPr>
              <w:t xml:space="preserve">Inkomna </w:t>
            </w:r>
            <w:r w:rsidR="00DA3609" w:rsidRPr="003539A5">
              <w:rPr>
                <w:rFonts w:eastAsiaTheme="minorHAnsi"/>
                <w:b/>
                <w:bCs/>
                <w:color w:val="000000"/>
                <w:sz w:val="22"/>
                <w:szCs w:val="22"/>
                <w:lang w:eastAsia="en-US"/>
              </w:rPr>
              <w:t>skrivelser</w:t>
            </w:r>
          </w:p>
          <w:p w14:paraId="71D0CBA9" w14:textId="77777777" w:rsidR="00DA3609" w:rsidRPr="003539A5" w:rsidRDefault="00DA3609" w:rsidP="00201DCD">
            <w:pPr>
              <w:rPr>
                <w:rFonts w:eastAsiaTheme="minorHAnsi"/>
                <w:b/>
                <w:bCs/>
                <w:color w:val="000000"/>
                <w:sz w:val="22"/>
                <w:szCs w:val="22"/>
                <w:lang w:eastAsia="en-US"/>
              </w:rPr>
            </w:pPr>
          </w:p>
          <w:p w14:paraId="70FADCE5" w14:textId="5509562D" w:rsidR="003633D5" w:rsidRPr="003539A5" w:rsidRDefault="009E1E6E" w:rsidP="00996E2F">
            <w:pPr>
              <w:widowControl/>
              <w:autoSpaceDE w:val="0"/>
              <w:autoSpaceDN w:val="0"/>
              <w:adjustRightInd w:val="0"/>
              <w:rPr>
                <w:rFonts w:eastAsiaTheme="minorHAnsi"/>
                <w:b/>
                <w:bCs/>
                <w:color w:val="000000"/>
                <w:sz w:val="22"/>
                <w:szCs w:val="22"/>
                <w:lang w:eastAsia="en-US"/>
              </w:rPr>
            </w:pPr>
            <w:r w:rsidRPr="00DE675A">
              <w:rPr>
                <w:rFonts w:eastAsiaTheme="minorHAnsi"/>
                <w:color w:val="000000"/>
                <w:sz w:val="22"/>
                <w:szCs w:val="22"/>
                <w:lang w:eastAsia="en-US"/>
              </w:rPr>
              <w:t xml:space="preserve">Inkomna skrivelser enligt </w:t>
            </w:r>
            <w:r w:rsidRPr="00E9010F">
              <w:rPr>
                <w:rFonts w:eastAsiaTheme="minorHAnsi"/>
                <w:color w:val="000000"/>
                <w:sz w:val="22"/>
                <w:szCs w:val="22"/>
                <w:lang w:eastAsia="en-US"/>
              </w:rPr>
              <w:t>bilaga 5</w:t>
            </w:r>
            <w:r w:rsidRPr="00DE675A">
              <w:rPr>
                <w:rFonts w:eastAsiaTheme="minorHAnsi"/>
                <w:color w:val="000000"/>
                <w:sz w:val="22"/>
                <w:szCs w:val="22"/>
                <w:lang w:eastAsia="en-US"/>
              </w:rPr>
              <w:t xml:space="preserve"> anmäldes och lades till handlingarna. </w:t>
            </w:r>
            <w:r w:rsidR="002C16F8">
              <w:rPr>
                <w:rFonts w:eastAsiaTheme="minorHAnsi"/>
                <w:color w:val="000000"/>
                <w:sz w:val="22"/>
                <w:szCs w:val="22"/>
                <w:lang w:eastAsia="en-US"/>
              </w:rPr>
              <w:br/>
            </w:r>
          </w:p>
        </w:tc>
      </w:tr>
      <w:tr w:rsidR="0011495B" w:rsidRPr="003539A5" w14:paraId="1851C247" w14:textId="77777777" w:rsidTr="00DF0154">
        <w:tc>
          <w:tcPr>
            <w:tcW w:w="567" w:type="dxa"/>
          </w:tcPr>
          <w:p w14:paraId="428B0054" w14:textId="08453661" w:rsidR="0011495B" w:rsidRPr="003539A5" w:rsidRDefault="0011495B" w:rsidP="00201DCD">
            <w:pPr>
              <w:tabs>
                <w:tab w:val="left" w:pos="1701"/>
              </w:tabs>
              <w:rPr>
                <w:b/>
                <w:snapToGrid w:val="0"/>
                <w:sz w:val="22"/>
                <w:szCs w:val="22"/>
              </w:rPr>
            </w:pPr>
            <w:r w:rsidRPr="003539A5">
              <w:rPr>
                <w:b/>
                <w:snapToGrid w:val="0"/>
                <w:sz w:val="22"/>
                <w:szCs w:val="22"/>
              </w:rPr>
              <w:t xml:space="preserve">§ </w:t>
            </w:r>
            <w:r w:rsidR="00302E69">
              <w:rPr>
                <w:b/>
                <w:snapToGrid w:val="0"/>
                <w:sz w:val="22"/>
                <w:szCs w:val="22"/>
              </w:rPr>
              <w:t>11</w:t>
            </w:r>
          </w:p>
        </w:tc>
        <w:tc>
          <w:tcPr>
            <w:tcW w:w="6946" w:type="dxa"/>
            <w:gridSpan w:val="2"/>
          </w:tcPr>
          <w:p w14:paraId="70EC0A14" w14:textId="119B2F27" w:rsidR="0011495B" w:rsidRPr="003539A5" w:rsidRDefault="0011495B" w:rsidP="00201DCD">
            <w:pPr>
              <w:rPr>
                <w:rFonts w:eastAsiaTheme="minorHAnsi"/>
                <w:b/>
                <w:bCs/>
                <w:color w:val="000000"/>
                <w:sz w:val="22"/>
                <w:szCs w:val="22"/>
                <w:lang w:eastAsia="en-US"/>
              </w:rPr>
            </w:pPr>
            <w:r w:rsidRPr="003539A5">
              <w:rPr>
                <w:rFonts w:eastAsiaTheme="minorHAnsi"/>
                <w:b/>
                <w:bCs/>
                <w:color w:val="000000"/>
                <w:sz w:val="22"/>
                <w:szCs w:val="22"/>
                <w:lang w:eastAsia="en-US"/>
              </w:rPr>
              <w:t xml:space="preserve">Inbjudan </w:t>
            </w:r>
            <w:r w:rsidR="008E1806">
              <w:rPr>
                <w:rFonts w:eastAsiaTheme="minorHAnsi"/>
                <w:b/>
                <w:bCs/>
                <w:color w:val="000000"/>
                <w:sz w:val="22"/>
                <w:szCs w:val="22"/>
                <w:lang w:eastAsia="en-US"/>
              </w:rPr>
              <w:t>att ingå i den svenska delegationen</w:t>
            </w:r>
            <w:r w:rsidR="00994C8B">
              <w:rPr>
                <w:rFonts w:eastAsiaTheme="minorHAnsi"/>
                <w:b/>
                <w:bCs/>
                <w:color w:val="000000"/>
                <w:sz w:val="22"/>
                <w:szCs w:val="22"/>
                <w:lang w:eastAsia="en-US"/>
              </w:rPr>
              <w:t xml:space="preserve"> vid </w:t>
            </w:r>
            <w:r w:rsidRPr="003539A5">
              <w:rPr>
                <w:rFonts w:eastAsiaTheme="minorHAnsi"/>
                <w:b/>
                <w:bCs/>
                <w:color w:val="000000"/>
                <w:sz w:val="22"/>
                <w:szCs w:val="22"/>
                <w:lang w:eastAsia="en-US"/>
              </w:rPr>
              <w:t xml:space="preserve">COP27 i Sharm </w:t>
            </w:r>
            <w:r w:rsidR="008E1806">
              <w:rPr>
                <w:rFonts w:eastAsiaTheme="minorHAnsi"/>
                <w:b/>
                <w:bCs/>
                <w:color w:val="000000"/>
                <w:sz w:val="22"/>
                <w:szCs w:val="22"/>
                <w:lang w:eastAsia="en-US"/>
              </w:rPr>
              <w:t>e</w:t>
            </w:r>
            <w:r w:rsidRPr="003539A5">
              <w:rPr>
                <w:rFonts w:eastAsiaTheme="minorHAnsi"/>
                <w:b/>
                <w:bCs/>
                <w:color w:val="000000"/>
                <w:sz w:val="22"/>
                <w:szCs w:val="22"/>
                <w:lang w:eastAsia="en-US"/>
              </w:rPr>
              <w:t>l</w:t>
            </w:r>
            <w:r w:rsidR="00996E2F">
              <w:rPr>
                <w:rFonts w:eastAsiaTheme="minorHAnsi"/>
                <w:b/>
                <w:bCs/>
                <w:color w:val="000000"/>
                <w:sz w:val="22"/>
                <w:szCs w:val="22"/>
                <w:lang w:eastAsia="en-US"/>
              </w:rPr>
              <w:t>-S</w:t>
            </w:r>
            <w:r w:rsidRPr="003539A5">
              <w:rPr>
                <w:rFonts w:eastAsiaTheme="minorHAnsi"/>
                <w:b/>
                <w:bCs/>
                <w:color w:val="000000"/>
                <w:sz w:val="22"/>
                <w:szCs w:val="22"/>
                <w:lang w:eastAsia="en-US"/>
              </w:rPr>
              <w:t>heik</w:t>
            </w:r>
            <w:r w:rsidR="008E1806">
              <w:rPr>
                <w:rFonts w:eastAsiaTheme="minorHAnsi"/>
                <w:b/>
                <w:bCs/>
                <w:color w:val="000000"/>
                <w:sz w:val="22"/>
                <w:szCs w:val="22"/>
                <w:lang w:eastAsia="en-US"/>
              </w:rPr>
              <w:t>, Egypten</w:t>
            </w:r>
          </w:p>
          <w:p w14:paraId="70D318E6" w14:textId="6EF74EA9" w:rsidR="00DA3609" w:rsidRDefault="00DA3609" w:rsidP="00201DCD">
            <w:pPr>
              <w:rPr>
                <w:rFonts w:eastAsiaTheme="minorHAnsi"/>
                <w:b/>
                <w:bCs/>
                <w:color w:val="000000"/>
                <w:sz w:val="22"/>
                <w:szCs w:val="22"/>
                <w:lang w:eastAsia="en-US"/>
              </w:rPr>
            </w:pPr>
          </w:p>
          <w:p w14:paraId="02218319" w14:textId="0EDF2E5A" w:rsidR="008E1806" w:rsidRDefault="008E1806" w:rsidP="008E1806">
            <w:pPr>
              <w:tabs>
                <w:tab w:val="left" w:pos="1701"/>
              </w:tabs>
              <w:rPr>
                <w:bCs/>
                <w:color w:val="000000"/>
                <w:sz w:val="22"/>
                <w:szCs w:val="22"/>
              </w:rPr>
            </w:pPr>
            <w:r>
              <w:rPr>
                <w:bCs/>
                <w:color w:val="000000"/>
                <w:sz w:val="22"/>
                <w:szCs w:val="22"/>
              </w:rPr>
              <w:t xml:space="preserve">Två ledamöter i utskottet är inbjudna att ingå i regeringens delegation vid </w:t>
            </w:r>
            <w:r w:rsidRPr="00667D75">
              <w:rPr>
                <w:bCs/>
                <w:color w:val="000000"/>
                <w:sz w:val="22"/>
                <w:szCs w:val="22"/>
              </w:rPr>
              <w:t>klimatkonventionens 2</w:t>
            </w:r>
            <w:r>
              <w:rPr>
                <w:bCs/>
                <w:color w:val="000000"/>
                <w:sz w:val="22"/>
                <w:szCs w:val="22"/>
              </w:rPr>
              <w:t>7</w:t>
            </w:r>
            <w:r w:rsidRPr="00667D75">
              <w:rPr>
                <w:bCs/>
                <w:color w:val="000000"/>
                <w:sz w:val="22"/>
                <w:szCs w:val="22"/>
              </w:rPr>
              <w:t xml:space="preserve">:e partsmöte i </w:t>
            </w:r>
            <w:r w:rsidRPr="008E1806">
              <w:rPr>
                <w:bCs/>
                <w:color w:val="000000"/>
                <w:sz w:val="22"/>
                <w:szCs w:val="22"/>
              </w:rPr>
              <w:t>i Sharm el-Sheik, Egypten</w:t>
            </w:r>
            <w:r>
              <w:rPr>
                <w:bCs/>
                <w:color w:val="000000"/>
                <w:sz w:val="22"/>
                <w:szCs w:val="22"/>
              </w:rPr>
              <w:t>, den 7 – 18 november 2022.</w:t>
            </w:r>
          </w:p>
          <w:p w14:paraId="2DF024ED" w14:textId="77777777" w:rsidR="008E1806" w:rsidRDefault="008E1806" w:rsidP="008E1806">
            <w:pPr>
              <w:tabs>
                <w:tab w:val="left" w:pos="1701"/>
              </w:tabs>
              <w:rPr>
                <w:bCs/>
                <w:color w:val="000000"/>
                <w:sz w:val="22"/>
                <w:szCs w:val="22"/>
              </w:rPr>
            </w:pPr>
          </w:p>
          <w:p w14:paraId="5AAF0CDA" w14:textId="542EDE98" w:rsidR="008E1806" w:rsidRDefault="008E1806" w:rsidP="008E1806">
            <w:pPr>
              <w:tabs>
                <w:tab w:val="left" w:pos="1701"/>
              </w:tabs>
              <w:rPr>
                <w:bCs/>
                <w:color w:val="000000"/>
                <w:sz w:val="22"/>
                <w:szCs w:val="22"/>
              </w:rPr>
            </w:pPr>
            <w:r>
              <w:rPr>
                <w:bCs/>
                <w:color w:val="000000"/>
                <w:sz w:val="22"/>
                <w:szCs w:val="22"/>
              </w:rPr>
              <w:t xml:space="preserve">Utskottet beslutade att </w:t>
            </w:r>
            <w:r>
              <w:rPr>
                <w:rFonts w:eastAsiaTheme="minorHAnsi"/>
                <w:color w:val="000000"/>
                <w:sz w:val="22"/>
                <w:szCs w:val="22"/>
                <w:lang w:eastAsia="en-US"/>
              </w:rPr>
              <w:t xml:space="preserve">ordförande </w:t>
            </w:r>
            <w:r w:rsidRPr="00996E2F">
              <w:rPr>
                <w:rFonts w:eastAsiaTheme="minorHAnsi"/>
                <w:color w:val="000000"/>
                <w:sz w:val="22"/>
                <w:szCs w:val="22"/>
                <w:lang w:eastAsia="en-US"/>
              </w:rPr>
              <w:t>Emma Nohrén (MP) och vice ordförande Kjell-Arne Ottosson (KD)</w:t>
            </w:r>
            <w:r>
              <w:rPr>
                <w:bCs/>
                <w:color w:val="000000"/>
                <w:sz w:val="22"/>
                <w:szCs w:val="22"/>
              </w:rPr>
              <w:t xml:space="preserve"> ska representera utskottet i den svenska </w:t>
            </w:r>
            <w:r w:rsidRPr="0034455C">
              <w:rPr>
                <w:bCs/>
                <w:color w:val="000000"/>
                <w:sz w:val="22"/>
                <w:szCs w:val="22"/>
              </w:rPr>
              <w:t>delegationen under mötets högnivådel</w:t>
            </w:r>
            <w:r w:rsidR="00701DE5" w:rsidRPr="0034455C">
              <w:rPr>
                <w:bCs/>
                <w:color w:val="000000"/>
                <w:sz w:val="22"/>
                <w:szCs w:val="22"/>
              </w:rPr>
              <w:t>en</w:t>
            </w:r>
            <w:r w:rsidRPr="0034455C">
              <w:rPr>
                <w:bCs/>
                <w:color w:val="000000"/>
                <w:sz w:val="22"/>
                <w:szCs w:val="22"/>
              </w:rPr>
              <w:t xml:space="preserve"> den 1</w:t>
            </w:r>
            <w:r w:rsidR="00ED4643">
              <w:rPr>
                <w:bCs/>
                <w:color w:val="000000"/>
                <w:sz w:val="22"/>
                <w:szCs w:val="22"/>
              </w:rPr>
              <w:t>3</w:t>
            </w:r>
            <w:r w:rsidRPr="0034455C">
              <w:rPr>
                <w:bCs/>
                <w:color w:val="000000"/>
                <w:sz w:val="22"/>
                <w:szCs w:val="22"/>
              </w:rPr>
              <w:t xml:space="preserve"> – 18 november 2022.</w:t>
            </w:r>
          </w:p>
          <w:p w14:paraId="699871C7" w14:textId="08A9B0B0" w:rsidR="000E5611" w:rsidRPr="003539A5" w:rsidRDefault="000E5611" w:rsidP="00201DCD">
            <w:pPr>
              <w:rPr>
                <w:rFonts w:eastAsiaTheme="minorHAnsi"/>
                <w:b/>
                <w:bCs/>
                <w:color w:val="000000"/>
                <w:sz w:val="22"/>
                <w:szCs w:val="22"/>
                <w:lang w:eastAsia="en-US"/>
              </w:rPr>
            </w:pPr>
          </w:p>
        </w:tc>
      </w:tr>
      <w:tr w:rsidR="00F618B5" w:rsidRPr="003539A5" w14:paraId="2A0D24C1" w14:textId="77777777" w:rsidTr="00DF0154">
        <w:tc>
          <w:tcPr>
            <w:tcW w:w="567" w:type="dxa"/>
          </w:tcPr>
          <w:p w14:paraId="2DAC5AB6" w14:textId="32DB739E" w:rsidR="00F618B5" w:rsidRPr="003539A5" w:rsidRDefault="00F618B5" w:rsidP="00201DCD">
            <w:pPr>
              <w:tabs>
                <w:tab w:val="left" w:pos="1701"/>
              </w:tabs>
              <w:rPr>
                <w:b/>
                <w:snapToGrid w:val="0"/>
                <w:sz w:val="22"/>
                <w:szCs w:val="22"/>
              </w:rPr>
            </w:pPr>
            <w:r>
              <w:rPr>
                <w:b/>
                <w:snapToGrid w:val="0"/>
                <w:sz w:val="22"/>
                <w:szCs w:val="22"/>
              </w:rPr>
              <w:t>§ 1</w:t>
            </w:r>
            <w:r w:rsidR="00D57CD7">
              <w:rPr>
                <w:b/>
                <w:snapToGrid w:val="0"/>
                <w:sz w:val="22"/>
                <w:szCs w:val="22"/>
              </w:rPr>
              <w:t>2</w:t>
            </w:r>
          </w:p>
        </w:tc>
        <w:tc>
          <w:tcPr>
            <w:tcW w:w="6946" w:type="dxa"/>
            <w:gridSpan w:val="2"/>
          </w:tcPr>
          <w:p w14:paraId="06954BA9" w14:textId="15A4055C" w:rsidR="00F618B5" w:rsidRDefault="00F618B5" w:rsidP="00DA3609">
            <w:pPr>
              <w:rPr>
                <w:rFonts w:eastAsiaTheme="minorHAnsi"/>
                <w:b/>
                <w:bCs/>
                <w:color w:val="000000"/>
                <w:sz w:val="22"/>
                <w:szCs w:val="22"/>
                <w:lang w:eastAsia="en-US"/>
              </w:rPr>
            </w:pPr>
            <w:r>
              <w:rPr>
                <w:rFonts w:eastAsiaTheme="minorHAnsi"/>
                <w:b/>
                <w:bCs/>
                <w:color w:val="000000"/>
                <w:sz w:val="22"/>
                <w:szCs w:val="22"/>
                <w:lang w:eastAsia="en-US"/>
              </w:rPr>
              <w:t xml:space="preserve">Kommissionens generaldirektör vid </w:t>
            </w:r>
            <w:r w:rsidR="00435106">
              <w:rPr>
                <w:rFonts w:eastAsiaTheme="minorHAnsi"/>
                <w:b/>
                <w:bCs/>
                <w:color w:val="000000"/>
                <w:sz w:val="22"/>
                <w:szCs w:val="22"/>
                <w:lang w:eastAsia="en-US"/>
              </w:rPr>
              <w:t xml:space="preserve">generaldirektoratet </w:t>
            </w:r>
            <w:r w:rsidR="007E0E95">
              <w:rPr>
                <w:rFonts w:eastAsiaTheme="minorHAnsi"/>
                <w:b/>
                <w:bCs/>
                <w:color w:val="000000"/>
                <w:sz w:val="22"/>
                <w:szCs w:val="22"/>
                <w:lang w:eastAsia="en-US"/>
              </w:rPr>
              <w:t xml:space="preserve">för </w:t>
            </w:r>
            <w:r>
              <w:rPr>
                <w:rFonts w:eastAsiaTheme="minorHAnsi"/>
                <w:b/>
                <w:bCs/>
                <w:color w:val="000000"/>
                <w:sz w:val="22"/>
                <w:szCs w:val="22"/>
                <w:lang w:eastAsia="en-US"/>
              </w:rPr>
              <w:t>miljö besöker utskottet</w:t>
            </w:r>
          </w:p>
          <w:p w14:paraId="186B18C4" w14:textId="2FA7C4FA" w:rsidR="00F618B5" w:rsidRDefault="00F618B5" w:rsidP="00DA3609">
            <w:pPr>
              <w:rPr>
                <w:rFonts w:eastAsiaTheme="minorHAnsi"/>
                <w:b/>
                <w:bCs/>
                <w:color w:val="000000"/>
                <w:sz w:val="22"/>
                <w:szCs w:val="22"/>
                <w:lang w:eastAsia="en-US"/>
              </w:rPr>
            </w:pPr>
          </w:p>
          <w:p w14:paraId="1E1364FC" w14:textId="6C1F63CE" w:rsidR="006B1CE5" w:rsidRPr="006B1CE5" w:rsidRDefault="006B1CE5" w:rsidP="006B1CE5">
            <w:pPr>
              <w:rPr>
                <w:rFonts w:eastAsiaTheme="minorHAnsi"/>
                <w:color w:val="000000"/>
                <w:sz w:val="22"/>
                <w:szCs w:val="22"/>
                <w:lang w:eastAsia="en-US"/>
              </w:rPr>
            </w:pPr>
            <w:r w:rsidRPr="0034455C">
              <w:rPr>
                <w:rFonts w:eastAsiaTheme="minorHAnsi"/>
                <w:color w:val="000000"/>
                <w:sz w:val="22"/>
                <w:szCs w:val="22"/>
                <w:lang w:eastAsia="en-US"/>
              </w:rPr>
              <w:t xml:space="preserve">Kanslichefen informerade om </w:t>
            </w:r>
            <w:r w:rsidR="00701DE5" w:rsidRPr="0034455C">
              <w:rPr>
                <w:rFonts w:eastAsiaTheme="minorHAnsi"/>
                <w:color w:val="000000"/>
                <w:sz w:val="22"/>
                <w:szCs w:val="22"/>
                <w:lang w:eastAsia="en-US"/>
              </w:rPr>
              <w:t>att</w:t>
            </w:r>
            <w:r w:rsidRPr="0034455C">
              <w:rPr>
                <w:rFonts w:eastAsiaTheme="minorHAnsi"/>
                <w:color w:val="000000"/>
                <w:sz w:val="22"/>
                <w:szCs w:val="22"/>
                <w:lang w:eastAsia="en-US"/>
              </w:rPr>
              <w:t xml:space="preserve"> </w:t>
            </w:r>
            <w:r w:rsidR="00701DE5" w:rsidRPr="0034455C">
              <w:rPr>
                <w:rFonts w:eastAsiaTheme="minorHAnsi"/>
                <w:color w:val="000000"/>
                <w:sz w:val="22"/>
                <w:szCs w:val="22"/>
                <w:lang w:eastAsia="en-US"/>
              </w:rPr>
              <w:t>k</w:t>
            </w:r>
            <w:r w:rsidRPr="0034455C">
              <w:rPr>
                <w:rFonts w:eastAsiaTheme="minorHAnsi"/>
                <w:color w:val="000000"/>
                <w:sz w:val="22"/>
                <w:szCs w:val="22"/>
                <w:lang w:eastAsia="en-US"/>
              </w:rPr>
              <w:t xml:space="preserve">ommissionens generaldirektör vid </w:t>
            </w:r>
            <w:r w:rsidR="007E0E95" w:rsidRPr="0034455C">
              <w:rPr>
                <w:rFonts w:eastAsiaTheme="minorHAnsi"/>
                <w:color w:val="000000"/>
                <w:sz w:val="22"/>
                <w:szCs w:val="22"/>
                <w:lang w:eastAsia="en-US"/>
              </w:rPr>
              <w:t>generaldirektoratet</w:t>
            </w:r>
            <w:r w:rsidRPr="0034455C">
              <w:rPr>
                <w:rFonts w:eastAsiaTheme="minorHAnsi"/>
                <w:color w:val="000000"/>
                <w:sz w:val="22"/>
                <w:szCs w:val="22"/>
                <w:lang w:eastAsia="en-US"/>
              </w:rPr>
              <w:t xml:space="preserve"> </w:t>
            </w:r>
            <w:r w:rsidR="007E0E95" w:rsidRPr="0034455C">
              <w:rPr>
                <w:rFonts w:eastAsiaTheme="minorHAnsi"/>
                <w:color w:val="000000"/>
                <w:sz w:val="22"/>
                <w:szCs w:val="22"/>
                <w:lang w:eastAsia="en-US"/>
              </w:rPr>
              <w:t xml:space="preserve">för </w:t>
            </w:r>
            <w:r w:rsidRPr="0034455C">
              <w:rPr>
                <w:rFonts w:eastAsiaTheme="minorHAnsi"/>
                <w:color w:val="000000"/>
                <w:sz w:val="22"/>
                <w:szCs w:val="22"/>
                <w:lang w:eastAsia="en-US"/>
              </w:rPr>
              <w:t>miljö</w:t>
            </w:r>
            <w:r w:rsidR="00D57CD7" w:rsidRPr="0034455C">
              <w:rPr>
                <w:rFonts w:eastAsiaTheme="minorHAnsi"/>
                <w:color w:val="000000"/>
                <w:sz w:val="22"/>
                <w:szCs w:val="22"/>
                <w:lang w:eastAsia="en-US"/>
              </w:rPr>
              <w:t>,</w:t>
            </w:r>
            <w:r w:rsidRPr="0034455C">
              <w:rPr>
                <w:rFonts w:eastAsiaTheme="minorHAnsi"/>
                <w:color w:val="000000"/>
                <w:sz w:val="22"/>
                <w:szCs w:val="22"/>
                <w:lang w:eastAsia="en-US"/>
              </w:rPr>
              <w:t xml:space="preserve"> </w:t>
            </w:r>
            <w:r w:rsidR="00701DE5" w:rsidRPr="0034455C">
              <w:rPr>
                <w:sz w:val="22"/>
                <w:szCs w:val="22"/>
              </w:rPr>
              <w:t xml:space="preserve">Florika Fink-Hooijer, </w:t>
            </w:r>
            <w:r w:rsidRPr="0034455C">
              <w:rPr>
                <w:rFonts w:eastAsiaTheme="minorHAnsi"/>
                <w:color w:val="000000"/>
                <w:sz w:val="22"/>
                <w:szCs w:val="22"/>
                <w:lang w:eastAsia="en-US"/>
              </w:rPr>
              <w:t>besöker utskottet</w:t>
            </w:r>
            <w:r w:rsidR="00D57CD7" w:rsidRPr="0034455C">
              <w:rPr>
                <w:rFonts w:eastAsiaTheme="minorHAnsi"/>
                <w:color w:val="000000"/>
                <w:sz w:val="22"/>
                <w:szCs w:val="22"/>
                <w:lang w:eastAsia="en-US"/>
              </w:rPr>
              <w:t xml:space="preserve"> tisdagen den</w:t>
            </w:r>
            <w:r w:rsidR="007E0E95" w:rsidRPr="0034455C">
              <w:rPr>
                <w:rFonts w:eastAsiaTheme="minorHAnsi"/>
                <w:color w:val="000000"/>
                <w:sz w:val="22"/>
                <w:szCs w:val="22"/>
                <w:lang w:eastAsia="en-US"/>
              </w:rPr>
              <w:t xml:space="preserve"> 8 november 2022</w:t>
            </w:r>
            <w:r w:rsidR="00D57CD7" w:rsidRPr="0034455C">
              <w:rPr>
                <w:rFonts w:eastAsiaTheme="minorHAnsi"/>
                <w:color w:val="000000"/>
                <w:sz w:val="22"/>
                <w:szCs w:val="22"/>
                <w:lang w:eastAsia="en-US"/>
              </w:rPr>
              <w:t xml:space="preserve"> kl. 09.30</w:t>
            </w:r>
            <w:r w:rsidR="00996E2F" w:rsidRPr="0034455C">
              <w:rPr>
                <w:rFonts w:eastAsiaTheme="minorHAnsi"/>
                <w:color w:val="000000"/>
                <w:sz w:val="22"/>
                <w:szCs w:val="22"/>
                <w:lang w:eastAsia="en-US"/>
              </w:rPr>
              <w:t>.</w:t>
            </w:r>
          </w:p>
          <w:p w14:paraId="4820B6AF" w14:textId="1324D1E7" w:rsidR="00F618B5" w:rsidRPr="003539A5" w:rsidRDefault="00F618B5" w:rsidP="00DA3609">
            <w:pPr>
              <w:rPr>
                <w:rFonts w:eastAsiaTheme="minorHAnsi"/>
                <w:b/>
                <w:bCs/>
                <w:color w:val="000000"/>
                <w:sz w:val="22"/>
                <w:szCs w:val="22"/>
                <w:lang w:eastAsia="en-US"/>
              </w:rPr>
            </w:pPr>
          </w:p>
        </w:tc>
      </w:tr>
      <w:tr w:rsidR="005D2E63" w:rsidRPr="003539A5" w14:paraId="04022D5C" w14:textId="77777777" w:rsidTr="00DF0154">
        <w:tc>
          <w:tcPr>
            <w:tcW w:w="567" w:type="dxa"/>
          </w:tcPr>
          <w:p w14:paraId="790F3247" w14:textId="146CF01D" w:rsidR="005D2E63" w:rsidRPr="003539A5" w:rsidRDefault="003633D5" w:rsidP="00201DCD">
            <w:pPr>
              <w:tabs>
                <w:tab w:val="left" w:pos="1701"/>
              </w:tabs>
              <w:rPr>
                <w:b/>
                <w:snapToGrid w:val="0"/>
                <w:sz w:val="22"/>
                <w:szCs w:val="22"/>
              </w:rPr>
            </w:pPr>
            <w:r w:rsidRPr="003539A5">
              <w:rPr>
                <w:b/>
                <w:snapToGrid w:val="0"/>
                <w:sz w:val="22"/>
                <w:szCs w:val="22"/>
              </w:rPr>
              <w:t xml:space="preserve">§ </w:t>
            </w:r>
            <w:r w:rsidR="000E5611" w:rsidRPr="003539A5">
              <w:rPr>
                <w:b/>
                <w:snapToGrid w:val="0"/>
                <w:sz w:val="22"/>
                <w:szCs w:val="22"/>
              </w:rPr>
              <w:t>1</w:t>
            </w:r>
            <w:r w:rsidR="00D57CD7">
              <w:rPr>
                <w:b/>
                <w:snapToGrid w:val="0"/>
                <w:sz w:val="22"/>
                <w:szCs w:val="22"/>
              </w:rPr>
              <w:t>3</w:t>
            </w:r>
          </w:p>
        </w:tc>
        <w:tc>
          <w:tcPr>
            <w:tcW w:w="6946" w:type="dxa"/>
            <w:gridSpan w:val="2"/>
          </w:tcPr>
          <w:p w14:paraId="66773590" w14:textId="34D3D905" w:rsidR="005D2E63" w:rsidRDefault="00D57CD7" w:rsidP="00201DCD">
            <w:pPr>
              <w:rPr>
                <w:rFonts w:eastAsiaTheme="minorHAnsi"/>
                <w:b/>
                <w:bCs/>
                <w:color w:val="000000"/>
                <w:sz w:val="22"/>
                <w:szCs w:val="22"/>
                <w:lang w:eastAsia="en-US"/>
              </w:rPr>
            </w:pPr>
            <w:r>
              <w:rPr>
                <w:rFonts w:eastAsiaTheme="minorHAnsi"/>
                <w:b/>
                <w:bCs/>
                <w:color w:val="000000"/>
                <w:sz w:val="22"/>
                <w:szCs w:val="22"/>
                <w:lang w:eastAsia="en-US"/>
              </w:rPr>
              <w:t xml:space="preserve">Introduktion i utskottsarbetet </w:t>
            </w:r>
          </w:p>
          <w:p w14:paraId="08144424" w14:textId="3E396B22" w:rsidR="00D57CD7" w:rsidRDefault="00D57CD7" w:rsidP="00201DCD">
            <w:pPr>
              <w:rPr>
                <w:rFonts w:eastAsiaTheme="minorHAnsi"/>
                <w:b/>
                <w:bCs/>
                <w:color w:val="000000"/>
                <w:sz w:val="22"/>
                <w:szCs w:val="22"/>
                <w:lang w:eastAsia="en-US"/>
              </w:rPr>
            </w:pPr>
          </w:p>
          <w:p w14:paraId="2CC399D8" w14:textId="73BBBECF" w:rsidR="00D57CD7" w:rsidRPr="00D57CD7" w:rsidRDefault="00D57CD7" w:rsidP="00201DCD">
            <w:pPr>
              <w:rPr>
                <w:rFonts w:eastAsiaTheme="minorHAnsi"/>
                <w:color w:val="000000"/>
                <w:sz w:val="22"/>
                <w:szCs w:val="22"/>
                <w:lang w:eastAsia="en-US"/>
              </w:rPr>
            </w:pPr>
            <w:r>
              <w:rPr>
                <w:rFonts w:eastAsiaTheme="minorHAnsi"/>
                <w:color w:val="000000"/>
                <w:sz w:val="22"/>
                <w:szCs w:val="22"/>
                <w:lang w:eastAsia="en-US"/>
              </w:rPr>
              <w:t xml:space="preserve">Kanslichefen informerade om att en introduktion </w:t>
            </w:r>
            <w:r w:rsidR="00ED4643">
              <w:rPr>
                <w:rFonts w:eastAsiaTheme="minorHAnsi"/>
                <w:color w:val="000000"/>
                <w:sz w:val="22"/>
                <w:szCs w:val="22"/>
                <w:lang w:eastAsia="en-US"/>
              </w:rPr>
              <w:t>till</w:t>
            </w:r>
            <w:r>
              <w:rPr>
                <w:rFonts w:eastAsiaTheme="minorHAnsi"/>
                <w:color w:val="000000"/>
                <w:sz w:val="22"/>
                <w:szCs w:val="22"/>
                <w:lang w:eastAsia="en-US"/>
              </w:rPr>
              <w:t xml:space="preserve"> utskottets arbete </w:t>
            </w:r>
            <w:r w:rsidR="00701DE5">
              <w:rPr>
                <w:rFonts w:eastAsiaTheme="minorHAnsi"/>
                <w:color w:val="000000"/>
                <w:sz w:val="22"/>
                <w:szCs w:val="22"/>
                <w:lang w:eastAsia="en-US"/>
              </w:rPr>
              <w:t>sker under</w:t>
            </w:r>
            <w:r>
              <w:rPr>
                <w:rFonts w:eastAsiaTheme="minorHAnsi"/>
                <w:color w:val="000000"/>
                <w:sz w:val="22"/>
                <w:szCs w:val="22"/>
                <w:lang w:eastAsia="en-US"/>
              </w:rPr>
              <w:t xml:space="preserve"> sammanträdet t</w:t>
            </w:r>
            <w:r w:rsidRPr="00D57CD7">
              <w:rPr>
                <w:rFonts w:eastAsiaTheme="minorHAnsi"/>
                <w:color w:val="000000"/>
                <w:sz w:val="22"/>
                <w:szCs w:val="22"/>
                <w:lang w:eastAsia="en-US"/>
              </w:rPr>
              <w:t>isdag</w:t>
            </w:r>
            <w:r>
              <w:rPr>
                <w:rFonts w:eastAsiaTheme="minorHAnsi"/>
                <w:color w:val="000000"/>
                <w:sz w:val="22"/>
                <w:szCs w:val="22"/>
                <w:lang w:eastAsia="en-US"/>
              </w:rPr>
              <w:t>en den</w:t>
            </w:r>
            <w:r w:rsidRPr="00D57CD7">
              <w:rPr>
                <w:rFonts w:eastAsiaTheme="minorHAnsi"/>
                <w:color w:val="000000"/>
                <w:sz w:val="22"/>
                <w:szCs w:val="22"/>
                <w:lang w:eastAsia="en-US"/>
              </w:rPr>
              <w:t xml:space="preserve"> 18 oktober</w:t>
            </w:r>
            <w:r>
              <w:rPr>
                <w:rFonts w:eastAsiaTheme="minorHAnsi"/>
                <w:color w:val="000000"/>
                <w:sz w:val="22"/>
                <w:szCs w:val="22"/>
                <w:lang w:eastAsia="en-US"/>
              </w:rPr>
              <w:t xml:space="preserve"> 2022.</w:t>
            </w:r>
          </w:p>
          <w:p w14:paraId="4D9F0C31" w14:textId="77777777" w:rsidR="003633D5" w:rsidRDefault="003633D5" w:rsidP="00201DCD">
            <w:pPr>
              <w:rPr>
                <w:rFonts w:eastAsiaTheme="minorHAnsi"/>
                <w:b/>
                <w:bCs/>
                <w:color w:val="000000"/>
                <w:sz w:val="22"/>
                <w:szCs w:val="22"/>
                <w:lang w:eastAsia="en-US"/>
              </w:rPr>
            </w:pPr>
          </w:p>
          <w:p w14:paraId="416F6A68" w14:textId="77777777" w:rsidR="00DF0154" w:rsidRDefault="00DF0154" w:rsidP="00201DCD">
            <w:pPr>
              <w:rPr>
                <w:rFonts w:eastAsiaTheme="minorHAnsi"/>
                <w:b/>
                <w:bCs/>
                <w:color w:val="000000"/>
                <w:sz w:val="22"/>
                <w:szCs w:val="22"/>
                <w:lang w:eastAsia="en-US"/>
              </w:rPr>
            </w:pPr>
          </w:p>
          <w:p w14:paraId="652DACBE" w14:textId="77777777" w:rsidR="00DF0154" w:rsidRDefault="00DF0154" w:rsidP="00201DCD">
            <w:pPr>
              <w:rPr>
                <w:rFonts w:eastAsiaTheme="minorHAnsi"/>
                <w:b/>
                <w:bCs/>
                <w:color w:val="000000"/>
                <w:sz w:val="22"/>
                <w:szCs w:val="22"/>
                <w:lang w:eastAsia="en-US"/>
              </w:rPr>
            </w:pPr>
          </w:p>
          <w:p w14:paraId="19B5F4A1" w14:textId="77777777" w:rsidR="00DF0154" w:rsidRDefault="00DF0154" w:rsidP="00201DCD">
            <w:pPr>
              <w:rPr>
                <w:rFonts w:eastAsiaTheme="minorHAnsi"/>
                <w:b/>
                <w:bCs/>
                <w:color w:val="000000"/>
                <w:sz w:val="22"/>
                <w:szCs w:val="22"/>
                <w:lang w:eastAsia="en-US"/>
              </w:rPr>
            </w:pPr>
          </w:p>
          <w:p w14:paraId="737E98F2" w14:textId="77777777" w:rsidR="00DF0154" w:rsidRDefault="00DF0154" w:rsidP="00201DCD">
            <w:pPr>
              <w:rPr>
                <w:rFonts w:eastAsiaTheme="minorHAnsi"/>
                <w:b/>
                <w:bCs/>
                <w:color w:val="000000"/>
                <w:sz w:val="22"/>
                <w:szCs w:val="22"/>
                <w:lang w:eastAsia="en-US"/>
              </w:rPr>
            </w:pPr>
          </w:p>
          <w:p w14:paraId="58B21C63" w14:textId="77777777" w:rsidR="00DF0154" w:rsidRDefault="00DF0154" w:rsidP="00201DCD">
            <w:pPr>
              <w:rPr>
                <w:rFonts w:eastAsiaTheme="minorHAnsi"/>
                <w:b/>
                <w:bCs/>
                <w:color w:val="000000"/>
                <w:sz w:val="22"/>
                <w:szCs w:val="22"/>
                <w:lang w:eastAsia="en-US"/>
              </w:rPr>
            </w:pPr>
          </w:p>
          <w:p w14:paraId="1676227C" w14:textId="77777777" w:rsidR="00DF0154" w:rsidRDefault="00DF0154" w:rsidP="00201DCD">
            <w:pPr>
              <w:rPr>
                <w:rFonts w:eastAsiaTheme="minorHAnsi"/>
                <w:b/>
                <w:bCs/>
                <w:color w:val="000000"/>
                <w:sz w:val="22"/>
                <w:szCs w:val="22"/>
                <w:lang w:eastAsia="en-US"/>
              </w:rPr>
            </w:pPr>
          </w:p>
          <w:p w14:paraId="5708B485" w14:textId="4D15B421" w:rsidR="00DF0154" w:rsidRPr="003539A5" w:rsidRDefault="00DF0154" w:rsidP="00201DCD">
            <w:pPr>
              <w:rPr>
                <w:rFonts w:eastAsiaTheme="minorHAnsi"/>
                <w:b/>
                <w:bCs/>
                <w:color w:val="000000"/>
                <w:sz w:val="22"/>
                <w:szCs w:val="22"/>
                <w:lang w:eastAsia="en-US"/>
              </w:rPr>
            </w:pPr>
          </w:p>
        </w:tc>
      </w:tr>
      <w:tr w:rsidR="00D87D66" w:rsidRPr="003539A5" w14:paraId="55FDDA9F" w14:textId="77777777" w:rsidTr="00DF0154">
        <w:tc>
          <w:tcPr>
            <w:tcW w:w="567" w:type="dxa"/>
          </w:tcPr>
          <w:p w14:paraId="6292CA22" w14:textId="6685394A" w:rsidR="00D87D66" w:rsidRPr="003539A5" w:rsidRDefault="00D87D66" w:rsidP="00C5706E">
            <w:pPr>
              <w:tabs>
                <w:tab w:val="left" w:pos="1701"/>
              </w:tabs>
              <w:rPr>
                <w:b/>
                <w:snapToGrid w:val="0"/>
                <w:sz w:val="22"/>
                <w:szCs w:val="22"/>
              </w:rPr>
            </w:pPr>
            <w:r w:rsidRPr="003539A5">
              <w:rPr>
                <w:b/>
                <w:snapToGrid w:val="0"/>
                <w:sz w:val="22"/>
                <w:szCs w:val="22"/>
              </w:rPr>
              <w:lastRenderedPageBreak/>
              <w:t xml:space="preserve">§ </w:t>
            </w:r>
            <w:r w:rsidR="000E5611" w:rsidRPr="003539A5">
              <w:rPr>
                <w:b/>
                <w:snapToGrid w:val="0"/>
                <w:sz w:val="22"/>
                <w:szCs w:val="22"/>
              </w:rPr>
              <w:t>1</w:t>
            </w:r>
            <w:r w:rsidR="00701DE5">
              <w:rPr>
                <w:b/>
                <w:snapToGrid w:val="0"/>
                <w:sz w:val="22"/>
                <w:szCs w:val="22"/>
              </w:rPr>
              <w:t>4</w:t>
            </w:r>
          </w:p>
        </w:tc>
        <w:tc>
          <w:tcPr>
            <w:tcW w:w="6946" w:type="dxa"/>
            <w:gridSpan w:val="2"/>
          </w:tcPr>
          <w:p w14:paraId="34615E88" w14:textId="77777777" w:rsidR="00D87D66" w:rsidRPr="003539A5" w:rsidRDefault="005957E5" w:rsidP="002A14AC">
            <w:pPr>
              <w:rPr>
                <w:rFonts w:eastAsiaTheme="minorHAnsi"/>
                <w:bCs/>
                <w:color w:val="000000"/>
                <w:sz w:val="22"/>
                <w:szCs w:val="22"/>
                <w:lang w:eastAsia="en-US"/>
              </w:rPr>
            </w:pPr>
            <w:r w:rsidRPr="003539A5">
              <w:rPr>
                <w:b/>
                <w:bCs/>
                <w:color w:val="000000"/>
                <w:sz w:val="22"/>
                <w:szCs w:val="22"/>
              </w:rPr>
              <w:t>Nästa sammanträde</w:t>
            </w:r>
          </w:p>
          <w:p w14:paraId="16745BA1" w14:textId="77777777" w:rsidR="00D87D66" w:rsidRPr="003539A5" w:rsidRDefault="00D87D66" w:rsidP="002A14AC">
            <w:pPr>
              <w:rPr>
                <w:rFonts w:eastAsiaTheme="minorHAnsi"/>
                <w:bCs/>
                <w:color w:val="000000"/>
                <w:sz w:val="22"/>
                <w:szCs w:val="22"/>
                <w:lang w:eastAsia="en-US"/>
              </w:rPr>
            </w:pPr>
          </w:p>
          <w:p w14:paraId="08EBE943" w14:textId="37E59174" w:rsidR="005957E5" w:rsidRPr="003539A5" w:rsidRDefault="005957E5" w:rsidP="002A14AC">
            <w:pPr>
              <w:rPr>
                <w:snapToGrid w:val="0"/>
                <w:sz w:val="22"/>
                <w:szCs w:val="22"/>
              </w:rPr>
            </w:pPr>
            <w:r w:rsidRPr="003539A5">
              <w:rPr>
                <w:snapToGrid w:val="0"/>
                <w:sz w:val="22"/>
                <w:szCs w:val="22"/>
              </w:rPr>
              <w:t xml:space="preserve">Nästa sammanträde äger rum </w:t>
            </w:r>
            <w:r w:rsidR="008E6B40" w:rsidRPr="003539A5">
              <w:rPr>
                <w:snapToGrid w:val="0"/>
                <w:sz w:val="22"/>
                <w:szCs w:val="22"/>
              </w:rPr>
              <w:t>t</w:t>
            </w:r>
            <w:r w:rsidR="0040164F" w:rsidRPr="003539A5">
              <w:rPr>
                <w:snapToGrid w:val="0"/>
                <w:sz w:val="22"/>
                <w:szCs w:val="22"/>
              </w:rPr>
              <w:t>i</w:t>
            </w:r>
            <w:r w:rsidR="008E6B40" w:rsidRPr="003539A5">
              <w:rPr>
                <w:snapToGrid w:val="0"/>
                <w:sz w:val="22"/>
                <w:szCs w:val="22"/>
              </w:rPr>
              <w:t>s</w:t>
            </w:r>
            <w:r w:rsidRPr="003539A5">
              <w:rPr>
                <w:snapToGrid w:val="0"/>
                <w:sz w:val="22"/>
                <w:szCs w:val="22"/>
              </w:rPr>
              <w:t>dagen den</w:t>
            </w:r>
            <w:r w:rsidR="008E6B40" w:rsidRPr="003539A5">
              <w:rPr>
                <w:snapToGrid w:val="0"/>
                <w:sz w:val="22"/>
                <w:szCs w:val="22"/>
              </w:rPr>
              <w:t xml:space="preserve"> </w:t>
            </w:r>
            <w:r w:rsidR="0040164F" w:rsidRPr="003539A5">
              <w:rPr>
                <w:snapToGrid w:val="0"/>
                <w:sz w:val="22"/>
                <w:szCs w:val="22"/>
              </w:rPr>
              <w:t xml:space="preserve">18 </w:t>
            </w:r>
            <w:r w:rsidR="00041991" w:rsidRPr="003539A5">
              <w:rPr>
                <w:snapToGrid w:val="0"/>
                <w:sz w:val="22"/>
                <w:szCs w:val="22"/>
              </w:rPr>
              <w:t>oktober</w:t>
            </w:r>
            <w:r w:rsidR="00CB71B9" w:rsidRPr="003539A5">
              <w:rPr>
                <w:snapToGrid w:val="0"/>
                <w:sz w:val="22"/>
                <w:szCs w:val="22"/>
              </w:rPr>
              <w:t xml:space="preserve"> 202</w:t>
            </w:r>
            <w:r w:rsidR="008E6B40" w:rsidRPr="003539A5">
              <w:rPr>
                <w:snapToGrid w:val="0"/>
                <w:sz w:val="22"/>
                <w:szCs w:val="22"/>
              </w:rPr>
              <w:t>2</w:t>
            </w:r>
            <w:r w:rsidRPr="003539A5">
              <w:rPr>
                <w:snapToGrid w:val="0"/>
                <w:sz w:val="22"/>
                <w:szCs w:val="22"/>
              </w:rPr>
              <w:t xml:space="preserve"> kl. </w:t>
            </w:r>
            <w:r w:rsidR="0040164F" w:rsidRPr="003539A5">
              <w:rPr>
                <w:snapToGrid w:val="0"/>
                <w:sz w:val="22"/>
                <w:szCs w:val="22"/>
              </w:rPr>
              <w:t>11</w:t>
            </w:r>
            <w:r w:rsidR="00B664F7" w:rsidRPr="003539A5">
              <w:rPr>
                <w:snapToGrid w:val="0"/>
                <w:sz w:val="22"/>
                <w:szCs w:val="22"/>
              </w:rPr>
              <w:t>.00</w:t>
            </w:r>
            <w:r w:rsidR="00996E2F">
              <w:rPr>
                <w:snapToGrid w:val="0"/>
                <w:sz w:val="22"/>
                <w:szCs w:val="22"/>
              </w:rPr>
              <w:t>.</w:t>
            </w:r>
          </w:p>
          <w:p w14:paraId="5D60648A" w14:textId="77777777" w:rsidR="005957E5" w:rsidRPr="003539A5" w:rsidRDefault="005957E5" w:rsidP="002A14AC">
            <w:pPr>
              <w:rPr>
                <w:rFonts w:eastAsiaTheme="minorHAnsi"/>
                <w:bCs/>
                <w:color w:val="000000"/>
                <w:sz w:val="22"/>
                <w:szCs w:val="22"/>
                <w:lang w:eastAsia="en-US"/>
              </w:rPr>
            </w:pPr>
          </w:p>
        </w:tc>
      </w:tr>
      <w:tr w:rsidR="00D5250E" w:rsidRPr="000E5611" w14:paraId="179CF623" w14:textId="77777777" w:rsidTr="00DF0154">
        <w:trPr>
          <w:gridAfter w:val="1"/>
          <w:wAfter w:w="357" w:type="dxa"/>
        </w:trPr>
        <w:tc>
          <w:tcPr>
            <w:tcW w:w="7156" w:type="dxa"/>
            <w:gridSpan w:val="2"/>
          </w:tcPr>
          <w:p w14:paraId="0060A65A" w14:textId="6F6B4A63" w:rsidR="00D5250E" w:rsidRPr="003539A5" w:rsidRDefault="00DF0154" w:rsidP="00D5250E">
            <w:pPr>
              <w:tabs>
                <w:tab w:val="left" w:pos="1701"/>
              </w:tabs>
              <w:rPr>
                <w:sz w:val="22"/>
                <w:szCs w:val="22"/>
              </w:rPr>
            </w:pPr>
            <w:r>
              <w:br w:type="page"/>
            </w:r>
            <w:r w:rsidR="00D5250E" w:rsidRPr="003539A5">
              <w:rPr>
                <w:sz w:val="22"/>
                <w:szCs w:val="22"/>
              </w:rPr>
              <w:t>Vid protokollet</w:t>
            </w:r>
          </w:p>
          <w:p w14:paraId="16DA6BD1" w14:textId="726F4377" w:rsidR="00D5250E" w:rsidRDefault="00D5250E" w:rsidP="00D5250E">
            <w:pPr>
              <w:tabs>
                <w:tab w:val="left" w:pos="1701"/>
              </w:tabs>
              <w:rPr>
                <w:sz w:val="22"/>
                <w:szCs w:val="22"/>
              </w:rPr>
            </w:pPr>
          </w:p>
          <w:p w14:paraId="317C173B" w14:textId="0093F499" w:rsidR="00DF0154" w:rsidRDefault="00DF0154" w:rsidP="00D5250E">
            <w:pPr>
              <w:tabs>
                <w:tab w:val="left" w:pos="1701"/>
              </w:tabs>
              <w:rPr>
                <w:sz w:val="22"/>
                <w:szCs w:val="22"/>
              </w:rPr>
            </w:pPr>
          </w:p>
          <w:p w14:paraId="471B53F8" w14:textId="77777777" w:rsidR="00DF0154" w:rsidRPr="003539A5" w:rsidRDefault="00DF0154" w:rsidP="00D5250E">
            <w:pPr>
              <w:tabs>
                <w:tab w:val="left" w:pos="1701"/>
              </w:tabs>
              <w:rPr>
                <w:sz w:val="22"/>
                <w:szCs w:val="22"/>
              </w:rPr>
            </w:pPr>
          </w:p>
          <w:p w14:paraId="012193D8" w14:textId="77777777" w:rsidR="00F143DB" w:rsidRDefault="00D5250E" w:rsidP="002127BD">
            <w:pPr>
              <w:tabs>
                <w:tab w:val="left" w:pos="1701"/>
              </w:tabs>
              <w:rPr>
                <w:sz w:val="22"/>
                <w:szCs w:val="22"/>
              </w:rPr>
            </w:pPr>
            <w:r w:rsidRPr="003539A5">
              <w:rPr>
                <w:sz w:val="22"/>
                <w:szCs w:val="22"/>
              </w:rPr>
              <w:t>Justeras den</w:t>
            </w:r>
            <w:r w:rsidR="00041991" w:rsidRPr="003539A5">
              <w:rPr>
                <w:sz w:val="22"/>
                <w:szCs w:val="22"/>
              </w:rPr>
              <w:t xml:space="preserve"> </w:t>
            </w:r>
            <w:r w:rsidR="0040164F" w:rsidRPr="003539A5">
              <w:rPr>
                <w:sz w:val="22"/>
                <w:szCs w:val="22"/>
              </w:rPr>
              <w:t>20</w:t>
            </w:r>
            <w:r w:rsidR="00041991" w:rsidRPr="003539A5">
              <w:rPr>
                <w:sz w:val="22"/>
                <w:szCs w:val="22"/>
              </w:rPr>
              <w:t xml:space="preserve"> oktober</w:t>
            </w:r>
            <w:r w:rsidR="00CB71B9" w:rsidRPr="003539A5">
              <w:rPr>
                <w:sz w:val="22"/>
                <w:szCs w:val="22"/>
              </w:rPr>
              <w:t xml:space="preserve"> 202</w:t>
            </w:r>
            <w:r w:rsidR="008E6B40" w:rsidRPr="003539A5">
              <w:rPr>
                <w:sz w:val="22"/>
                <w:szCs w:val="22"/>
              </w:rPr>
              <w:t>2</w:t>
            </w:r>
          </w:p>
          <w:p w14:paraId="0275CA8F" w14:textId="7E712862" w:rsidR="00DF0154" w:rsidRDefault="00DF0154" w:rsidP="002127BD">
            <w:pPr>
              <w:tabs>
                <w:tab w:val="left" w:pos="1701"/>
              </w:tabs>
              <w:rPr>
                <w:sz w:val="22"/>
                <w:szCs w:val="22"/>
              </w:rPr>
            </w:pPr>
          </w:p>
          <w:p w14:paraId="5627345B" w14:textId="77777777" w:rsidR="00DF0154" w:rsidRDefault="00DF0154" w:rsidP="002127BD">
            <w:pPr>
              <w:tabs>
                <w:tab w:val="left" w:pos="1701"/>
              </w:tabs>
              <w:rPr>
                <w:sz w:val="22"/>
                <w:szCs w:val="22"/>
              </w:rPr>
            </w:pPr>
          </w:p>
          <w:p w14:paraId="240AA2F0" w14:textId="77777777" w:rsidR="00DF0154" w:rsidRDefault="00DF0154" w:rsidP="002127BD">
            <w:pPr>
              <w:tabs>
                <w:tab w:val="left" w:pos="1701"/>
              </w:tabs>
              <w:rPr>
                <w:sz w:val="22"/>
                <w:szCs w:val="22"/>
              </w:rPr>
            </w:pPr>
          </w:p>
          <w:p w14:paraId="67BEA3C0" w14:textId="395E51A7" w:rsidR="00DF0154" w:rsidRPr="000E5611" w:rsidRDefault="00DF0154" w:rsidP="002127BD">
            <w:pPr>
              <w:tabs>
                <w:tab w:val="left" w:pos="1701"/>
              </w:tabs>
              <w:rPr>
                <w:sz w:val="22"/>
                <w:szCs w:val="22"/>
              </w:rPr>
            </w:pPr>
            <w:r>
              <w:rPr>
                <w:sz w:val="22"/>
                <w:szCs w:val="22"/>
              </w:rPr>
              <w:t>Emma Nohrén</w:t>
            </w:r>
          </w:p>
        </w:tc>
      </w:tr>
    </w:tbl>
    <w:p w14:paraId="68A400FE" w14:textId="77777777" w:rsidR="00DF0154" w:rsidRDefault="00DF0154">
      <w:r>
        <w:br w:type="page"/>
      </w:r>
    </w:p>
    <w:tbl>
      <w:tblPr>
        <w:tblW w:w="9353" w:type="dxa"/>
        <w:tblInd w:w="-709" w:type="dxa"/>
        <w:tblLayout w:type="fixed"/>
        <w:tblCellMar>
          <w:left w:w="70" w:type="dxa"/>
          <w:right w:w="70" w:type="dxa"/>
        </w:tblCellMar>
        <w:tblLook w:val="00A0" w:firstRow="1" w:lastRow="0" w:firstColumn="1" w:lastColumn="0" w:noHBand="0" w:noVBand="0"/>
      </w:tblPr>
      <w:tblGrid>
        <w:gridCol w:w="2197"/>
        <w:gridCol w:w="1772"/>
        <w:gridCol w:w="425"/>
        <w:gridCol w:w="425"/>
        <w:gridCol w:w="426"/>
        <w:gridCol w:w="425"/>
        <w:gridCol w:w="425"/>
        <w:gridCol w:w="425"/>
        <w:gridCol w:w="426"/>
        <w:gridCol w:w="283"/>
        <w:gridCol w:w="142"/>
        <w:gridCol w:w="425"/>
        <w:gridCol w:w="425"/>
        <w:gridCol w:w="425"/>
        <w:gridCol w:w="426"/>
        <w:gridCol w:w="142"/>
        <w:gridCol w:w="139"/>
      </w:tblGrid>
      <w:tr w:rsidR="00DF0154" w:rsidRPr="000E5611" w14:paraId="2CEAB864" w14:textId="77777777" w:rsidTr="00DF0154">
        <w:trPr>
          <w:gridBefore w:val="1"/>
          <w:wBefore w:w="2197" w:type="dxa"/>
        </w:trPr>
        <w:tc>
          <w:tcPr>
            <w:tcW w:w="7156" w:type="dxa"/>
            <w:gridSpan w:val="16"/>
          </w:tcPr>
          <w:p w14:paraId="40F25D1B" w14:textId="43B0972A" w:rsidR="00DF0154" w:rsidRPr="003539A5" w:rsidRDefault="00DF0154" w:rsidP="00D5250E">
            <w:pPr>
              <w:tabs>
                <w:tab w:val="left" w:pos="1701"/>
              </w:tabs>
              <w:rPr>
                <w:sz w:val="22"/>
                <w:szCs w:val="22"/>
              </w:rPr>
            </w:pPr>
          </w:p>
        </w:tc>
      </w:tr>
      <w:tr w:rsidR="00C25E0A" w:rsidRPr="00B40F4D" w14:paraId="49E03515" w14:textId="77777777" w:rsidTr="00DF01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81" w:type="dxa"/>
        </w:trPr>
        <w:tc>
          <w:tcPr>
            <w:tcW w:w="3969" w:type="dxa"/>
            <w:gridSpan w:val="2"/>
            <w:tcBorders>
              <w:top w:val="nil"/>
              <w:left w:val="nil"/>
              <w:bottom w:val="nil"/>
              <w:right w:val="nil"/>
            </w:tcBorders>
          </w:tcPr>
          <w:p w14:paraId="158F6373" w14:textId="77777777" w:rsidR="00C25E0A" w:rsidRPr="00B40F4D" w:rsidRDefault="00C25E0A" w:rsidP="001B5C1C">
            <w:pPr>
              <w:tabs>
                <w:tab w:val="left" w:pos="1701"/>
              </w:tabs>
              <w:rPr>
                <w:sz w:val="22"/>
                <w:szCs w:val="22"/>
              </w:rPr>
            </w:pPr>
            <w:r w:rsidRPr="00B40F4D">
              <w:rPr>
                <w:sz w:val="22"/>
                <w:szCs w:val="22"/>
              </w:rPr>
              <w:br w:type="page"/>
            </w:r>
            <w:r w:rsidRPr="00B40F4D">
              <w:rPr>
                <w:sz w:val="22"/>
                <w:szCs w:val="22"/>
              </w:rPr>
              <w:br w:type="page"/>
              <w:t>MILJÖ- OCH JORDBRUKS- UTSKOTTET</w:t>
            </w:r>
          </w:p>
        </w:tc>
        <w:tc>
          <w:tcPr>
            <w:tcW w:w="3260" w:type="dxa"/>
            <w:gridSpan w:val="8"/>
            <w:tcBorders>
              <w:top w:val="nil"/>
              <w:left w:val="nil"/>
              <w:bottom w:val="nil"/>
              <w:right w:val="nil"/>
            </w:tcBorders>
          </w:tcPr>
          <w:p w14:paraId="38E6E129" w14:textId="77777777" w:rsidR="00C25E0A" w:rsidRPr="00B40F4D" w:rsidRDefault="00C25E0A" w:rsidP="001B5C1C">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C58A615" w14:textId="77777777" w:rsidR="00C25E0A" w:rsidRPr="00B40F4D" w:rsidRDefault="00C25E0A" w:rsidP="001B5C1C">
            <w:pPr>
              <w:tabs>
                <w:tab w:val="left" w:pos="1701"/>
              </w:tabs>
              <w:rPr>
                <w:sz w:val="22"/>
                <w:szCs w:val="22"/>
              </w:rPr>
            </w:pPr>
            <w:r w:rsidRPr="00B40F4D">
              <w:rPr>
                <w:b/>
                <w:sz w:val="22"/>
                <w:szCs w:val="22"/>
              </w:rPr>
              <w:t xml:space="preserve">Bilaga 1 </w:t>
            </w:r>
            <w:r w:rsidRPr="00B40F4D">
              <w:rPr>
                <w:sz w:val="22"/>
                <w:szCs w:val="22"/>
              </w:rPr>
              <w:t xml:space="preserve">till </w:t>
            </w:r>
          </w:p>
          <w:p w14:paraId="3FE83258" w14:textId="3373EF31" w:rsidR="00C25E0A" w:rsidRPr="00B40F4D" w:rsidRDefault="00C25E0A" w:rsidP="001B5C1C">
            <w:pPr>
              <w:tabs>
                <w:tab w:val="left" w:pos="1701"/>
              </w:tabs>
              <w:rPr>
                <w:sz w:val="22"/>
                <w:szCs w:val="22"/>
              </w:rPr>
            </w:pPr>
            <w:r w:rsidRPr="00B40F4D">
              <w:rPr>
                <w:sz w:val="22"/>
                <w:szCs w:val="22"/>
              </w:rPr>
              <w:t>prot. 20</w:t>
            </w:r>
            <w:r>
              <w:rPr>
                <w:sz w:val="22"/>
                <w:szCs w:val="22"/>
              </w:rPr>
              <w:t>22</w:t>
            </w:r>
            <w:r w:rsidRPr="00B40F4D">
              <w:rPr>
                <w:sz w:val="22"/>
                <w:szCs w:val="22"/>
              </w:rPr>
              <w:t>/2</w:t>
            </w:r>
            <w:r>
              <w:rPr>
                <w:sz w:val="22"/>
                <w:szCs w:val="22"/>
              </w:rPr>
              <w:t>3</w:t>
            </w:r>
            <w:r w:rsidRPr="00B40F4D">
              <w:rPr>
                <w:sz w:val="22"/>
                <w:szCs w:val="22"/>
              </w:rPr>
              <w:t>:</w:t>
            </w:r>
            <w:r w:rsidR="00302E69">
              <w:rPr>
                <w:sz w:val="22"/>
                <w:szCs w:val="22"/>
              </w:rPr>
              <w:t>2</w:t>
            </w:r>
          </w:p>
        </w:tc>
      </w:tr>
      <w:tr w:rsidR="00C25E0A" w:rsidRPr="00B40F4D" w14:paraId="41EA03EA" w14:textId="77777777" w:rsidTr="00DF0154">
        <w:tblPrEx>
          <w:tblLook w:val="0000" w:firstRow="0" w:lastRow="0" w:firstColumn="0" w:lastColumn="0" w:noHBand="0" w:noVBand="0"/>
        </w:tblPrEx>
        <w:trPr>
          <w:gridAfter w:val="2"/>
          <w:wAfter w:w="281" w:type="dxa"/>
          <w:cantSplit/>
        </w:trPr>
        <w:tc>
          <w:tcPr>
            <w:tcW w:w="3969" w:type="dxa"/>
            <w:gridSpan w:val="2"/>
            <w:tcBorders>
              <w:top w:val="single" w:sz="6" w:space="0" w:color="auto"/>
              <w:left w:val="single" w:sz="6" w:space="0" w:color="auto"/>
              <w:bottom w:val="single" w:sz="6" w:space="0" w:color="auto"/>
              <w:right w:val="single" w:sz="6" w:space="0" w:color="auto"/>
            </w:tcBorders>
          </w:tcPr>
          <w:p w14:paraId="39613BAC"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623B158A" w14:textId="583C1C0E"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 – 2</w:t>
            </w:r>
          </w:p>
        </w:tc>
        <w:tc>
          <w:tcPr>
            <w:tcW w:w="851" w:type="dxa"/>
            <w:gridSpan w:val="2"/>
            <w:tcBorders>
              <w:top w:val="single" w:sz="6" w:space="0" w:color="auto"/>
              <w:left w:val="single" w:sz="6" w:space="0" w:color="auto"/>
              <w:bottom w:val="single" w:sz="6" w:space="0" w:color="auto"/>
              <w:right w:val="single" w:sz="6" w:space="0" w:color="auto"/>
            </w:tcBorders>
          </w:tcPr>
          <w:p w14:paraId="0FB64A18" w14:textId="497F6EA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E81845">
              <w:rPr>
                <w:sz w:val="22"/>
                <w:szCs w:val="22"/>
              </w:rPr>
              <w:t>§ 3</w:t>
            </w:r>
          </w:p>
        </w:tc>
        <w:tc>
          <w:tcPr>
            <w:tcW w:w="850" w:type="dxa"/>
            <w:gridSpan w:val="2"/>
            <w:tcBorders>
              <w:top w:val="single" w:sz="6" w:space="0" w:color="auto"/>
              <w:left w:val="single" w:sz="6" w:space="0" w:color="auto"/>
              <w:bottom w:val="single" w:sz="6" w:space="0" w:color="auto"/>
              <w:right w:val="single" w:sz="6" w:space="0" w:color="auto"/>
            </w:tcBorders>
          </w:tcPr>
          <w:p w14:paraId="5F4530F7" w14:textId="14CBD705"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00332408">
              <w:rPr>
                <w:sz w:val="22"/>
                <w:szCs w:val="22"/>
              </w:rPr>
              <w:t>4</w:t>
            </w:r>
            <w:r w:rsidR="004C7BEC">
              <w:rPr>
                <w:sz w:val="22"/>
                <w:szCs w:val="22"/>
              </w:rPr>
              <w:t xml:space="preserve"> – 5</w:t>
            </w:r>
          </w:p>
        </w:tc>
        <w:tc>
          <w:tcPr>
            <w:tcW w:w="851" w:type="dxa"/>
            <w:gridSpan w:val="3"/>
            <w:tcBorders>
              <w:top w:val="single" w:sz="6" w:space="0" w:color="auto"/>
              <w:left w:val="single" w:sz="6" w:space="0" w:color="auto"/>
              <w:bottom w:val="single" w:sz="6" w:space="0" w:color="auto"/>
              <w:right w:val="single" w:sz="6" w:space="0" w:color="auto"/>
            </w:tcBorders>
          </w:tcPr>
          <w:p w14:paraId="7C74610C" w14:textId="30C657ED"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6</w:t>
            </w:r>
          </w:p>
        </w:tc>
        <w:tc>
          <w:tcPr>
            <w:tcW w:w="850" w:type="dxa"/>
            <w:gridSpan w:val="2"/>
            <w:tcBorders>
              <w:top w:val="single" w:sz="6" w:space="0" w:color="auto"/>
              <w:left w:val="single" w:sz="6" w:space="0" w:color="auto"/>
              <w:bottom w:val="single" w:sz="6" w:space="0" w:color="auto"/>
              <w:right w:val="single" w:sz="6" w:space="0" w:color="auto"/>
            </w:tcBorders>
          </w:tcPr>
          <w:p w14:paraId="17BC0A17" w14:textId="6AD9F94F"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7 – 8</w:t>
            </w:r>
          </w:p>
        </w:tc>
        <w:tc>
          <w:tcPr>
            <w:tcW w:w="851" w:type="dxa"/>
            <w:gridSpan w:val="2"/>
            <w:tcBorders>
              <w:top w:val="single" w:sz="6" w:space="0" w:color="auto"/>
              <w:left w:val="single" w:sz="6" w:space="0" w:color="auto"/>
              <w:bottom w:val="single" w:sz="6" w:space="0" w:color="auto"/>
              <w:right w:val="single" w:sz="6" w:space="0" w:color="auto"/>
            </w:tcBorders>
          </w:tcPr>
          <w:p w14:paraId="23DBCA3B" w14:textId="1477B798"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9</w:t>
            </w:r>
            <w:r w:rsidR="00996E2F">
              <w:rPr>
                <w:sz w:val="22"/>
                <w:szCs w:val="22"/>
              </w:rPr>
              <w:t xml:space="preserve"> – 14</w:t>
            </w:r>
          </w:p>
        </w:tc>
      </w:tr>
      <w:tr w:rsidR="00C25E0A" w:rsidRPr="00B40F4D" w14:paraId="17E85897"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49A4F09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57AF913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0564126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6B22BE3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2EE7A0FE"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0717EA7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B8BC2C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7BBC58C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03A6E09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40335C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7A34131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ACCA7AE"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584987B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C25E0A" w:rsidRPr="00B40F4D" w14:paraId="220FDB8E"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479B5BEB" w14:textId="77777777" w:rsidR="00C25E0A" w:rsidRPr="00070A5C" w:rsidRDefault="00C25E0A" w:rsidP="001B5C1C">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2E220FA7" w14:textId="01ABFB81" w:rsidR="00C25E0A" w:rsidRPr="00B40F4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BBF45DE"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E84B70" w14:textId="150D3C13"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A2CFD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0C683B" w14:textId="38C4D708"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D07ACA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782B75" w14:textId="4427DA4B"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1F2813B4"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89EF4" w14:textId="1AD413CC"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746EA2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92C400" w14:textId="4FCAEBBA" w:rsidR="00C25E0A" w:rsidRPr="00B40F4D" w:rsidRDefault="00996E2F"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775ECF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302E69" w14:paraId="4772000B"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55668FAE" w14:textId="77777777" w:rsidR="00C25E0A" w:rsidRPr="006A6B9D" w:rsidRDefault="00C25E0A" w:rsidP="001B5C1C">
            <w:pPr>
              <w:spacing w:line="256" w:lineRule="auto"/>
              <w:rPr>
                <w:sz w:val="22"/>
                <w:szCs w:val="22"/>
                <w:lang w:val="en-GB" w:eastAsia="en-US"/>
              </w:rPr>
            </w:pPr>
            <w:r w:rsidRPr="006A6B9D">
              <w:rPr>
                <w:sz w:val="22"/>
                <w:szCs w:val="22"/>
                <w:lang w:val="en-GB" w:eastAsia="en-US"/>
              </w:rPr>
              <w:t>Kjell-Arne Ottosson (KD), vice ordf.</w:t>
            </w:r>
          </w:p>
        </w:tc>
        <w:tc>
          <w:tcPr>
            <w:tcW w:w="425" w:type="dxa"/>
            <w:tcBorders>
              <w:top w:val="single" w:sz="6" w:space="0" w:color="auto"/>
              <w:left w:val="single" w:sz="6" w:space="0" w:color="auto"/>
              <w:bottom w:val="single" w:sz="6" w:space="0" w:color="auto"/>
              <w:right w:val="single" w:sz="6" w:space="0" w:color="auto"/>
            </w:tcBorders>
          </w:tcPr>
          <w:p w14:paraId="5AA2EFC9" w14:textId="3DDC3488" w:rsidR="00C25E0A" w:rsidRPr="006A6B9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37D5C93D" w14:textId="77777777" w:rsidR="00C25E0A" w:rsidRPr="006A6B9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F95ED1F" w14:textId="37C66976" w:rsidR="00C25E0A" w:rsidRPr="006A6B9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B68E6F" w14:textId="77777777" w:rsidR="00C25E0A" w:rsidRPr="006A6B9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7831FCD" w14:textId="727A29FE" w:rsidR="00C25E0A" w:rsidRPr="006A6B9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C67CF64" w14:textId="77777777" w:rsidR="00C25E0A" w:rsidRPr="006A6B9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58C19F4" w14:textId="47EE35C1" w:rsidR="00C25E0A" w:rsidRPr="006A6B9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3ACC6B53" w14:textId="77777777" w:rsidR="00C25E0A" w:rsidRPr="006A6B9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F3E2625" w14:textId="550847A2" w:rsidR="00C25E0A" w:rsidRPr="006A6B9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E4A2EDD" w14:textId="77777777" w:rsidR="00C25E0A" w:rsidRPr="006A6B9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EF48A76" w14:textId="36C2308A" w:rsidR="00C25E0A" w:rsidRPr="006A6B9D" w:rsidRDefault="00996E2F"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267090DC" w14:textId="77777777" w:rsidR="00C25E0A" w:rsidRPr="006A6B9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C25E0A" w:rsidRPr="006B38D7" w14:paraId="23208452"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7B7881B4" w14:textId="77777777" w:rsidR="00C25E0A" w:rsidRPr="006A6B9D" w:rsidRDefault="00C25E0A" w:rsidP="001B5C1C">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914E32E" w14:textId="0F2E910F" w:rsidR="00C25E0A" w:rsidRPr="006A6B9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115C413E" w14:textId="77777777" w:rsidR="00C25E0A" w:rsidRPr="006A6B9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B3F9FB9" w14:textId="51C8B56C" w:rsidR="00C25E0A" w:rsidRPr="006A6B9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2DF3886" w14:textId="77777777" w:rsidR="00C25E0A" w:rsidRPr="006A6B9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8884EFC" w14:textId="53A9D82E" w:rsidR="00C25E0A" w:rsidRPr="006A6B9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204AFF60" w14:textId="77777777" w:rsidR="00C25E0A" w:rsidRPr="006A6B9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833DA04" w14:textId="18910408" w:rsidR="00C25E0A" w:rsidRPr="006A6B9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783FCAFA" w14:textId="77777777" w:rsidR="00C25E0A" w:rsidRPr="006A6B9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25ADF04" w14:textId="39B0F97A" w:rsidR="00C25E0A" w:rsidRPr="006A6B9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332A8295" w14:textId="77777777" w:rsidR="00C25E0A" w:rsidRPr="006A6B9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0E057B6" w14:textId="52CCDC2C" w:rsidR="00C25E0A" w:rsidRPr="006A6B9D" w:rsidRDefault="00996E2F"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3991A2D4" w14:textId="77777777" w:rsidR="00C25E0A" w:rsidRPr="006A6B9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C25E0A" w:rsidRPr="006B38D7" w14:paraId="44D265A3"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318112E9" w14:textId="77777777" w:rsidR="00C25E0A" w:rsidRPr="005C4C18" w:rsidRDefault="00C25E0A" w:rsidP="001B5C1C">
            <w:pPr>
              <w:spacing w:line="256" w:lineRule="auto"/>
              <w:rPr>
                <w:sz w:val="22"/>
                <w:szCs w:val="22"/>
                <w:lang w:eastAsia="en-US"/>
              </w:rPr>
            </w:pPr>
            <w:r>
              <w:rPr>
                <w:sz w:val="22"/>
                <w:szCs w:val="22"/>
                <w:lang w:eastAsia="en-US"/>
              </w:rPr>
              <w:t>Lena Bäckelin</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3FBF354F" w14:textId="087FB8E1" w:rsidR="00C25E0A" w:rsidRPr="006A6B9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256CE82D" w14:textId="77777777" w:rsidR="00C25E0A" w:rsidRPr="006A6B9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E13BCF8" w14:textId="1BE4DD1C" w:rsidR="00C25E0A" w:rsidRPr="006A6B9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36455FE5" w14:textId="77777777" w:rsidR="00C25E0A" w:rsidRPr="006A6B9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E7C99F4" w14:textId="35D72D8F" w:rsidR="00C25E0A" w:rsidRPr="006A6B9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2D2ADD3D" w14:textId="77777777" w:rsidR="00C25E0A" w:rsidRPr="006A6B9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0763E75" w14:textId="0E54755C" w:rsidR="00C25E0A" w:rsidRPr="006A6B9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3346EB6B" w14:textId="77777777" w:rsidR="00C25E0A" w:rsidRPr="006A6B9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2C22457" w14:textId="555F9F2D" w:rsidR="00C25E0A" w:rsidRPr="006A6B9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2CF8E77C" w14:textId="77777777" w:rsidR="00C25E0A" w:rsidRPr="006A6B9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3D55DA1" w14:textId="18276D1D" w:rsidR="00C25E0A" w:rsidRPr="006A6B9D" w:rsidRDefault="00996E2F"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0B75E4AD" w14:textId="77777777" w:rsidR="00C25E0A" w:rsidRPr="006A6B9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C25E0A" w:rsidRPr="00917BEB" w14:paraId="44828EF5"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5691FF2C" w14:textId="77777777" w:rsidR="00C25E0A" w:rsidRPr="00B24B9D" w:rsidRDefault="00C25E0A" w:rsidP="001B5C1C">
            <w:pPr>
              <w:spacing w:line="256" w:lineRule="auto"/>
              <w:rPr>
                <w:sz w:val="22"/>
                <w:szCs w:val="22"/>
                <w:lang w:val="en-US" w:eastAsia="en-US"/>
              </w:rPr>
            </w:pPr>
            <w:r w:rsidRPr="00B40F4D">
              <w:rPr>
                <w:sz w:val="22"/>
                <w:szCs w:val="22"/>
                <w:lang w:val="en-US" w:eastAsia="en-US"/>
              </w:rPr>
              <w:t>Jessica Rosencrantz (M)</w:t>
            </w:r>
          </w:p>
        </w:tc>
        <w:tc>
          <w:tcPr>
            <w:tcW w:w="425" w:type="dxa"/>
            <w:tcBorders>
              <w:top w:val="single" w:sz="6" w:space="0" w:color="auto"/>
              <w:left w:val="single" w:sz="6" w:space="0" w:color="auto"/>
              <w:bottom w:val="single" w:sz="6" w:space="0" w:color="auto"/>
              <w:right w:val="single" w:sz="6" w:space="0" w:color="auto"/>
            </w:tcBorders>
          </w:tcPr>
          <w:p w14:paraId="39F71679" w14:textId="26E44DB5" w:rsidR="00C25E0A" w:rsidRPr="00B40F4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725F17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5ADC722" w14:textId="36032BBA"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6BD602E"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A1FB614" w14:textId="1AFBA06B"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6D98F049"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1F470440" w14:textId="592704B7"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027ADC1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E5A848C" w14:textId="506A63BA"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19BC40E"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FBD2BB9" w14:textId="3B919EF1" w:rsidR="00C25E0A" w:rsidRPr="00B40F4D" w:rsidRDefault="00996E2F"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57431B7E"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C25E0A" w:rsidRPr="00B40F4D" w14:paraId="0D85D05C"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5FB33334" w14:textId="77777777" w:rsidR="00C25E0A" w:rsidRPr="00B40F4D" w:rsidRDefault="00C25E0A" w:rsidP="001B5C1C">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78C048CC" w14:textId="1F85D48D" w:rsidR="00C25E0A" w:rsidRPr="00B40F4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3B5C46E"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3D6F6C" w14:textId="32B14D05"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2E87CAB"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037E78" w14:textId="4245D7B4"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D178CF9"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87FBF5" w14:textId="48ECC675"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3AD9B52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0685A2" w14:textId="1C80C35E"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417F1B"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B5EDD4" w14:textId="5C8B603C" w:rsidR="00C25E0A" w:rsidRPr="00B40F4D" w:rsidRDefault="00996E2F"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B71884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0C4A7FC8"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61970541" w14:textId="77777777" w:rsidR="00C25E0A" w:rsidRDefault="00C25E0A" w:rsidP="001B5C1C">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79B1726A" w14:textId="6C37D6BF" w:rsidR="00C25E0A" w:rsidRPr="00B40F4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77F4A9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E377C" w14:textId="56E49979"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8370B5"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878F5E" w14:textId="0C70DC07"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293EB2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B1277C" w14:textId="3E865883"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A44A49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6B78A5" w14:textId="12D3BD1A"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001D79"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776208" w14:textId="69F7D215" w:rsidR="00C25E0A" w:rsidRPr="00B40F4D" w:rsidRDefault="00996E2F"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65F893C9"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0CFD4D84"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2114D581" w14:textId="77777777" w:rsidR="00C25E0A" w:rsidRPr="005C4C18" w:rsidRDefault="00C25E0A" w:rsidP="001B5C1C">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374F7208" w14:textId="35366010" w:rsidR="00C25E0A" w:rsidRPr="00B40F4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DD6714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C47880" w14:textId="1AE09CF0"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A4F99E5"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CFC666" w14:textId="60B59E88"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FFB199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1163DC" w14:textId="42FE638B"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930DCF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9ACFAB" w14:textId="600A3AA7"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81DB35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75800C" w14:textId="63436C3C" w:rsidR="00C25E0A" w:rsidRPr="00B40F4D" w:rsidRDefault="00996E2F"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4BE20C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4B443415"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6C9369C9" w14:textId="77777777" w:rsidR="00C25E0A" w:rsidRPr="005C4C18" w:rsidRDefault="00C25E0A" w:rsidP="001B5C1C">
            <w:pPr>
              <w:spacing w:line="256" w:lineRule="auto"/>
              <w:rPr>
                <w:sz w:val="22"/>
                <w:szCs w:val="22"/>
                <w:lang w:eastAsia="en-US"/>
              </w:rPr>
            </w:pPr>
            <w:r w:rsidRPr="005C4C18">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14:paraId="6E4E43FF" w14:textId="02101743" w:rsidR="00C25E0A" w:rsidRPr="00B40F4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9370C4"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59F507" w14:textId="35F15ED5"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1A07FB"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B0D42C" w14:textId="328FA4C5"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7C840F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8727ADF" w14:textId="343DB00D"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3AE0ADEE"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7D5309" w14:textId="0378F8F4"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AE7565C"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E8FC4F" w14:textId="2C9C1643" w:rsidR="00C25E0A" w:rsidRPr="00B40F4D" w:rsidRDefault="00996E2F"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40244A5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768FDC77"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128EF2FB" w14:textId="77777777" w:rsidR="00C25E0A" w:rsidRPr="005C4C18" w:rsidRDefault="00C25E0A" w:rsidP="001B5C1C">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110C4980" w14:textId="3E5929D3" w:rsidR="00C25E0A" w:rsidRPr="00B40F4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F6C5D7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4A46EB" w14:textId="07CFDB56"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B8F710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F0C4BC" w14:textId="4BB0D97B"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7B81EE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87B156" w14:textId="3D97B36C"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9AAE30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4FCAE" w14:textId="0F226963"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4EE776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677C3D" w14:textId="7B0EC15B" w:rsidR="00C25E0A" w:rsidRPr="00B40F4D" w:rsidRDefault="00996E2F"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C16177C"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4D40D9F3"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0809BB24" w14:textId="77777777" w:rsidR="00C25E0A" w:rsidRPr="005C4C18" w:rsidRDefault="00C25E0A" w:rsidP="001B5C1C">
            <w:pPr>
              <w:spacing w:line="256" w:lineRule="auto"/>
              <w:rPr>
                <w:sz w:val="22"/>
                <w:szCs w:val="22"/>
                <w:lang w:eastAsia="en-US"/>
              </w:rPr>
            </w:pPr>
            <w:r>
              <w:rPr>
                <w:sz w:val="22"/>
                <w:szCs w:val="22"/>
                <w:lang w:eastAsia="en-US"/>
              </w:rPr>
              <w:t>Elsa Widding</w:t>
            </w:r>
            <w:r w:rsidRPr="005C4C18">
              <w:rPr>
                <w:sz w:val="22"/>
                <w:szCs w:val="22"/>
                <w:lang w:eastAsia="en-US"/>
              </w:rPr>
              <w:t xml:space="preserve"> (S</w:t>
            </w:r>
            <w:r>
              <w:rPr>
                <w:sz w:val="22"/>
                <w:szCs w:val="22"/>
                <w:lang w:eastAsia="en-US"/>
              </w:rPr>
              <w:t>D</w:t>
            </w:r>
            <w:r w:rsidRPr="005C4C18">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14:paraId="785D1BEE" w14:textId="7DA65E3D" w:rsidR="00C25E0A" w:rsidRPr="00B40F4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7058115"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35D3C7" w14:textId="4C1E306F"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10A4845"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8343C7" w14:textId="5A941B33"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0CBF26C"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1FFDDC" w14:textId="7FCB01C2"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55ADEF4"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27FE32" w14:textId="2E3CB159"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B4FAFE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1C5F20" w14:textId="001CC908" w:rsidR="00C25E0A" w:rsidRPr="00B40F4D" w:rsidRDefault="00996E2F"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4A7A349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25270EFD"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4BF62F98" w14:textId="77777777" w:rsidR="00C25E0A" w:rsidRDefault="00C25E0A" w:rsidP="001B5C1C">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3E8CBEC6" w14:textId="727A5227" w:rsidR="00C25E0A" w:rsidRPr="00B40F4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7F82A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C32605" w14:textId="3D34E306"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9644E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DDA5B5" w14:textId="7EE4535B"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C2B0AA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44E39D" w14:textId="2A0F7347"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1FDCDF4B"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6F113E" w14:textId="01B77669"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AF55EEC"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47770D" w14:textId="6B58ECE1" w:rsidR="00C25E0A" w:rsidRPr="00B40F4D" w:rsidRDefault="00996E2F"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AAEF62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097085EA"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6676D673" w14:textId="67A9E2FE" w:rsidR="00C25E0A" w:rsidRPr="00B40F4D" w:rsidRDefault="00C25E0A" w:rsidP="001B5C1C">
            <w:pPr>
              <w:spacing w:line="256" w:lineRule="auto"/>
              <w:rPr>
                <w:sz w:val="22"/>
                <w:szCs w:val="22"/>
                <w:lang w:val="en-US" w:eastAsia="en-US"/>
              </w:rPr>
            </w:pPr>
            <w:r>
              <w:rPr>
                <w:sz w:val="22"/>
                <w:szCs w:val="22"/>
                <w:lang w:val="en-US" w:eastAsia="en-US"/>
              </w:rPr>
              <w:t>Erik Ottoson (M)</w:t>
            </w:r>
          </w:p>
        </w:tc>
        <w:tc>
          <w:tcPr>
            <w:tcW w:w="425" w:type="dxa"/>
            <w:tcBorders>
              <w:top w:val="single" w:sz="6" w:space="0" w:color="auto"/>
              <w:left w:val="single" w:sz="6" w:space="0" w:color="auto"/>
              <w:bottom w:val="single" w:sz="6" w:space="0" w:color="auto"/>
              <w:right w:val="single" w:sz="6" w:space="0" w:color="auto"/>
            </w:tcBorders>
          </w:tcPr>
          <w:p w14:paraId="780DF21C" w14:textId="59AE9615" w:rsidR="00C25E0A" w:rsidRPr="00B40F4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A0E116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18BFB382" w14:textId="30F628B5"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0D56301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E7F75C3" w14:textId="185ED67A"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AD5956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ED168E9" w14:textId="2DC631C0"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32B279F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03FE42AB" w14:textId="76465197"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C503B3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CFD77F0" w14:textId="4D845DB0" w:rsidR="00C25E0A" w:rsidRPr="00B40F4D" w:rsidRDefault="00996E2F"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62EF17C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C25E0A" w:rsidRPr="00B40F4D" w14:paraId="00530DFE"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3CCE1A34" w14:textId="77777777" w:rsidR="00C25E0A" w:rsidRPr="00917BEB" w:rsidRDefault="00C25E0A" w:rsidP="001B5C1C">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49D01F92" w14:textId="19C07D78" w:rsidR="00C25E0A" w:rsidRPr="00B40F4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058065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F843CB" w14:textId="6E848530"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E4DBD2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5F5FE8" w14:textId="0956C916"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0EF2B1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54C2BD" w14:textId="276F6D1E"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8BF74A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EBC42D" w14:textId="02B4F796"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6D1CD1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B54195" w14:textId="6A0B0B04" w:rsidR="00C25E0A" w:rsidRPr="00B40F4D" w:rsidRDefault="00996E2F"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69A1D41B"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62C8CDB0"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0D4C7842" w14:textId="77777777" w:rsidR="00C25E0A" w:rsidRPr="005C4C18" w:rsidRDefault="00C25E0A" w:rsidP="001B5C1C">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49AE2B2F" w14:textId="089A3645" w:rsidR="00C25E0A" w:rsidRPr="00B40F4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9BB7C90"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8A66A57" w14:textId="6CF66FAE"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34A7720"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C8F990" w14:textId="616CFE66"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1AFB94"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3236C2" w14:textId="78B9CD9E"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26B69B9"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3AF5B" w14:textId="738AE4EB"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72B050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6CEEFA" w14:textId="44B28FBD" w:rsidR="00C25E0A" w:rsidRPr="00B40F4D" w:rsidRDefault="00996E2F"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6618DC50"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36A688D6"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4C87D6F7" w14:textId="77777777" w:rsidR="00C25E0A" w:rsidRPr="005C4C18" w:rsidRDefault="00C25E0A" w:rsidP="001B5C1C">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124EAF81" w14:textId="1F20A818" w:rsidR="00C25E0A" w:rsidRPr="00B40F4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AF9F4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7F836C" w14:textId="4527601F"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9E1AB7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7BB6EC" w14:textId="2D686BBE"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225222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9CD2CA" w14:textId="0B122FAC"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C4F8ECC"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5F98F" w14:textId="327D0AC1"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2E3A770"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9B27E9" w14:textId="11412619" w:rsidR="00C25E0A" w:rsidRPr="00B40F4D" w:rsidRDefault="00996E2F"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455706A4"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0CE5B025"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2DDC499E" w14:textId="77777777" w:rsidR="00C25E0A" w:rsidRPr="00B40F4D" w:rsidRDefault="00C25E0A" w:rsidP="001B5C1C">
            <w:pPr>
              <w:spacing w:line="256" w:lineRule="auto"/>
              <w:rPr>
                <w:sz w:val="22"/>
                <w:szCs w:val="22"/>
                <w:lang w:eastAsia="en-US"/>
              </w:rPr>
            </w:pPr>
            <w:r>
              <w:rPr>
                <w:sz w:val="22"/>
                <w:szCs w:val="22"/>
                <w:lang w:eastAsia="en-US"/>
              </w:rPr>
              <w:t>Romina Pourmokhtari</w:t>
            </w:r>
            <w:r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7700FE00" w14:textId="50443D19" w:rsidR="00C25E0A" w:rsidRPr="00B40F4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C1D2A6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F09A8C" w14:textId="129F4D1F"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A659A5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DEDF43" w14:textId="183CB473" w:rsidR="00C25E0A" w:rsidRPr="00B40F4D" w:rsidRDefault="00332408"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F27D74B"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7B3CCD" w14:textId="53BB83F8"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0D8552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484484" w14:textId="02125094"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D79330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765EC" w14:textId="0B5F37CB" w:rsidR="00C25E0A" w:rsidRPr="00B40F4D" w:rsidRDefault="00996E2F"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9FDE92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14E67F5B"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62A33968" w14:textId="77777777" w:rsidR="00C25E0A" w:rsidRPr="00B40F4D" w:rsidRDefault="00C25E0A" w:rsidP="001B5C1C">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2ADE2CF0"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6ECB15"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719A94"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3F13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898F7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51A2D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E01CE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C239E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34980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BA26F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753EA0"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04DD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04CC3CE6"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69B08885" w14:textId="77777777" w:rsidR="00C25E0A" w:rsidRPr="00B40F4D" w:rsidRDefault="00C25E0A" w:rsidP="001B5C1C">
            <w:pPr>
              <w:spacing w:line="256" w:lineRule="auto"/>
              <w:rPr>
                <w:b/>
                <w:i/>
                <w:sz w:val="22"/>
                <w:szCs w:val="22"/>
                <w:lang w:eastAsia="en-US"/>
              </w:rPr>
            </w:pPr>
            <w:r>
              <w:rPr>
                <w:sz w:val="22"/>
                <w:szCs w:val="22"/>
                <w:lang w:val="en-US" w:eastAsia="en-US"/>
              </w:rPr>
              <w:t>Björn Tidland</w:t>
            </w:r>
            <w:r w:rsidRPr="00B40F4D">
              <w:rPr>
                <w:sz w:val="22"/>
                <w:szCs w:val="22"/>
                <w:lang w:val="en-US" w:eastAsia="en-US"/>
              </w:rPr>
              <w:t xml:space="preserve"> (S</w:t>
            </w:r>
            <w:r>
              <w:rPr>
                <w:sz w:val="22"/>
                <w:szCs w:val="22"/>
                <w:lang w:val="en-US" w:eastAsia="en-US"/>
              </w:rPr>
              <w:t>D</w:t>
            </w:r>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34723494" w14:textId="64E8C8F6" w:rsidR="00C25E0A" w:rsidRPr="00B40F4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C57D89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1C4BD4" w14:textId="022EE39A" w:rsidR="00C25E0A" w:rsidRPr="00B40F4D" w:rsidRDefault="00531E03"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595E85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F5A33" w14:textId="793D17C6"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34356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F0EF28" w14:textId="5BC29A8F"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3013A35B"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6E9B05" w14:textId="13A9F5AA"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A3DFB2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D946E8" w14:textId="5EEC2EC0" w:rsidR="00C25E0A" w:rsidRPr="00B40F4D" w:rsidRDefault="00996E2F"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08822B85"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0832D54D"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2A490425" w14:textId="77777777" w:rsidR="00C25E0A" w:rsidRDefault="00C25E0A" w:rsidP="001B5C1C">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4E30C8F2" w14:textId="51728040" w:rsidR="00C25E0A" w:rsidRPr="00B40F4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099CD05"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5B223D" w14:textId="5BDE3055" w:rsidR="00C25E0A" w:rsidRPr="00B40F4D" w:rsidRDefault="00531E03"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E3D6DCE"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AA440B" w14:textId="37C60CAD"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001030E"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F1E9A" w14:textId="53B03524"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17A5F72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075AB9" w14:textId="7A424190"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63056F5"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84B01F" w14:textId="25CA6AF2" w:rsidR="00C25E0A" w:rsidRPr="00B40F4D" w:rsidRDefault="00996E2F"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18657B2B"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588B32BA"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212D92B0" w14:textId="77777777" w:rsidR="00C25E0A" w:rsidRDefault="00C25E0A" w:rsidP="001B5C1C">
            <w:pPr>
              <w:spacing w:line="256" w:lineRule="auto"/>
              <w:rPr>
                <w:sz w:val="22"/>
                <w:szCs w:val="22"/>
                <w:lang w:eastAsia="en-US"/>
              </w:rPr>
            </w:pPr>
            <w:r w:rsidRPr="005C4C18">
              <w:rPr>
                <w:sz w:val="22"/>
                <w:szCs w:val="22"/>
              </w:rPr>
              <w:t>Helena Storckenfeldt (M)</w:t>
            </w:r>
          </w:p>
        </w:tc>
        <w:tc>
          <w:tcPr>
            <w:tcW w:w="425" w:type="dxa"/>
            <w:tcBorders>
              <w:top w:val="single" w:sz="6" w:space="0" w:color="auto"/>
              <w:left w:val="single" w:sz="6" w:space="0" w:color="auto"/>
              <w:bottom w:val="single" w:sz="6" w:space="0" w:color="auto"/>
              <w:right w:val="single" w:sz="6" w:space="0" w:color="auto"/>
            </w:tcBorders>
          </w:tcPr>
          <w:p w14:paraId="6C6127C0" w14:textId="30AEECE5" w:rsidR="00C25E0A" w:rsidRPr="00B40F4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63EEB55"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D6FC04" w14:textId="75F11F38" w:rsidR="00C25E0A" w:rsidRPr="00B40F4D" w:rsidRDefault="00531E03"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08EDAA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671129" w14:textId="43E12B87"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40A1939"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769CEA" w14:textId="29F39413"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B6E8490"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E0740F" w14:textId="6A67B363"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2D144EE"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E445D" w14:textId="61758EAB" w:rsidR="00C25E0A" w:rsidRPr="00B40F4D" w:rsidRDefault="00996E2F"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12A17ED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5CE9421E"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6F25EDBF" w14:textId="77777777" w:rsidR="00C25E0A" w:rsidRPr="005C4C18" w:rsidRDefault="00C25E0A" w:rsidP="001B5C1C">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1D1EB2F9" w14:textId="41C2D845" w:rsidR="00C25E0A" w:rsidRPr="00B40F4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DC4B43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42F0A2" w14:textId="3E479F3B" w:rsidR="00C25E0A" w:rsidRPr="00B40F4D" w:rsidRDefault="00531E03"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9164F5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EEAA4D" w14:textId="304FBC5A" w:rsidR="00C25E0A" w:rsidRPr="00B40F4D" w:rsidRDefault="00E8184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A0822D0"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2C7369" w14:textId="00846942"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355441B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69B04A" w14:textId="2759D707"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D9D0A8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A9E2CB" w14:textId="75EF1E45" w:rsidR="00C25E0A" w:rsidRPr="00B40F4D" w:rsidRDefault="00996E2F"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6C6E4210"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20D40EB1"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7B9A5EB9" w14:textId="77777777" w:rsidR="00C25E0A" w:rsidRDefault="00C25E0A" w:rsidP="001B5C1C">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6C30D9A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1A3AE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53618C"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234B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3C3575" w14:textId="68E960F6"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DB8419"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678E92"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D5489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4D87C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5E40AB"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E3D17C"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E87B6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7068C630"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02446D27" w14:textId="77777777" w:rsidR="00C25E0A" w:rsidRPr="00917BEB" w:rsidRDefault="00C25E0A" w:rsidP="001B5C1C">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161C2446" w14:textId="07355DB3"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A8404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B628F9"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4EC21C"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7963F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FDED79"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8C31DE"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61F59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17FA9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69255"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58A85C"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3FB75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3C0B3B6A"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7E8813DF" w14:textId="77777777" w:rsidR="00C25E0A" w:rsidRPr="00B40F4D" w:rsidRDefault="00C25E0A" w:rsidP="001B5C1C">
            <w:pPr>
              <w:tabs>
                <w:tab w:val="left" w:pos="2268"/>
                <w:tab w:val="left" w:pos="2977"/>
                <w:tab w:val="left" w:pos="4536"/>
              </w:tabs>
              <w:spacing w:line="256" w:lineRule="auto"/>
              <w:rPr>
                <w:sz w:val="22"/>
                <w:szCs w:val="22"/>
                <w:lang w:val="en-US" w:eastAsia="en-US"/>
              </w:rPr>
            </w:pPr>
            <w:r>
              <w:rPr>
                <w:sz w:val="22"/>
                <w:szCs w:val="22"/>
                <w:lang w:val="en-US"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14:paraId="456F5CB4" w14:textId="46A16889"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44479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7C7D9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C14F4"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CA67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BAE43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D1182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898364E"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6839A2"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77D9E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EEB1BB"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252BB9"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146C296A"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15F317DE" w14:textId="77777777" w:rsidR="00C25E0A" w:rsidRDefault="00C25E0A" w:rsidP="001B5C1C">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29E768A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A5BF2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A4279E"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90C56C"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F27EB9"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F46BC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D792B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23BBF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EEAB8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3727B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FCA2B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FB3D50"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66FD7BBB"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147D8B05" w14:textId="77777777" w:rsidR="00C25E0A" w:rsidRDefault="00C25E0A" w:rsidP="001B5C1C">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F4B0B8B"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06AD55"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348DE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35238C"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A18E0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D23FB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E2360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13F846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C6754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8DD7D2"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9D6184"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2D0B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3ADC588F"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258095D2" w14:textId="77777777" w:rsidR="00C25E0A" w:rsidRDefault="00C25E0A" w:rsidP="001B5C1C">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510052E9"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79824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8771C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58C0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7AD2F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FC64C9"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B3540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7AC592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E6071C"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BAF5C"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7355BC"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ACC3B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7E742A3D"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323E3826" w14:textId="77777777" w:rsidR="00C25E0A" w:rsidRDefault="00C25E0A" w:rsidP="001B5C1C">
            <w:pPr>
              <w:tabs>
                <w:tab w:val="left" w:pos="2268"/>
                <w:tab w:val="left" w:pos="2977"/>
                <w:tab w:val="left" w:pos="4536"/>
              </w:tabs>
              <w:spacing w:line="256" w:lineRule="auto"/>
              <w:rPr>
                <w:sz w:val="22"/>
                <w:szCs w:val="22"/>
                <w:lang w:val="en-US" w:eastAsia="en-US"/>
              </w:rPr>
            </w:pPr>
            <w:r>
              <w:rPr>
                <w:sz w:val="22"/>
                <w:szCs w:val="22"/>
                <w:lang w:val="en-US" w:eastAsia="en-US"/>
              </w:rPr>
              <w:t>Oskar Svärd (M)</w:t>
            </w:r>
          </w:p>
        </w:tc>
        <w:tc>
          <w:tcPr>
            <w:tcW w:w="425" w:type="dxa"/>
            <w:tcBorders>
              <w:top w:val="single" w:sz="6" w:space="0" w:color="auto"/>
              <w:left w:val="single" w:sz="6" w:space="0" w:color="auto"/>
              <w:bottom w:val="single" w:sz="6" w:space="0" w:color="auto"/>
              <w:right w:val="single" w:sz="6" w:space="0" w:color="auto"/>
            </w:tcBorders>
          </w:tcPr>
          <w:p w14:paraId="17FCC740" w14:textId="39343AD8" w:rsidR="00C25E0A" w:rsidRPr="00B40F4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77493A0"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5055DD" w14:textId="5CB465E3" w:rsidR="00C25E0A" w:rsidRPr="00B40F4D" w:rsidRDefault="00531E03"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AFAD8F9"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62B28E" w14:textId="6BE360BD" w:rsidR="00C25E0A" w:rsidRPr="00B40F4D" w:rsidRDefault="00332408"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968D33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7BD8D3" w14:textId="72C6BFF9"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7B39C315"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DF1D0" w14:textId="3C9AE25D"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632BC10"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658342" w14:textId="0E057215" w:rsidR="00C25E0A" w:rsidRPr="00B40F4D" w:rsidRDefault="00996E2F"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786965D2"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39937F53"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4985573A" w14:textId="77777777" w:rsidR="00C25E0A" w:rsidRDefault="00C25E0A" w:rsidP="001B5C1C">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1B7029A9" w14:textId="23C2399A" w:rsidR="00C25E0A" w:rsidRPr="00B40F4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8FAE6D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77045A" w14:textId="0FB58BEF" w:rsidR="00C25E0A" w:rsidRPr="00B40F4D" w:rsidRDefault="00531E03"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CEEAB4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2E115E" w14:textId="0D031F03" w:rsidR="00C25E0A" w:rsidRPr="00B40F4D" w:rsidRDefault="00332408"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15D3B09"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AE93B8" w14:textId="4DBF99BC"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2465F6A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B515D9" w14:textId="1CEAD3D1"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C141F3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FE64B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6A6AE4"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43F6FDD2"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6A886C77" w14:textId="77777777" w:rsidR="00C25E0A" w:rsidRPr="00917BEB" w:rsidRDefault="00C25E0A" w:rsidP="001B5C1C">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0EB5FEDB"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FEC11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419B25"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E9988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E6FAE"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5F35D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A215FB"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C322EF4"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0084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8A6A2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1641D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E8A46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01129E53"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7574404C" w14:textId="77777777" w:rsidR="00C25E0A" w:rsidRPr="00917BEB" w:rsidRDefault="00C25E0A" w:rsidP="001B5C1C">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07D389BE" w14:textId="6D288735" w:rsidR="00C25E0A" w:rsidRPr="00B40F4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57E150"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6BA91C" w14:textId="42C61AD4" w:rsidR="00C25E0A" w:rsidRPr="00B40F4D" w:rsidRDefault="00531E03"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C4351FE"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AD474E" w14:textId="4BC95C61" w:rsidR="00C25E0A" w:rsidRPr="00B40F4D" w:rsidRDefault="00332408"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B95407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D814B7" w14:textId="4A79A46D"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779F7C6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739584" w14:textId="2E5382B0"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93BC19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7EB97D" w14:textId="0B44BFDD" w:rsidR="00C25E0A" w:rsidRPr="00B40F4D" w:rsidRDefault="007E0E9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4C9EBF02"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11E23902"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42508D86" w14:textId="77777777" w:rsidR="00C25E0A" w:rsidRPr="00917BEB" w:rsidRDefault="00C25E0A" w:rsidP="001B5C1C">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27523070"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19071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30CA8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D57A9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CD213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800875"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1434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10FBB42"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8FCE7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F0458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A842E2"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1A8EB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745126E4"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2EB1C77C" w14:textId="77777777" w:rsidR="00C25E0A" w:rsidRDefault="00C25E0A" w:rsidP="001B5C1C">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753EBE01" w14:textId="46D7FA49" w:rsidR="00C25E0A" w:rsidRPr="00B40F4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30C240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CED72B" w14:textId="45000A09" w:rsidR="00C25E0A" w:rsidRPr="00B40F4D" w:rsidRDefault="00531E03"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121500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092C33" w14:textId="06E9C81D" w:rsidR="00C25E0A" w:rsidRPr="00B40F4D" w:rsidRDefault="00332408"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8F18C8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A94A6C" w14:textId="37A5CF5A"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3A98E53B"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9ED3AA" w14:textId="04A51E93"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62AE25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393B29" w14:textId="678135A8" w:rsidR="00C25E0A" w:rsidRPr="00B40F4D" w:rsidRDefault="007E0E9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2C9F3F6E"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1D9FC458"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684DE10D" w14:textId="77777777" w:rsidR="00C25E0A" w:rsidRPr="00917BEB" w:rsidRDefault="00C25E0A" w:rsidP="001B5C1C">
            <w:pPr>
              <w:tabs>
                <w:tab w:val="left" w:pos="2268"/>
                <w:tab w:val="left" w:pos="2977"/>
                <w:tab w:val="left" w:pos="4536"/>
              </w:tabs>
              <w:spacing w:line="256" w:lineRule="auto"/>
              <w:rPr>
                <w:sz w:val="22"/>
                <w:szCs w:val="22"/>
                <w:highlight w:val="yellow"/>
                <w:lang w:eastAsia="en-US"/>
              </w:rPr>
            </w:pPr>
            <w:r w:rsidRPr="005C4C18">
              <w:rPr>
                <w:sz w:val="22"/>
                <w:szCs w:val="22"/>
                <w:lang w:eastAsia="en-US"/>
              </w:rPr>
              <w:t>Camilla Brunsberg (M)</w:t>
            </w:r>
          </w:p>
        </w:tc>
        <w:tc>
          <w:tcPr>
            <w:tcW w:w="425" w:type="dxa"/>
            <w:tcBorders>
              <w:top w:val="single" w:sz="6" w:space="0" w:color="auto"/>
              <w:left w:val="single" w:sz="6" w:space="0" w:color="auto"/>
              <w:bottom w:val="single" w:sz="6" w:space="0" w:color="auto"/>
              <w:right w:val="single" w:sz="6" w:space="0" w:color="auto"/>
            </w:tcBorders>
          </w:tcPr>
          <w:p w14:paraId="0EBFA30A" w14:textId="66A98A13" w:rsidR="00C25E0A" w:rsidRPr="00B40F4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8DE7F0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ABB81C3" w14:textId="2D8DDF00" w:rsidR="00C25E0A" w:rsidRPr="00B40F4D" w:rsidRDefault="00531E03"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66DF05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AA96B9" w14:textId="51AEAFF7" w:rsidR="00C25E0A" w:rsidRPr="00B40F4D" w:rsidRDefault="00332408"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564EB8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BABD3" w14:textId="6F107CCB"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33EBA714"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75739E" w14:textId="4D929317"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EE16DE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433547" w14:textId="62F46CF5" w:rsidR="00C25E0A" w:rsidRPr="00B40F4D" w:rsidRDefault="007E0E9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325FBB4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62622C9A"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153C36FE" w14:textId="77777777" w:rsidR="00C25E0A" w:rsidRPr="005C4C18" w:rsidRDefault="00C25E0A" w:rsidP="001B5C1C">
            <w:pPr>
              <w:tabs>
                <w:tab w:val="left" w:pos="2268"/>
                <w:tab w:val="left" w:pos="2977"/>
                <w:tab w:val="left" w:pos="4536"/>
              </w:tabs>
              <w:spacing w:line="256" w:lineRule="auto"/>
              <w:rPr>
                <w:sz w:val="22"/>
                <w:szCs w:val="22"/>
                <w:lang w:eastAsia="en-US"/>
              </w:rPr>
            </w:pPr>
            <w:r w:rsidRPr="006A49EA">
              <w:rPr>
                <w:sz w:val="22"/>
                <w:szCs w:val="22"/>
                <w:lang w:eastAsia="en-US"/>
              </w:rPr>
              <w:t>Josef Fransson (SD)</w:t>
            </w:r>
          </w:p>
        </w:tc>
        <w:tc>
          <w:tcPr>
            <w:tcW w:w="425" w:type="dxa"/>
            <w:tcBorders>
              <w:top w:val="single" w:sz="6" w:space="0" w:color="auto"/>
              <w:left w:val="single" w:sz="6" w:space="0" w:color="auto"/>
              <w:bottom w:val="single" w:sz="6" w:space="0" w:color="auto"/>
              <w:right w:val="single" w:sz="6" w:space="0" w:color="auto"/>
            </w:tcBorders>
          </w:tcPr>
          <w:p w14:paraId="42166BA4"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2C4359"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20A63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947F30"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E0490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5E5D4B"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2DF89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A6738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AABE22"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4D121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BCD4CE"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3C966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18409962"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6B560B93" w14:textId="77777777" w:rsidR="00C25E0A" w:rsidRPr="005C4C18" w:rsidRDefault="00C25E0A" w:rsidP="001B5C1C">
            <w:pPr>
              <w:tabs>
                <w:tab w:val="left" w:pos="2268"/>
                <w:tab w:val="left" w:pos="2977"/>
                <w:tab w:val="left" w:pos="4536"/>
              </w:tabs>
              <w:spacing w:line="256" w:lineRule="auto"/>
              <w:rPr>
                <w:sz w:val="22"/>
                <w:szCs w:val="22"/>
                <w:lang w:eastAsia="en-US"/>
              </w:rPr>
            </w:pPr>
            <w:r w:rsidRPr="006A49EA">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14:paraId="5F06FB5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E60D75"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9EFFD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C9E01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A72F2B"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C969C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EBB30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3F4B1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307265"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A159A4"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F8D752"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69507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3286E33B"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01490844" w14:textId="77777777" w:rsidR="00C25E0A" w:rsidRPr="005C4C18" w:rsidRDefault="00C25E0A" w:rsidP="001B5C1C">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69CECD00"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B70F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496B4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A466F2"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0E0C95"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05929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D551E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CB38A05"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C2B4C4"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9D909B"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C15622"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124FA9"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447D96AD"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7BC82A4B" w14:textId="77777777" w:rsidR="00C25E0A" w:rsidRPr="006A49EA" w:rsidRDefault="00C25E0A" w:rsidP="001B5C1C">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490B739C" w14:textId="1122E6A7" w:rsidR="00C25E0A" w:rsidRPr="00B40F4D" w:rsidRDefault="00302E6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75F04F5"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4E0A4F" w14:textId="36B0D3C6" w:rsidR="00C25E0A" w:rsidRPr="00B40F4D" w:rsidRDefault="00531E03"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3EE7AB4"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E60490" w14:textId="3B992CB6" w:rsidR="00C25E0A" w:rsidRPr="00B40F4D" w:rsidRDefault="00332408"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949D27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1CFEDF" w14:textId="6690746D" w:rsidR="00C25E0A" w:rsidRPr="00B40F4D" w:rsidRDefault="004C7BEC"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336A7559"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24A3FD" w14:textId="0B21C136" w:rsidR="00C25E0A" w:rsidRPr="00B40F4D" w:rsidRDefault="00C14E29"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6B3CD6C"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C57AB" w14:textId="5604E7AB" w:rsidR="00C25E0A" w:rsidRPr="00B40F4D" w:rsidRDefault="007E0E95"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421BEDC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76514545"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210A4B35" w14:textId="77777777" w:rsidR="00C25E0A" w:rsidRPr="005C4C18" w:rsidRDefault="00C25E0A" w:rsidP="001B5C1C">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22F3FA5C"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D8678E"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0954A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2637C"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AF88F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25CA9E"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DAB81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ED4EFAB"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FB69F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1E28F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16509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81E87EC"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0EC56250"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26DB4E6C" w14:textId="77777777" w:rsidR="00C25E0A" w:rsidRPr="006A49EA" w:rsidRDefault="00C25E0A" w:rsidP="001B5C1C">
            <w:pPr>
              <w:tabs>
                <w:tab w:val="left" w:pos="2268"/>
                <w:tab w:val="left" w:pos="2977"/>
                <w:tab w:val="left" w:pos="4536"/>
              </w:tabs>
              <w:spacing w:line="256" w:lineRule="auto"/>
              <w:rPr>
                <w:sz w:val="22"/>
                <w:szCs w:val="22"/>
                <w:lang w:val="en-US" w:eastAsia="en-US"/>
              </w:rPr>
            </w:pPr>
            <w:r w:rsidRPr="006A49EA">
              <w:rPr>
                <w:sz w:val="22"/>
                <w:szCs w:val="22"/>
                <w:lang w:val="en-US" w:eastAsia="en-US"/>
              </w:rPr>
              <w:t>Larry Söder (KD)</w:t>
            </w:r>
          </w:p>
        </w:tc>
        <w:tc>
          <w:tcPr>
            <w:tcW w:w="425" w:type="dxa"/>
            <w:tcBorders>
              <w:top w:val="single" w:sz="6" w:space="0" w:color="auto"/>
              <w:left w:val="single" w:sz="6" w:space="0" w:color="auto"/>
              <w:bottom w:val="single" w:sz="6" w:space="0" w:color="auto"/>
              <w:right w:val="single" w:sz="6" w:space="0" w:color="auto"/>
            </w:tcBorders>
          </w:tcPr>
          <w:p w14:paraId="465C3D8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B0678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7FEAC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5E942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65ACE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A6D78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A67BE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9EC396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6371F2"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1733F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18FE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697BF5"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65730A9F"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455957A7" w14:textId="77777777" w:rsidR="00C25E0A" w:rsidRPr="006A49EA" w:rsidRDefault="00C25E0A" w:rsidP="001B5C1C">
            <w:pPr>
              <w:tabs>
                <w:tab w:val="left" w:pos="2268"/>
                <w:tab w:val="left" w:pos="2977"/>
                <w:tab w:val="left" w:pos="4536"/>
              </w:tabs>
              <w:spacing w:line="256" w:lineRule="auto"/>
              <w:rPr>
                <w:sz w:val="22"/>
                <w:szCs w:val="22"/>
                <w:lang w:val="en-US" w:eastAsia="en-US"/>
              </w:rPr>
            </w:pPr>
            <w:r w:rsidRPr="006A49EA">
              <w:rPr>
                <w:sz w:val="22"/>
                <w:szCs w:val="22"/>
                <w:lang w:val="en-US" w:eastAsia="en-US"/>
              </w:rPr>
              <w:t>Per Bolund (MP)</w:t>
            </w:r>
          </w:p>
        </w:tc>
        <w:tc>
          <w:tcPr>
            <w:tcW w:w="425" w:type="dxa"/>
            <w:tcBorders>
              <w:top w:val="single" w:sz="6" w:space="0" w:color="auto"/>
              <w:left w:val="single" w:sz="6" w:space="0" w:color="auto"/>
              <w:bottom w:val="single" w:sz="6" w:space="0" w:color="auto"/>
              <w:right w:val="single" w:sz="6" w:space="0" w:color="auto"/>
            </w:tcBorders>
          </w:tcPr>
          <w:p w14:paraId="0F846B2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10581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1053C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6AE8F0"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770B6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FCCAC0"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FB1645"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9922BD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A8714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0DB383"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AC8DD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C973F9"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42BCF1C6"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096B5693" w14:textId="77777777" w:rsidR="00C25E0A" w:rsidRPr="005C4C18" w:rsidRDefault="00C25E0A" w:rsidP="001B5C1C">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75E4EC9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55369E"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1D3C9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AB3E7C"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88E0A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1F5D0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41BBA1"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C7C54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E86B64"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CCE6B"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37B8B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B5EFC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45EA36CC"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65940727" w14:textId="77777777" w:rsidR="00C25E0A" w:rsidRPr="005C4C18" w:rsidRDefault="00C25E0A" w:rsidP="001B5C1C">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7AE3554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4B9D7E"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E5F22B"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883E2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C53289"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309FD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70CE80"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8AEE4B4"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88D64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9182F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5A0C6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9AC0FB"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15596030" w14:textId="77777777" w:rsidTr="00DF0154">
        <w:tblPrEx>
          <w:tblLook w:val="0000" w:firstRow="0" w:lastRow="0" w:firstColumn="0" w:lastColumn="0" w:noHBand="0" w:noVBand="0"/>
        </w:tblPrEx>
        <w:trPr>
          <w:gridAfter w:val="2"/>
          <w:wAfter w:w="281" w:type="dxa"/>
        </w:trPr>
        <w:tc>
          <w:tcPr>
            <w:tcW w:w="3969" w:type="dxa"/>
            <w:gridSpan w:val="2"/>
            <w:tcBorders>
              <w:top w:val="single" w:sz="6" w:space="0" w:color="auto"/>
              <w:left w:val="single" w:sz="6" w:space="0" w:color="auto"/>
              <w:bottom w:val="single" w:sz="6" w:space="0" w:color="auto"/>
              <w:right w:val="single" w:sz="6" w:space="0" w:color="auto"/>
            </w:tcBorders>
          </w:tcPr>
          <w:p w14:paraId="4545133D" w14:textId="77777777" w:rsidR="00C25E0A" w:rsidRPr="005C4C18" w:rsidRDefault="00C25E0A" w:rsidP="001B5C1C">
            <w:pPr>
              <w:tabs>
                <w:tab w:val="left" w:pos="2268"/>
                <w:tab w:val="left" w:pos="2977"/>
                <w:tab w:val="left" w:pos="4536"/>
              </w:tabs>
              <w:spacing w:line="256" w:lineRule="auto"/>
              <w:rPr>
                <w:sz w:val="22"/>
                <w:szCs w:val="22"/>
                <w:lang w:eastAsia="en-US"/>
              </w:rPr>
            </w:pPr>
            <w:r w:rsidRPr="006A49EA">
              <w:rPr>
                <w:sz w:val="22"/>
                <w:szCs w:val="22"/>
                <w:lang w:eastAsia="en-US"/>
              </w:rPr>
              <w:t>Cecilia Rönn (L)</w:t>
            </w:r>
          </w:p>
        </w:tc>
        <w:tc>
          <w:tcPr>
            <w:tcW w:w="425" w:type="dxa"/>
            <w:tcBorders>
              <w:top w:val="single" w:sz="6" w:space="0" w:color="auto"/>
              <w:left w:val="single" w:sz="6" w:space="0" w:color="auto"/>
              <w:bottom w:val="single" w:sz="6" w:space="0" w:color="auto"/>
              <w:right w:val="single" w:sz="6" w:space="0" w:color="auto"/>
            </w:tcBorders>
          </w:tcPr>
          <w:p w14:paraId="05FFF0EB"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CA0E1C"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8C1E7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7A84D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47075E"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F28420"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C3BDC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555D2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E48347"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8D256A"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E13F8F"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500194"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25E0A" w:rsidRPr="00B40F4D" w14:paraId="04AFCEAB" w14:textId="77777777" w:rsidTr="00DF0154">
        <w:tblPrEx>
          <w:tblLook w:val="0000" w:firstRow="0" w:lastRow="0" w:firstColumn="0" w:lastColumn="0" w:noHBand="0" w:noVBand="0"/>
        </w:tblPrEx>
        <w:trPr>
          <w:gridAfter w:val="1"/>
          <w:wAfter w:w="139" w:type="dxa"/>
          <w:trHeight w:val="263"/>
        </w:trPr>
        <w:tc>
          <w:tcPr>
            <w:tcW w:w="3969" w:type="dxa"/>
            <w:gridSpan w:val="2"/>
          </w:tcPr>
          <w:p w14:paraId="20CBC79D"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44B59206"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C25E0A" w:rsidRPr="00B40F4D" w14:paraId="4E0A8245" w14:textId="77777777" w:rsidTr="00DF0154">
        <w:tblPrEx>
          <w:tblLook w:val="0000" w:firstRow="0" w:lastRow="0" w:firstColumn="0" w:lastColumn="0" w:noHBand="0" w:noVBand="0"/>
        </w:tblPrEx>
        <w:trPr>
          <w:gridAfter w:val="1"/>
          <w:wAfter w:w="139" w:type="dxa"/>
          <w:trHeight w:val="262"/>
        </w:trPr>
        <w:tc>
          <w:tcPr>
            <w:tcW w:w="3969" w:type="dxa"/>
            <w:gridSpan w:val="2"/>
          </w:tcPr>
          <w:p w14:paraId="67982B78"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14:paraId="53C88105" w14:textId="77777777" w:rsidR="00C25E0A" w:rsidRPr="00B40F4D" w:rsidRDefault="00C25E0A" w:rsidP="001B5C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54575A4C" w14:textId="4EE718ED" w:rsidR="004C7BEC" w:rsidRDefault="004C7BEC" w:rsidP="001806D9">
      <w:pPr>
        <w:pStyle w:val="Brdtext"/>
        <w:rPr>
          <w:sz w:val="22"/>
          <w:szCs w:val="22"/>
        </w:rPr>
      </w:pPr>
    </w:p>
    <w:p w14:paraId="12B41E7B" w14:textId="77777777" w:rsidR="00CD3E32" w:rsidRDefault="00CD3E32" w:rsidP="001806D9">
      <w:pPr>
        <w:pStyle w:val="Brdtext"/>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4133FE" w:rsidRPr="0070719B" w14:paraId="718BD8B8" w14:textId="77777777" w:rsidTr="008C159E">
        <w:tc>
          <w:tcPr>
            <w:tcW w:w="6532" w:type="dxa"/>
          </w:tcPr>
          <w:p w14:paraId="37D9C52D" w14:textId="5BB05342" w:rsidR="004133FE" w:rsidRPr="0070719B" w:rsidRDefault="004C7BEC" w:rsidP="008C159E">
            <w:pPr>
              <w:tabs>
                <w:tab w:val="left" w:pos="1276"/>
              </w:tabs>
              <w:rPr>
                <w:sz w:val="22"/>
                <w:szCs w:val="22"/>
              </w:rPr>
            </w:pPr>
            <w:r>
              <w:rPr>
                <w:sz w:val="22"/>
                <w:szCs w:val="22"/>
              </w:rPr>
              <w:br w:type="page"/>
            </w:r>
            <w:r w:rsidR="004133FE" w:rsidRPr="0070719B">
              <w:rPr>
                <w:sz w:val="22"/>
                <w:szCs w:val="22"/>
              </w:rPr>
              <w:br w:type="page"/>
              <w:t>MILJÖ- OCH JORDBRUKSUTSKOTTET</w:t>
            </w:r>
          </w:p>
        </w:tc>
        <w:tc>
          <w:tcPr>
            <w:tcW w:w="2206" w:type="dxa"/>
          </w:tcPr>
          <w:p w14:paraId="386E16E8" w14:textId="77777777" w:rsidR="004133FE" w:rsidRPr="0070719B" w:rsidRDefault="004133FE" w:rsidP="008C159E">
            <w:pPr>
              <w:tabs>
                <w:tab w:val="left" w:pos="1276"/>
              </w:tabs>
              <w:rPr>
                <w:sz w:val="22"/>
                <w:szCs w:val="22"/>
              </w:rPr>
            </w:pPr>
          </w:p>
        </w:tc>
        <w:tc>
          <w:tcPr>
            <w:tcW w:w="2036" w:type="dxa"/>
          </w:tcPr>
          <w:p w14:paraId="727187A9" w14:textId="77777777" w:rsidR="004133FE" w:rsidRPr="0070719B" w:rsidRDefault="004133FE" w:rsidP="008C159E">
            <w:pPr>
              <w:tabs>
                <w:tab w:val="left" w:pos="1276"/>
              </w:tabs>
              <w:ind w:right="-212"/>
              <w:rPr>
                <w:b/>
                <w:sz w:val="22"/>
                <w:szCs w:val="22"/>
              </w:rPr>
            </w:pPr>
            <w:r w:rsidRPr="0070719B">
              <w:rPr>
                <w:b/>
                <w:sz w:val="22"/>
                <w:szCs w:val="22"/>
              </w:rPr>
              <w:t>Bilaga 2</w:t>
            </w:r>
          </w:p>
          <w:p w14:paraId="086E663E" w14:textId="77777777" w:rsidR="004133FE" w:rsidRPr="0070719B" w:rsidRDefault="004133FE" w:rsidP="008C159E">
            <w:pPr>
              <w:tabs>
                <w:tab w:val="left" w:pos="1276"/>
              </w:tabs>
              <w:ind w:right="-212"/>
              <w:rPr>
                <w:sz w:val="22"/>
                <w:szCs w:val="22"/>
              </w:rPr>
            </w:pPr>
            <w:r w:rsidRPr="0070719B">
              <w:rPr>
                <w:sz w:val="22"/>
                <w:szCs w:val="22"/>
              </w:rPr>
              <w:t>till protokoll</w:t>
            </w:r>
          </w:p>
          <w:p w14:paraId="0E551824" w14:textId="77777777" w:rsidR="004133FE" w:rsidRPr="0070719B" w:rsidRDefault="004133FE" w:rsidP="008C159E">
            <w:pPr>
              <w:tabs>
                <w:tab w:val="left" w:pos="1276"/>
              </w:tabs>
              <w:ind w:right="-212"/>
              <w:rPr>
                <w:b/>
                <w:sz w:val="22"/>
                <w:szCs w:val="22"/>
              </w:rPr>
            </w:pPr>
            <w:r w:rsidRPr="0070719B">
              <w:rPr>
                <w:sz w:val="22"/>
                <w:szCs w:val="22"/>
              </w:rPr>
              <w:t>202</w:t>
            </w:r>
            <w:r>
              <w:rPr>
                <w:sz w:val="22"/>
                <w:szCs w:val="22"/>
              </w:rPr>
              <w:t>2</w:t>
            </w:r>
            <w:r w:rsidRPr="0070719B">
              <w:rPr>
                <w:sz w:val="22"/>
                <w:szCs w:val="22"/>
              </w:rPr>
              <w:t>/2</w:t>
            </w:r>
            <w:r>
              <w:rPr>
                <w:sz w:val="22"/>
                <w:szCs w:val="22"/>
              </w:rPr>
              <w:t>3</w:t>
            </w:r>
            <w:r w:rsidRPr="0070719B">
              <w:rPr>
                <w:sz w:val="22"/>
                <w:szCs w:val="22"/>
              </w:rPr>
              <w:t>:</w:t>
            </w:r>
            <w:r>
              <w:rPr>
                <w:sz w:val="22"/>
                <w:szCs w:val="22"/>
              </w:rPr>
              <w:t>2</w:t>
            </w:r>
          </w:p>
        </w:tc>
      </w:tr>
    </w:tbl>
    <w:p w14:paraId="1D05FB2A" w14:textId="77777777" w:rsidR="004133FE" w:rsidRPr="0070719B" w:rsidRDefault="004133FE" w:rsidP="004133FE">
      <w:pPr>
        <w:rPr>
          <w:b/>
          <w:bCs/>
          <w:sz w:val="22"/>
          <w:szCs w:val="22"/>
        </w:rPr>
      </w:pPr>
    </w:p>
    <w:p w14:paraId="09813887" w14:textId="77777777" w:rsidR="004133FE" w:rsidRPr="00704A96" w:rsidRDefault="004133FE" w:rsidP="004133FE">
      <w:pPr>
        <w:rPr>
          <w:rFonts w:eastAsia="Calibri"/>
          <w:b/>
          <w:color w:val="000000"/>
          <w:szCs w:val="22"/>
          <w:lang w:eastAsia="en-US"/>
        </w:rPr>
      </w:pPr>
      <w:r w:rsidRPr="0070719B">
        <w:rPr>
          <w:b/>
          <w:sz w:val="22"/>
          <w:szCs w:val="22"/>
        </w:rPr>
        <w:t xml:space="preserve">Överläggning den </w:t>
      </w:r>
      <w:r>
        <w:rPr>
          <w:b/>
          <w:sz w:val="22"/>
          <w:szCs w:val="22"/>
        </w:rPr>
        <w:t>13 okto</w:t>
      </w:r>
      <w:r w:rsidRPr="0070719B">
        <w:rPr>
          <w:b/>
          <w:sz w:val="22"/>
          <w:szCs w:val="22"/>
        </w:rPr>
        <w:t>ber 202</w:t>
      </w:r>
      <w:r>
        <w:rPr>
          <w:b/>
          <w:sz w:val="22"/>
          <w:szCs w:val="22"/>
        </w:rPr>
        <w:t>2</w:t>
      </w:r>
      <w:r w:rsidRPr="0070719B">
        <w:rPr>
          <w:b/>
          <w:sz w:val="22"/>
          <w:szCs w:val="22"/>
        </w:rPr>
        <w:t xml:space="preserve"> </w:t>
      </w:r>
      <w:r>
        <w:rPr>
          <w:b/>
          <w:sz w:val="22"/>
          <w:szCs w:val="22"/>
        </w:rPr>
        <w:t xml:space="preserve">om </w:t>
      </w:r>
      <w:r>
        <w:rPr>
          <w:rFonts w:eastAsia="Calibri"/>
          <w:b/>
          <w:bCs/>
          <w:color w:val="000000"/>
          <w:sz w:val="22"/>
          <w:szCs w:val="22"/>
          <w:lang w:eastAsia="en-US"/>
        </w:rPr>
        <w:t>k</w:t>
      </w:r>
      <w:r w:rsidRPr="00704A96">
        <w:rPr>
          <w:rFonts w:eastAsia="Calibri"/>
          <w:b/>
          <w:bCs/>
          <w:color w:val="000000"/>
          <w:sz w:val="22"/>
          <w:szCs w:val="22"/>
          <w:lang w:eastAsia="en-US"/>
        </w:rPr>
        <w:t>ommissionens förslag till rådets förordning om fastställande av fiskemöjligheterna för vissa fiskbestånd och grupper av fiskbestånd i Östersjön för 2023 och om ändring av förordning (EU) 2022/109 vad gäller vissa fiskemöjligheter i andra vatten</w:t>
      </w:r>
      <w:r w:rsidRPr="00704A96">
        <w:rPr>
          <w:rFonts w:eastAsia="Calibri"/>
          <w:b/>
          <w:color w:val="000000"/>
          <w:szCs w:val="22"/>
          <w:lang w:eastAsia="en-US"/>
        </w:rPr>
        <w:t xml:space="preserve"> </w:t>
      </w:r>
    </w:p>
    <w:p w14:paraId="3D624459" w14:textId="77777777" w:rsidR="004133FE" w:rsidRDefault="004133FE" w:rsidP="004133FE">
      <w:pPr>
        <w:rPr>
          <w:b/>
          <w:sz w:val="22"/>
          <w:szCs w:val="22"/>
        </w:rPr>
      </w:pPr>
    </w:p>
    <w:p w14:paraId="4E4F1D78" w14:textId="77777777" w:rsidR="004133FE" w:rsidRDefault="004133FE" w:rsidP="004133FE">
      <w:pPr>
        <w:widowControl/>
        <w:autoSpaceDE w:val="0"/>
        <w:autoSpaceDN w:val="0"/>
        <w:adjustRightInd w:val="0"/>
        <w:rPr>
          <w:b/>
          <w:sz w:val="22"/>
          <w:szCs w:val="22"/>
        </w:rPr>
      </w:pPr>
      <w:r>
        <w:rPr>
          <w:b/>
          <w:sz w:val="22"/>
          <w:szCs w:val="22"/>
        </w:rPr>
        <w:t>Förslag till s</w:t>
      </w:r>
      <w:r w:rsidRPr="0070719B">
        <w:rPr>
          <w:b/>
          <w:sz w:val="22"/>
          <w:szCs w:val="22"/>
        </w:rPr>
        <w:t>vensk ståndpunkt</w:t>
      </w:r>
    </w:p>
    <w:p w14:paraId="12D6FE95" w14:textId="77777777" w:rsidR="004133FE" w:rsidRDefault="004133FE" w:rsidP="004133FE">
      <w:pPr>
        <w:widowControl/>
        <w:rPr>
          <w:sz w:val="22"/>
          <w:szCs w:val="22"/>
        </w:rPr>
      </w:pPr>
      <w:r w:rsidRPr="00E52098">
        <w:rPr>
          <w:sz w:val="22"/>
          <w:szCs w:val="22"/>
        </w:rPr>
        <w:t xml:space="preserve">Regeringens övergripande målsättning är att förvaltningsåtgärder ska beslutas i linje med den gemensamma fiskeripolitikens mål och principer. Regeringen anser således att fiske- och vattenbruksverksamheterna ska vara miljömässigt hållbara på lång sikt och förvaltas på ett sätt som är förenligt med målen om att uppnå nytta i ekonomiskt, socialt och sysselsättningshänseende. Därtill ska de bidra till att trygga livsmedelsförsörjningen som en del av ett hållbart livsmedelssystem samtidigt som det hållbara småskaliga fiskets konkurrenskraft värnas. Regeringens målsättning är därför också att åtgärderna ska vara i linje med Livsmedelsstrategin och Agenda 2030. </w:t>
      </w:r>
    </w:p>
    <w:p w14:paraId="5CF155D8" w14:textId="77777777" w:rsidR="004133FE" w:rsidRDefault="004133FE" w:rsidP="004133FE">
      <w:pPr>
        <w:widowControl/>
        <w:rPr>
          <w:sz w:val="22"/>
          <w:szCs w:val="22"/>
        </w:rPr>
      </w:pPr>
      <w:r>
        <w:rPr>
          <w:sz w:val="22"/>
          <w:szCs w:val="22"/>
        </w:rPr>
        <w:br/>
      </w:r>
      <w:r w:rsidRPr="00E52098">
        <w:rPr>
          <w:sz w:val="22"/>
          <w:szCs w:val="22"/>
        </w:rPr>
        <w:t xml:space="preserve">När det gäller fiskemöjligheter anser regeringen således att det är angeläget att nå målen om beståndsstorlek över den nivå som kan ge maximalt hållbar avkastning (MSY), att den gemensamma fiskeripolitikens mål om landningsskyldighet möjliggörs, att den vetenskapliga rådgivningen och försiktighetsansatsen utgör grunden för besluten och att den fleråriga Östersjöplanen för torsk, sill och skarpsill ska tillämpas för de bestånd som omfattas av planen. </w:t>
      </w:r>
    </w:p>
    <w:p w14:paraId="317736C1" w14:textId="77777777" w:rsidR="004133FE" w:rsidRDefault="004133FE" w:rsidP="004133FE">
      <w:pPr>
        <w:widowControl/>
        <w:rPr>
          <w:sz w:val="22"/>
          <w:szCs w:val="22"/>
        </w:rPr>
      </w:pPr>
    </w:p>
    <w:p w14:paraId="457C6A8C" w14:textId="77777777" w:rsidR="004133FE" w:rsidRPr="00E52098" w:rsidRDefault="004133FE" w:rsidP="004133FE">
      <w:pPr>
        <w:widowControl/>
        <w:rPr>
          <w:sz w:val="22"/>
          <w:szCs w:val="22"/>
        </w:rPr>
      </w:pPr>
      <w:r w:rsidRPr="00E52098">
        <w:rPr>
          <w:sz w:val="22"/>
          <w:szCs w:val="22"/>
        </w:rPr>
        <w:t>Regeringen stödjer kompletterande åtgärder som är i linje med Östersjöplanen för torsk, sill/strömming och skarpsill i Östersjön. Därtill</w:t>
      </w:r>
      <w:r>
        <w:rPr>
          <w:sz w:val="22"/>
          <w:szCs w:val="22"/>
        </w:rPr>
        <w:t xml:space="preserve"> </w:t>
      </w:r>
      <w:r w:rsidRPr="00E52098">
        <w:rPr>
          <w:sz w:val="22"/>
          <w:szCs w:val="22"/>
        </w:rPr>
        <w:t>anser regeringen att åtgärder ska vara ändamålsenliga och grundas på</w:t>
      </w:r>
      <w:r>
        <w:rPr>
          <w:sz w:val="22"/>
          <w:szCs w:val="22"/>
        </w:rPr>
        <w:t xml:space="preserve"> </w:t>
      </w:r>
      <w:r w:rsidRPr="00E52098">
        <w:rPr>
          <w:sz w:val="22"/>
          <w:szCs w:val="22"/>
        </w:rPr>
        <w:t>vetenskapliga råd. Regeringen anser att det svenska kustnära fiskets och</w:t>
      </w:r>
      <w:r>
        <w:rPr>
          <w:sz w:val="22"/>
          <w:szCs w:val="22"/>
        </w:rPr>
        <w:t xml:space="preserve"> </w:t>
      </w:r>
      <w:r w:rsidRPr="00E52098">
        <w:rPr>
          <w:sz w:val="22"/>
          <w:szCs w:val="22"/>
        </w:rPr>
        <w:t>berednings</w:t>
      </w:r>
      <w:r>
        <w:rPr>
          <w:sz w:val="22"/>
          <w:szCs w:val="22"/>
        </w:rPr>
        <w:t>-</w:t>
      </w:r>
      <w:r w:rsidRPr="00E52098">
        <w:rPr>
          <w:sz w:val="22"/>
          <w:szCs w:val="22"/>
        </w:rPr>
        <w:t>industrins konkurrenskraft ska värnas och vara livskraftigt.</w:t>
      </w:r>
      <w:r>
        <w:rPr>
          <w:sz w:val="22"/>
          <w:szCs w:val="22"/>
        </w:rPr>
        <w:t xml:space="preserve"> </w:t>
      </w:r>
      <w:r w:rsidRPr="00E52098">
        <w:rPr>
          <w:sz w:val="22"/>
          <w:szCs w:val="22"/>
        </w:rPr>
        <w:t>Fiskemöjligheterna ska inte utformas på ett sätt som oproportionerligt</w:t>
      </w:r>
      <w:r>
        <w:rPr>
          <w:sz w:val="22"/>
          <w:szCs w:val="22"/>
        </w:rPr>
        <w:t xml:space="preserve"> </w:t>
      </w:r>
      <w:r w:rsidRPr="00E52098">
        <w:rPr>
          <w:sz w:val="22"/>
          <w:szCs w:val="22"/>
        </w:rPr>
        <w:t>drabbar näringarna i Sverige. Syftet är att värna det hållbara fiskets</w:t>
      </w:r>
    </w:p>
    <w:p w14:paraId="51104DEE" w14:textId="77777777" w:rsidR="004133FE" w:rsidRPr="00E52098" w:rsidRDefault="004133FE" w:rsidP="004133FE">
      <w:pPr>
        <w:widowControl/>
        <w:rPr>
          <w:sz w:val="22"/>
          <w:szCs w:val="22"/>
        </w:rPr>
      </w:pPr>
      <w:r w:rsidRPr="00E52098">
        <w:rPr>
          <w:sz w:val="22"/>
          <w:szCs w:val="22"/>
        </w:rPr>
        <w:t>konkurrenskraft och att bidra till levande kustsamhällen. Givet torskens</w:t>
      </w:r>
      <w:r>
        <w:rPr>
          <w:sz w:val="22"/>
          <w:szCs w:val="22"/>
        </w:rPr>
        <w:t xml:space="preserve"> </w:t>
      </w:r>
      <w:r w:rsidRPr="00E52098">
        <w:rPr>
          <w:sz w:val="22"/>
          <w:szCs w:val="22"/>
        </w:rPr>
        <w:t>beståndssituation stödjer regeringen införande av lekfredningsperioder för att</w:t>
      </w:r>
      <w:r>
        <w:rPr>
          <w:sz w:val="22"/>
          <w:szCs w:val="22"/>
        </w:rPr>
        <w:t xml:space="preserve"> </w:t>
      </w:r>
      <w:r w:rsidRPr="00E52098">
        <w:rPr>
          <w:sz w:val="22"/>
          <w:szCs w:val="22"/>
        </w:rPr>
        <w:t>skydda torskens lek. När det gäller fritidsfiske anser regeringen generellt att</w:t>
      </w:r>
      <w:r>
        <w:rPr>
          <w:sz w:val="22"/>
          <w:szCs w:val="22"/>
        </w:rPr>
        <w:t xml:space="preserve"> </w:t>
      </w:r>
      <w:r w:rsidRPr="00E52098">
        <w:rPr>
          <w:sz w:val="22"/>
          <w:szCs w:val="22"/>
        </w:rPr>
        <w:t>reglering av fritidsfiske i första hand är varje medlemsstats ansvar och att</w:t>
      </w:r>
    </w:p>
    <w:p w14:paraId="798A91D4" w14:textId="77777777" w:rsidR="004133FE" w:rsidRDefault="004133FE" w:rsidP="004133FE">
      <w:pPr>
        <w:widowControl/>
        <w:rPr>
          <w:sz w:val="22"/>
          <w:szCs w:val="22"/>
        </w:rPr>
      </w:pPr>
      <w:r w:rsidRPr="00E52098">
        <w:rPr>
          <w:sz w:val="22"/>
          <w:szCs w:val="22"/>
        </w:rPr>
        <w:t>EU-lagstiftning på detta område endast bör övervägas i specifika fall och om</w:t>
      </w:r>
      <w:r>
        <w:rPr>
          <w:sz w:val="22"/>
          <w:szCs w:val="22"/>
        </w:rPr>
        <w:t xml:space="preserve"> </w:t>
      </w:r>
      <w:r w:rsidRPr="00E52098">
        <w:rPr>
          <w:sz w:val="22"/>
          <w:szCs w:val="22"/>
        </w:rPr>
        <w:t xml:space="preserve">den kan tillföra </w:t>
      </w:r>
      <w:r>
        <w:rPr>
          <w:sz w:val="22"/>
          <w:szCs w:val="22"/>
        </w:rPr>
        <w:t>m</w:t>
      </w:r>
      <w:r w:rsidRPr="00E52098">
        <w:rPr>
          <w:sz w:val="22"/>
          <w:szCs w:val="22"/>
        </w:rPr>
        <w:t>ervärde. Givet beståndssituationen för vissa av Östersjöns</w:t>
      </w:r>
      <w:r>
        <w:rPr>
          <w:sz w:val="22"/>
          <w:szCs w:val="22"/>
        </w:rPr>
        <w:t xml:space="preserve"> </w:t>
      </w:r>
      <w:r w:rsidRPr="00E52098">
        <w:rPr>
          <w:sz w:val="22"/>
          <w:szCs w:val="22"/>
        </w:rPr>
        <w:t>bestånd och det faktum att fritidsfisket i betydande omfattning bidrar till</w:t>
      </w:r>
      <w:r>
        <w:rPr>
          <w:sz w:val="22"/>
          <w:szCs w:val="22"/>
        </w:rPr>
        <w:t xml:space="preserve"> </w:t>
      </w:r>
      <w:r w:rsidRPr="00E52098">
        <w:rPr>
          <w:sz w:val="22"/>
          <w:szCs w:val="22"/>
        </w:rPr>
        <w:t>fiskedödligheten för dessa bestånd anser regeringen att det för närvarande</w:t>
      </w:r>
      <w:r>
        <w:rPr>
          <w:sz w:val="22"/>
          <w:szCs w:val="22"/>
        </w:rPr>
        <w:t xml:space="preserve"> </w:t>
      </w:r>
      <w:r w:rsidRPr="00E52098">
        <w:rPr>
          <w:sz w:val="22"/>
          <w:szCs w:val="22"/>
        </w:rPr>
        <w:t>finns ett mervärde i att reglera fritidsfisket av torsk och lax i vissa områden i</w:t>
      </w:r>
      <w:r>
        <w:rPr>
          <w:sz w:val="22"/>
          <w:szCs w:val="22"/>
        </w:rPr>
        <w:t xml:space="preserve"> </w:t>
      </w:r>
      <w:r w:rsidRPr="00E52098">
        <w:rPr>
          <w:sz w:val="22"/>
          <w:szCs w:val="22"/>
        </w:rPr>
        <w:t>Östersjön inom ramen för denna förordning.</w:t>
      </w:r>
      <w:r w:rsidRPr="00E52098">
        <w:rPr>
          <w:sz w:val="22"/>
          <w:szCs w:val="22"/>
        </w:rPr>
        <w:cr/>
      </w:r>
      <w:r>
        <w:rPr>
          <w:sz w:val="22"/>
          <w:szCs w:val="22"/>
        </w:rPr>
        <w:br/>
      </w:r>
      <w:r w:rsidRPr="00AB4226">
        <w:rPr>
          <w:sz w:val="22"/>
          <w:szCs w:val="22"/>
        </w:rPr>
        <w:t xml:space="preserve">När det gäller kontroll och efterlevnad konstaterar regeringen att regelefterlevnaden är ett viktigt element för att säkerställa ett hållbart fiske och understryker vikten av att fiskets aktörer konkurrerar på lika villkor genom att kontrollkraven uppfylls på ett likvärdigt sätt i medlemsstaterna. Regeringen anser således att det är angeläget att medlemsstaterna kommer till rätta med de fall av bristfällig regelefterlevnad som påträffas och stödjer att medlemsstaterna tillsammans med kommissionen och EU:s fiskerikontrollmyndighet (EFCA) fortsätter sitt arbete i syfte att uppnå hållbart fiske. </w:t>
      </w:r>
    </w:p>
    <w:p w14:paraId="54096135" w14:textId="77777777" w:rsidR="004133FE" w:rsidRDefault="004133FE" w:rsidP="004133FE">
      <w:pPr>
        <w:widowControl/>
        <w:rPr>
          <w:sz w:val="22"/>
          <w:szCs w:val="22"/>
        </w:rPr>
      </w:pPr>
    </w:p>
    <w:p w14:paraId="756D41F3" w14:textId="06E31D60" w:rsidR="00B96E81" w:rsidRDefault="004133FE" w:rsidP="004133FE">
      <w:pPr>
        <w:pStyle w:val="Brdtext"/>
        <w:rPr>
          <w:sz w:val="22"/>
          <w:szCs w:val="22"/>
        </w:rPr>
      </w:pPr>
      <w:r w:rsidRPr="00AB4226">
        <w:rPr>
          <w:sz w:val="22"/>
          <w:szCs w:val="22"/>
        </w:rPr>
        <w:t>I linje med ovan angivna ståndpunkter stödjer regeringen preliminärt den övergripande inriktningen i kommissionens förslag, men anser att förslaget i delar kan behöva justeras något i syfte att undvika oproportionerliga effekter för de svenska näringarna, framförallt för det svenska lokala kustnära fisket som sker med passiva redskap.</w:t>
      </w:r>
      <w:r>
        <w:t xml:space="preserve"> </w:t>
      </w:r>
    </w:p>
    <w:p w14:paraId="0430B0CF" w14:textId="6DD3E7B7" w:rsidR="004C7BEC" w:rsidRPr="000E5611" w:rsidRDefault="004C7BEC" w:rsidP="001806D9">
      <w:pPr>
        <w:pStyle w:val="Brdtext"/>
        <w:rPr>
          <w:sz w:val="22"/>
          <w:szCs w:val="22"/>
        </w:rPr>
        <w:sectPr w:rsidR="004C7BEC" w:rsidRPr="000E5611" w:rsidSect="00B96E81">
          <w:footerReference w:type="even" r:id="rId8"/>
          <w:footerReference w:type="default" r:id="rId9"/>
          <w:pgSz w:w="11906" w:h="16838" w:code="9"/>
          <w:pgMar w:top="567" w:right="1134" w:bottom="567" w:left="2268" w:header="720" w:footer="720" w:gutter="0"/>
          <w:cols w:space="720"/>
          <w:titlePg/>
        </w:sectPr>
      </w:pPr>
    </w:p>
    <w:p w14:paraId="000C56EE" w14:textId="2FAE657B" w:rsidR="004133FE" w:rsidRDefault="004133FE">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4133FE" w:rsidRPr="0070719B" w14:paraId="57FBDC38" w14:textId="77777777" w:rsidTr="008C159E">
        <w:tc>
          <w:tcPr>
            <w:tcW w:w="6532" w:type="dxa"/>
          </w:tcPr>
          <w:p w14:paraId="746F89A7" w14:textId="77777777" w:rsidR="004133FE" w:rsidRPr="0070719B" w:rsidRDefault="004133FE" w:rsidP="008C159E">
            <w:pPr>
              <w:tabs>
                <w:tab w:val="left" w:pos="1276"/>
              </w:tabs>
              <w:rPr>
                <w:sz w:val="22"/>
                <w:szCs w:val="22"/>
              </w:rPr>
            </w:pPr>
            <w:r w:rsidRPr="0070719B">
              <w:rPr>
                <w:sz w:val="22"/>
                <w:szCs w:val="22"/>
              </w:rPr>
              <w:br w:type="page"/>
              <w:t>MILJÖ- OCH JORDBRUKSUTSKOTTET</w:t>
            </w:r>
          </w:p>
        </w:tc>
        <w:tc>
          <w:tcPr>
            <w:tcW w:w="2206" w:type="dxa"/>
          </w:tcPr>
          <w:p w14:paraId="7600B76A" w14:textId="77777777" w:rsidR="004133FE" w:rsidRPr="0070719B" w:rsidRDefault="004133FE" w:rsidP="008C159E">
            <w:pPr>
              <w:tabs>
                <w:tab w:val="left" w:pos="1276"/>
              </w:tabs>
              <w:rPr>
                <w:sz w:val="22"/>
                <w:szCs w:val="22"/>
              </w:rPr>
            </w:pPr>
          </w:p>
        </w:tc>
        <w:tc>
          <w:tcPr>
            <w:tcW w:w="2036" w:type="dxa"/>
          </w:tcPr>
          <w:p w14:paraId="14894CC8" w14:textId="77777777" w:rsidR="004133FE" w:rsidRPr="0070719B" w:rsidRDefault="004133FE" w:rsidP="008C159E">
            <w:pPr>
              <w:tabs>
                <w:tab w:val="left" w:pos="1276"/>
              </w:tabs>
              <w:ind w:right="-212"/>
              <w:rPr>
                <w:b/>
                <w:sz w:val="22"/>
                <w:szCs w:val="22"/>
              </w:rPr>
            </w:pPr>
            <w:r w:rsidRPr="0070719B">
              <w:rPr>
                <w:b/>
                <w:sz w:val="22"/>
                <w:szCs w:val="22"/>
              </w:rPr>
              <w:t>Bilaga 3</w:t>
            </w:r>
          </w:p>
          <w:p w14:paraId="72533E17" w14:textId="77777777" w:rsidR="004133FE" w:rsidRPr="0070719B" w:rsidRDefault="004133FE" w:rsidP="008C159E">
            <w:pPr>
              <w:tabs>
                <w:tab w:val="left" w:pos="1276"/>
              </w:tabs>
              <w:ind w:right="-212"/>
              <w:rPr>
                <w:sz w:val="22"/>
                <w:szCs w:val="22"/>
              </w:rPr>
            </w:pPr>
            <w:r w:rsidRPr="0070719B">
              <w:rPr>
                <w:sz w:val="22"/>
                <w:szCs w:val="22"/>
              </w:rPr>
              <w:t>till protokoll</w:t>
            </w:r>
          </w:p>
          <w:p w14:paraId="7E81E359" w14:textId="77777777" w:rsidR="004133FE" w:rsidRPr="0070719B" w:rsidRDefault="004133FE" w:rsidP="008C159E">
            <w:pPr>
              <w:tabs>
                <w:tab w:val="left" w:pos="1276"/>
              </w:tabs>
              <w:ind w:right="-212"/>
              <w:rPr>
                <w:b/>
                <w:sz w:val="22"/>
                <w:szCs w:val="22"/>
              </w:rPr>
            </w:pPr>
            <w:r w:rsidRPr="0070719B">
              <w:rPr>
                <w:sz w:val="22"/>
                <w:szCs w:val="22"/>
              </w:rPr>
              <w:t>202</w:t>
            </w:r>
            <w:r>
              <w:rPr>
                <w:sz w:val="22"/>
                <w:szCs w:val="22"/>
              </w:rPr>
              <w:t>2</w:t>
            </w:r>
            <w:r w:rsidRPr="0070719B">
              <w:rPr>
                <w:sz w:val="22"/>
                <w:szCs w:val="22"/>
              </w:rPr>
              <w:t>/2</w:t>
            </w:r>
            <w:r>
              <w:rPr>
                <w:sz w:val="22"/>
                <w:szCs w:val="22"/>
              </w:rPr>
              <w:t>3</w:t>
            </w:r>
            <w:r w:rsidRPr="0070719B">
              <w:rPr>
                <w:sz w:val="22"/>
                <w:szCs w:val="22"/>
              </w:rPr>
              <w:t>:</w:t>
            </w:r>
            <w:r>
              <w:rPr>
                <w:sz w:val="22"/>
                <w:szCs w:val="22"/>
              </w:rPr>
              <w:t>2</w:t>
            </w:r>
          </w:p>
        </w:tc>
      </w:tr>
    </w:tbl>
    <w:p w14:paraId="743C392A" w14:textId="77777777" w:rsidR="004133FE" w:rsidRPr="0070719B" w:rsidRDefault="004133FE" w:rsidP="004133FE">
      <w:pPr>
        <w:rPr>
          <w:b/>
          <w:bCs/>
          <w:sz w:val="22"/>
          <w:szCs w:val="22"/>
        </w:rPr>
      </w:pPr>
    </w:p>
    <w:p w14:paraId="456A04E2" w14:textId="77777777" w:rsidR="004133FE" w:rsidRPr="00704A96" w:rsidRDefault="004133FE" w:rsidP="004133FE">
      <w:pPr>
        <w:rPr>
          <w:rFonts w:eastAsia="Calibri"/>
          <w:b/>
          <w:color w:val="000000"/>
          <w:szCs w:val="22"/>
          <w:lang w:eastAsia="en-US"/>
        </w:rPr>
      </w:pPr>
      <w:r w:rsidRPr="00704A96">
        <w:rPr>
          <w:rFonts w:eastAsia="Calibri"/>
          <w:b/>
          <w:bCs/>
          <w:color w:val="000000"/>
          <w:sz w:val="22"/>
          <w:szCs w:val="22"/>
          <w:lang w:eastAsia="en-US"/>
        </w:rPr>
        <w:t>Kommissionens förslag till rådets förordning om fastställande av fiskemöjligheterna för vissa fiskbestånd och grupper av fiskbestånd i Östersjön för 2023 och om ändring av förordning (EU) 2022/109 vad gäller vissa fiskemöjligheter i andra vatten</w:t>
      </w:r>
      <w:r w:rsidRPr="00704A96">
        <w:rPr>
          <w:rFonts w:eastAsia="Calibri"/>
          <w:b/>
          <w:color w:val="000000"/>
          <w:szCs w:val="22"/>
          <w:lang w:eastAsia="en-US"/>
        </w:rPr>
        <w:t xml:space="preserve"> </w:t>
      </w:r>
    </w:p>
    <w:p w14:paraId="0F4A1910" w14:textId="77777777" w:rsidR="004133FE" w:rsidRDefault="004133FE" w:rsidP="004133FE">
      <w:pPr>
        <w:tabs>
          <w:tab w:val="left" w:pos="1701"/>
        </w:tabs>
        <w:rPr>
          <w:b/>
          <w:bCs/>
          <w:color w:val="000000"/>
          <w:sz w:val="22"/>
          <w:szCs w:val="22"/>
        </w:rPr>
      </w:pPr>
    </w:p>
    <w:p w14:paraId="28B02ED1" w14:textId="77777777" w:rsidR="004133FE" w:rsidRPr="0070719B" w:rsidRDefault="004133FE" w:rsidP="004133FE">
      <w:pPr>
        <w:tabs>
          <w:tab w:val="left" w:pos="1701"/>
        </w:tabs>
        <w:rPr>
          <w:b/>
          <w:bCs/>
          <w:color w:val="000000"/>
          <w:sz w:val="22"/>
          <w:szCs w:val="22"/>
        </w:rPr>
      </w:pPr>
    </w:p>
    <w:p w14:paraId="0A00BDA7" w14:textId="77777777" w:rsidR="004133FE" w:rsidRDefault="004133FE" w:rsidP="004133FE">
      <w:pPr>
        <w:tabs>
          <w:tab w:val="left" w:pos="1701"/>
        </w:tabs>
        <w:rPr>
          <w:b/>
          <w:bCs/>
          <w:color w:val="000000"/>
          <w:sz w:val="22"/>
          <w:szCs w:val="22"/>
        </w:rPr>
      </w:pPr>
      <w:r w:rsidRPr="001D24C3">
        <w:rPr>
          <w:b/>
          <w:bCs/>
          <w:color w:val="000000"/>
          <w:sz w:val="22"/>
          <w:szCs w:val="22"/>
        </w:rPr>
        <w:t>SD-, M-, KD- och L-ledamöterna anmälde följande avvikande ståndpunkt:</w:t>
      </w:r>
    </w:p>
    <w:p w14:paraId="59786C35" w14:textId="77777777" w:rsidR="004133FE" w:rsidRPr="00F23798" w:rsidRDefault="004133FE" w:rsidP="004133FE">
      <w:pPr>
        <w:overflowPunct w:val="0"/>
        <w:autoSpaceDE w:val="0"/>
        <w:autoSpaceDN w:val="0"/>
        <w:adjustRightInd w:val="0"/>
        <w:spacing w:line="240" w:lineRule="atLeast"/>
        <w:textAlignment w:val="baseline"/>
        <w:rPr>
          <w:sz w:val="22"/>
          <w:szCs w:val="22"/>
        </w:rPr>
      </w:pPr>
      <w:r w:rsidRPr="00F23798">
        <w:rPr>
          <w:sz w:val="22"/>
          <w:szCs w:val="22"/>
        </w:rPr>
        <w:t xml:space="preserve">Regeringens övergripande målsättning är att förvaltningsåtgärder ska beslutas i linje med den gemensamma fiskeripolitikens mål och principer. Regeringen anser således att fiske- och vattenbruksverksamheterna ska vara miljömässigt hållbara på lång sikt och förvaltas på ett sätt som är förenligt med målen om att uppnå nytta i ekonomiskt, socialt och sysselsättningshänseende. Därtill ska de bidra till att trygga livsmedelsförsörjningen som en del av ett hållbart livsmedelssystem samtidigt som det hållbara småskaliga fiskets konkurrenskraft värnas. Regeringens målsättning är därför också att åtgärderna ska vara i linje med Livsmedelsstrategin och Agenda 2030. </w:t>
      </w:r>
    </w:p>
    <w:p w14:paraId="7BDC2476" w14:textId="77777777" w:rsidR="004133FE" w:rsidRPr="00F23798" w:rsidRDefault="004133FE" w:rsidP="004133FE">
      <w:pPr>
        <w:overflowPunct w:val="0"/>
        <w:autoSpaceDE w:val="0"/>
        <w:autoSpaceDN w:val="0"/>
        <w:adjustRightInd w:val="0"/>
        <w:spacing w:line="240" w:lineRule="atLeast"/>
        <w:textAlignment w:val="baseline"/>
        <w:rPr>
          <w:sz w:val="22"/>
          <w:szCs w:val="22"/>
        </w:rPr>
      </w:pPr>
    </w:p>
    <w:p w14:paraId="476FC2B2" w14:textId="77777777" w:rsidR="004133FE" w:rsidRPr="00F23798" w:rsidRDefault="004133FE" w:rsidP="004133FE">
      <w:pPr>
        <w:overflowPunct w:val="0"/>
        <w:autoSpaceDE w:val="0"/>
        <w:autoSpaceDN w:val="0"/>
        <w:adjustRightInd w:val="0"/>
        <w:spacing w:line="240" w:lineRule="atLeast"/>
        <w:textAlignment w:val="baseline"/>
        <w:rPr>
          <w:sz w:val="22"/>
          <w:szCs w:val="22"/>
        </w:rPr>
      </w:pPr>
      <w:r w:rsidRPr="00F23798">
        <w:rPr>
          <w:sz w:val="22"/>
          <w:szCs w:val="22"/>
        </w:rPr>
        <w:t xml:space="preserve">När det gäller fiskemöjligheter anser regeringen således att det är angeläget att nå målen om beståndsstorlek över den nivå som kan ge maximalt hållbar avkastning (MSY), att den gemensamma fiskeripolitikens mål om landningsskyldighet möjliggörs, att den vetenskapliga rådgivningen och försiktighetsansatsen utgör grunden för besluten och att den fleråriga Östersjöplanen för torsk, sill och skarpsill ska tillämpas för de bestånd som omfattas av planen. </w:t>
      </w:r>
    </w:p>
    <w:p w14:paraId="258CFC02" w14:textId="77777777" w:rsidR="004133FE" w:rsidRPr="00F23798" w:rsidRDefault="004133FE" w:rsidP="004133FE">
      <w:pPr>
        <w:overflowPunct w:val="0"/>
        <w:autoSpaceDE w:val="0"/>
        <w:autoSpaceDN w:val="0"/>
        <w:adjustRightInd w:val="0"/>
        <w:spacing w:line="240" w:lineRule="atLeast"/>
        <w:textAlignment w:val="baseline"/>
        <w:rPr>
          <w:sz w:val="22"/>
          <w:szCs w:val="22"/>
        </w:rPr>
      </w:pPr>
    </w:p>
    <w:p w14:paraId="2CACAE4C" w14:textId="77777777" w:rsidR="004133FE" w:rsidRPr="00F23798" w:rsidRDefault="004133FE" w:rsidP="004133FE">
      <w:pPr>
        <w:overflowPunct w:val="0"/>
        <w:autoSpaceDE w:val="0"/>
        <w:autoSpaceDN w:val="0"/>
        <w:adjustRightInd w:val="0"/>
        <w:spacing w:line="240" w:lineRule="atLeast"/>
        <w:textAlignment w:val="baseline"/>
        <w:rPr>
          <w:sz w:val="22"/>
          <w:szCs w:val="22"/>
        </w:rPr>
      </w:pPr>
      <w:r w:rsidRPr="00F23798">
        <w:rPr>
          <w:sz w:val="22"/>
          <w:szCs w:val="22"/>
        </w:rPr>
        <w:t xml:space="preserve">Regeringen stödjer kompletterande åtgärder som är i linje med Östersjöplanen för torsk, sill/strömming och skarpsill i Östersjön. Därtill anser regeringen att åtgärder ska vara ändamålsenliga och grundas på vetenskapliga råd. Regeringen anser att det svenska kustnära fiskets och beredningsindustrins konkurrenskraft ska värnas och vara livskraftigt. Fiskemöjligheterna ska inte utformas på ett sätt som oproportionerligt drabbar näringarna i Sverige. Syftet är att värna det hållbara fiskets konkurrenskraft och att bidra till levande kustsamhällen. Givet torskens beståndssituation stödjer regeringen införande av lekfredningsperioder för att skydda torskens lek. När det gäller fritidsfiske anser regeringen generellt att reglering av fritidsfiske i första hand är varje medlemsstats ansvar och att EU-lagstiftning på detta område endast bör övervägas i specifika fall och om den kan tillföra mervärde. Givet beståndssituationen för vissa av Östersjöns bestånd och det faktum att fritidsfisket i betydande omfattning bidrar till fiskedödligheten för dessa bestånd anser regeringen att det för närvarande finns ett mervärde i att reglera fritidsfisket av torsk och lax i vissa områden i Östersjön inom ramen för denna förordning. </w:t>
      </w:r>
    </w:p>
    <w:p w14:paraId="77A75DB7" w14:textId="77777777" w:rsidR="004133FE" w:rsidRPr="00F23798" w:rsidRDefault="004133FE" w:rsidP="004133FE">
      <w:pPr>
        <w:overflowPunct w:val="0"/>
        <w:autoSpaceDE w:val="0"/>
        <w:autoSpaceDN w:val="0"/>
        <w:adjustRightInd w:val="0"/>
        <w:spacing w:line="240" w:lineRule="atLeast"/>
        <w:textAlignment w:val="baseline"/>
        <w:rPr>
          <w:sz w:val="22"/>
          <w:szCs w:val="22"/>
        </w:rPr>
      </w:pPr>
    </w:p>
    <w:p w14:paraId="6AC339F4" w14:textId="77777777" w:rsidR="004133FE" w:rsidRPr="00F23798" w:rsidRDefault="004133FE" w:rsidP="004133FE">
      <w:pPr>
        <w:overflowPunct w:val="0"/>
        <w:autoSpaceDE w:val="0"/>
        <w:autoSpaceDN w:val="0"/>
        <w:adjustRightInd w:val="0"/>
        <w:spacing w:line="240" w:lineRule="atLeast"/>
        <w:textAlignment w:val="baseline"/>
        <w:rPr>
          <w:sz w:val="22"/>
          <w:szCs w:val="22"/>
        </w:rPr>
      </w:pPr>
      <w:r w:rsidRPr="00F23798">
        <w:rPr>
          <w:sz w:val="22"/>
          <w:szCs w:val="22"/>
        </w:rPr>
        <w:t xml:space="preserve">När det gäller kontroll och efterlevnad konstaterar regeringen att regelefterlevnaden är ett viktigt element för att säkerställa ett hållbart fiske och understryker vikten av att fiskets aktörer konkurrerar på lika villkor genom att kontrollkraven uppfylls på ett likvärdigt sätt i medlemsstaterna. Regeringen anser således att det är angeläget att medlemsstaterna kommer till rätta med de fall av bristfällig regelefterlevnad som påträffas och stödjer att medlemsstaterna tillsammans med kommissionen och EU:s fiskerikontrollmyndighet (EFCA) fortsätter sitt arbete i syfte att uppnå hållbart fiske. </w:t>
      </w:r>
    </w:p>
    <w:p w14:paraId="5E9324DF" w14:textId="77777777" w:rsidR="004133FE" w:rsidRPr="00F23798" w:rsidRDefault="004133FE" w:rsidP="004133FE">
      <w:pPr>
        <w:spacing w:line="240" w:lineRule="atLeast"/>
        <w:rPr>
          <w:sz w:val="22"/>
          <w:szCs w:val="22"/>
        </w:rPr>
      </w:pPr>
    </w:p>
    <w:p w14:paraId="4DFA7A0B" w14:textId="77777777" w:rsidR="004133FE" w:rsidRPr="00F23798" w:rsidRDefault="004133FE" w:rsidP="004133FE">
      <w:pPr>
        <w:spacing w:line="240" w:lineRule="atLeast"/>
        <w:rPr>
          <w:sz w:val="22"/>
          <w:szCs w:val="22"/>
        </w:rPr>
      </w:pPr>
      <w:r w:rsidRPr="00F23798">
        <w:rPr>
          <w:sz w:val="22"/>
          <w:szCs w:val="22"/>
        </w:rPr>
        <w:t xml:space="preserve">I linje med ovan angivna ståndpunkter stödjer regeringen preliminärt den övergripande inriktningen i kommissionens förslag, men anser att förslaget i delar kan behöva justeras ner, bland annat i syfte att </w:t>
      </w:r>
      <w:r w:rsidRPr="00F23798">
        <w:rPr>
          <w:color w:val="FF0000"/>
          <w:sz w:val="22"/>
          <w:szCs w:val="22"/>
        </w:rPr>
        <w:t>säkerställa att den långsiktiga beståndssituationen för sillen i Östersjön förbättras samt</w:t>
      </w:r>
      <w:r w:rsidRPr="00F23798">
        <w:rPr>
          <w:sz w:val="22"/>
          <w:szCs w:val="22"/>
        </w:rPr>
        <w:t xml:space="preserve"> undvika oproportionerliga effekter för de svenska näringarna, framförallt för det svenska lokala kustnära fisket som sker med passiva redskap.</w:t>
      </w:r>
    </w:p>
    <w:p w14:paraId="1D28DB94" w14:textId="77777777" w:rsidR="004133FE" w:rsidRPr="00F23798" w:rsidRDefault="004133FE" w:rsidP="004133FE">
      <w:pPr>
        <w:rPr>
          <w:color w:val="FF0000"/>
          <w:sz w:val="22"/>
          <w:szCs w:val="22"/>
        </w:rPr>
      </w:pPr>
      <w:r w:rsidRPr="00F23798">
        <w:rPr>
          <w:color w:val="FF0000"/>
          <w:sz w:val="22"/>
          <w:szCs w:val="22"/>
        </w:rPr>
        <w:t xml:space="preserve">Regeringen menar att fiskemöjligheterna i högre grad bör utformas utifrån en försiktighetsansats, som även tar hänsyn till beståndens lekbiomassa och faktiska ålders- och storleksstruktur, övriga faktorer med negativ påverkan på beståndssituationen samt till beståndens roll i ekosystemet. </w:t>
      </w:r>
    </w:p>
    <w:p w14:paraId="7BC5C9E5" w14:textId="478AFDF5" w:rsidR="004133FE" w:rsidRDefault="004133FE" w:rsidP="004133FE">
      <w:pPr>
        <w:rPr>
          <w:color w:val="FF0000"/>
          <w:sz w:val="22"/>
          <w:szCs w:val="22"/>
        </w:rPr>
      </w:pPr>
      <w:r w:rsidRPr="00F23798">
        <w:rPr>
          <w:color w:val="FF0000"/>
          <w:sz w:val="22"/>
          <w:szCs w:val="22"/>
        </w:rPr>
        <w:t>Regeringen menar att fiskemöjligheterna därmed bör vara mer återhållsamma än Kommissionens förslag. I synnerhet då det gäller strömming i Bottenviken.</w:t>
      </w:r>
      <w:r>
        <w:rPr>
          <w:color w:val="FF0000"/>
          <w:sz w:val="22"/>
          <w:szCs w:val="22"/>
        </w:rPr>
        <w:t xml:space="preserve"> </w:t>
      </w:r>
    </w:p>
    <w:p w14:paraId="3A3D696F" w14:textId="77777777" w:rsidR="004133FE" w:rsidRDefault="004133FE" w:rsidP="004133FE">
      <w:pPr>
        <w:rPr>
          <w:sz w:val="22"/>
          <w:szCs w:val="22"/>
        </w:rPr>
      </w:pPr>
    </w:p>
    <w:p w14:paraId="3F487158" w14:textId="77777777" w:rsidR="004133FE" w:rsidRPr="00F23798" w:rsidRDefault="004133FE" w:rsidP="004133FE">
      <w:pPr>
        <w:rPr>
          <w:color w:val="FF0000"/>
          <w:sz w:val="22"/>
          <w:szCs w:val="22"/>
        </w:rPr>
      </w:pPr>
      <w:r w:rsidRPr="00F23798">
        <w:rPr>
          <w:color w:val="FF0000"/>
          <w:sz w:val="22"/>
          <w:szCs w:val="22"/>
        </w:rPr>
        <w:t>Regeringen anser även att det är viktigt att kommissionen tillsammans med medlemsstaterna arbetar för att åtgärda eventuella brister vad gäller datainsamling som ICES pekar ut, i syfte att förbättra kunskapsunderlaget samt öka träffsäkerheten i linje med försiktighetsansatsen och ekosystemansatsen.</w:t>
      </w:r>
    </w:p>
    <w:p w14:paraId="59310041" w14:textId="6102A176" w:rsidR="004133FE" w:rsidRDefault="004133FE" w:rsidP="004133FE">
      <w:pPr>
        <w:tabs>
          <w:tab w:val="left" w:pos="1701"/>
        </w:tabs>
        <w:rPr>
          <w:b/>
          <w:bCs/>
          <w:color w:val="000000"/>
          <w:sz w:val="22"/>
          <w:szCs w:val="22"/>
        </w:rPr>
      </w:pPr>
    </w:p>
    <w:p w14:paraId="3CF9196A" w14:textId="3B50C06A" w:rsidR="004133FE" w:rsidRDefault="004133FE" w:rsidP="004133FE">
      <w:pPr>
        <w:tabs>
          <w:tab w:val="left" w:pos="1701"/>
        </w:tabs>
        <w:rPr>
          <w:b/>
          <w:bCs/>
          <w:color w:val="000000"/>
          <w:sz w:val="22"/>
          <w:szCs w:val="22"/>
        </w:rPr>
      </w:pPr>
    </w:p>
    <w:p w14:paraId="23F2723C" w14:textId="77777777" w:rsidR="004133FE" w:rsidRDefault="004133FE" w:rsidP="004133FE">
      <w:pPr>
        <w:tabs>
          <w:tab w:val="left" w:pos="1701"/>
        </w:tabs>
        <w:rPr>
          <w:b/>
          <w:bCs/>
          <w:color w:val="000000"/>
          <w:sz w:val="22"/>
          <w:szCs w:val="22"/>
        </w:rPr>
      </w:pPr>
    </w:p>
    <w:p w14:paraId="47E39BCC" w14:textId="77777777" w:rsidR="004133FE" w:rsidRDefault="004133FE" w:rsidP="004133FE">
      <w:pPr>
        <w:tabs>
          <w:tab w:val="left" w:pos="1701"/>
        </w:tabs>
        <w:rPr>
          <w:b/>
          <w:bCs/>
          <w:color w:val="000000"/>
          <w:sz w:val="22"/>
          <w:szCs w:val="22"/>
        </w:rPr>
      </w:pPr>
      <w:r>
        <w:rPr>
          <w:b/>
          <w:bCs/>
          <w:color w:val="000000"/>
          <w:sz w:val="22"/>
          <w:szCs w:val="22"/>
        </w:rPr>
        <w:lastRenderedPageBreak/>
        <w:t>V-</w:t>
      </w:r>
      <w:r w:rsidRPr="001D24C3">
        <w:rPr>
          <w:b/>
          <w:bCs/>
          <w:color w:val="000000"/>
          <w:sz w:val="22"/>
          <w:szCs w:val="22"/>
        </w:rPr>
        <w:t>ledam</w:t>
      </w:r>
      <w:r>
        <w:rPr>
          <w:b/>
          <w:bCs/>
          <w:color w:val="000000"/>
          <w:sz w:val="22"/>
          <w:szCs w:val="22"/>
        </w:rPr>
        <w:t>o</w:t>
      </w:r>
      <w:r w:rsidRPr="001D24C3">
        <w:rPr>
          <w:b/>
          <w:bCs/>
          <w:color w:val="000000"/>
          <w:sz w:val="22"/>
          <w:szCs w:val="22"/>
        </w:rPr>
        <w:t>ten anmälde följande avvikande ståndpunkt:</w:t>
      </w:r>
    </w:p>
    <w:p w14:paraId="01DCC751" w14:textId="77777777" w:rsidR="004133FE" w:rsidRPr="00F23798" w:rsidRDefault="004133FE" w:rsidP="004133FE">
      <w:pPr>
        <w:tabs>
          <w:tab w:val="left" w:pos="1701"/>
        </w:tabs>
        <w:rPr>
          <w:color w:val="000000"/>
          <w:sz w:val="22"/>
          <w:szCs w:val="22"/>
        </w:rPr>
      </w:pPr>
      <w:r w:rsidRPr="00F23798">
        <w:rPr>
          <w:color w:val="000000"/>
          <w:sz w:val="22"/>
          <w:szCs w:val="22"/>
        </w:rPr>
        <w:t>Sverige bör som mininivå ställa sig bakom kommissionens förslag men verka för att skärpa förslagen för att stärka bestånden. Det är nödvändigt att ekosystemansatsen tillämpas och försiktighetsprincipen är utgångspunkten för ett hållbart fiske. Sverige bör verka för nollkvoter för på torskbestånden samt den västliga sillen. Kommissionen har i dessa delar föreslagit en bifångstkvot, men att det riktade fisket förbjuds. Det är ett steg i rätt riktning men inte tillräckligt. Sverige bör därutöver driva krav på nollkvot på laxen i centrala Östersjön (huvudbasängen), vilket kommissionen inte föreslår. Gällande sill/strömming är det nödvändigt att uppmärksamma förekomsten av lokala bestånd och deras koppling till bestånd och fiske utanför kusten, vilket stärker nödvändigheten av sänkta kvoter. När det gäller skarpsill (SD 22-32) bör Sverige verka för en lägre kvot då detta uttag kan riskera att ha påverkan på både torsken och strömmingen i Östersjön och i förlängningen ekosystemets funktion.</w:t>
      </w:r>
    </w:p>
    <w:p w14:paraId="0DD7189D" w14:textId="77777777" w:rsidR="004133FE" w:rsidRPr="00F23798" w:rsidRDefault="004133FE" w:rsidP="004133FE">
      <w:pPr>
        <w:tabs>
          <w:tab w:val="left" w:pos="1701"/>
        </w:tabs>
        <w:rPr>
          <w:b/>
          <w:bCs/>
          <w:color w:val="000000"/>
          <w:sz w:val="22"/>
          <w:szCs w:val="22"/>
        </w:rPr>
      </w:pPr>
    </w:p>
    <w:p w14:paraId="0FD7FCA2" w14:textId="77777777" w:rsidR="004133FE" w:rsidRPr="00F23798" w:rsidRDefault="004133FE" w:rsidP="004133FE">
      <w:pPr>
        <w:tabs>
          <w:tab w:val="left" w:pos="1701"/>
        </w:tabs>
        <w:rPr>
          <w:b/>
          <w:bCs/>
          <w:color w:val="000000"/>
          <w:sz w:val="22"/>
          <w:szCs w:val="22"/>
        </w:rPr>
      </w:pPr>
    </w:p>
    <w:p w14:paraId="6C0382CE" w14:textId="77777777" w:rsidR="004133FE" w:rsidRPr="00F23798" w:rsidRDefault="004133FE" w:rsidP="004133FE">
      <w:pPr>
        <w:tabs>
          <w:tab w:val="left" w:pos="1701"/>
        </w:tabs>
        <w:rPr>
          <w:b/>
          <w:bCs/>
          <w:color w:val="000000"/>
          <w:sz w:val="22"/>
          <w:szCs w:val="22"/>
        </w:rPr>
      </w:pPr>
      <w:r w:rsidRPr="00F23798">
        <w:rPr>
          <w:b/>
          <w:bCs/>
          <w:color w:val="000000"/>
          <w:sz w:val="22"/>
          <w:szCs w:val="22"/>
        </w:rPr>
        <w:t>MP-ledamoten anmälde följande avvikande ståndpunkt:</w:t>
      </w:r>
    </w:p>
    <w:p w14:paraId="5DBDFC44" w14:textId="77777777" w:rsidR="004133FE" w:rsidRPr="00F23798" w:rsidRDefault="004133FE" w:rsidP="004133FE">
      <w:pPr>
        <w:tabs>
          <w:tab w:val="left" w:pos="1701"/>
        </w:tabs>
        <w:rPr>
          <w:color w:val="000000"/>
          <w:sz w:val="22"/>
          <w:szCs w:val="22"/>
        </w:rPr>
      </w:pPr>
      <w:r w:rsidRPr="00F23798">
        <w:rPr>
          <w:color w:val="000000"/>
          <w:sz w:val="22"/>
          <w:szCs w:val="22"/>
        </w:rPr>
        <w:t>Miljöpartiet anser att det bör framgå tydligt att Sveriges ståndpunkt är att det kritiska läget för Östersjöns ekosystem och flertalet fiskbestånd särskilt bör beaktas vid beslutet om fiskekvoter för 2023. Läget för fisket i Östersjön har försämrats.  Det över tid kraftigt ökade fisket är en nyckel-anledning till situationen och de varningar och osäkerheter som finns i ICES rekommendationer har inte beaktats vid beslut om förvaltning. Dessutom utgör även Östersjöns dåliga miljötillstånd i övrigt, miljögifter och klimatförändringarna en stark stress, och påverkar hela ekosystemet oerhört negativt. ICES rådgivning är för snäv, och det är av yttersta vikt att hänsyn till storleks- och åldersstruktur börjar tas i förvaltningen i enlighet med kriterierna i Havsmiljödirektivet.</w:t>
      </w:r>
    </w:p>
    <w:p w14:paraId="5C83980A" w14:textId="77777777" w:rsidR="004133FE" w:rsidRPr="00F23798" w:rsidRDefault="004133FE" w:rsidP="004133FE">
      <w:pPr>
        <w:tabs>
          <w:tab w:val="left" w:pos="1701"/>
        </w:tabs>
        <w:rPr>
          <w:color w:val="000000"/>
          <w:sz w:val="22"/>
          <w:szCs w:val="22"/>
        </w:rPr>
      </w:pPr>
    </w:p>
    <w:p w14:paraId="3F6CA195" w14:textId="77777777" w:rsidR="004133FE" w:rsidRPr="00F23798" w:rsidRDefault="004133FE" w:rsidP="004133FE">
      <w:pPr>
        <w:tabs>
          <w:tab w:val="left" w:pos="1701"/>
        </w:tabs>
        <w:rPr>
          <w:color w:val="000000"/>
          <w:sz w:val="22"/>
          <w:szCs w:val="22"/>
        </w:rPr>
      </w:pPr>
      <w:r w:rsidRPr="00F23798">
        <w:rPr>
          <w:color w:val="000000"/>
          <w:sz w:val="22"/>
          <w:szCs w:val="22"/>
        </w:rPr>
        <w:t>Fiske- och vattenbruksverksamheter ska vara miljömässigt hållbara på lång sikt och ekosystemets livskraft ska vara utgångspunkt i förvaltningen. Företräde ska ges åt det kustnära, småskaliga fisket för humankonsumtion.</w:t>
      </w:r>
    </w:p>
    <w:p w14:paraId="457FA4D3" w14:textId="77777777" w:rsidR="004133FE" w:rsidRPr="00F23798" w:rsidRDefault="004133FE" w:rsidP="004133FE">
      <w:pPr>
        <w:tabs>
          <w:tab w:val="left" w:pos="1701"/>
        </w:tabs>
        <w:rPr>
          <w:color w:val="000000"/>
          <w:sz w:val="22"/>
          <w:szCs w:val="22"/>
        </w:rPr>
      </w:pPr>
    </w:p>
    <w:p w14:paraId="4CE3085F" w14:textId="77777777" w:rsidR="004133FE" w:rsidRPr="00F23798" w:rsidRDefault="004133FE" w:rsidP="004133FE">
      <w:pPr>
        <w:tabs>
          <w:tab w:val="left" w:pos="1701"/>
        </w:tabs>
        <w:rPr>
          <w:color w:val="000000"/>
          <w:sz w:val="22"/>
          <w:szCs w:val="22"/>
        </w:rPr>
      </w:pPr>
      <w:r w:rsidRPr="00F23798">
        <w:rPr>
          <w:color w:val="000000"/>
          <w:sz w:val="22"/>
          <w:szCs w:val="22"/>
        </w:rPr>
        <w:t xml:space="preserve">Miljöpartiet anser att utgångspunkter för fiskekvoterna för Östersjön 2023 bör vara en tydlig försiktighetsansats, det riskfyllda läget taget i beaktande Östersjöns dåliga miljösituation samt havsmiljödirektivets mål om en god storleks- och åldersstruktur för fiskbestånd. Fiskemöjligheterna bör därför fastställas till en nivå som gör att fiskeridödligheten ligger mellan 50 – 80 procent (beroende på bestånd) lägre än det av ICES beräknade Fmsy-värdet. Detta bör gälla för alla kommersiella bestånd. </w:t>
      </w:r>
    </w:p>
    <w:p w14:paraId="3CC4F68F" w14:textId="77777777" w:rsidR="004133FE" w:rsidRPr="00F23798" w:rsidRDefault="004133FE" w:rsidP="004133FE">
      <w:pPr>
        <w:tabs>
          <w:tab w:val="left" w:pos="1701"/>
        </w:tabs>
        <w:rPr>
          <w:color w:val="000000"/>
          <w:sz w:val="22"/>
          <w:szCs w:val="22"/>
        </w:rPr>
      </w:pPr>
    </w:p>
    <w:p w14:paraId="6B33A1D1" w14:textId="77777777" w:rsidR="004133FE" w:rsidRPr="00F23798" w:rsidRDefault="004133FE" w:rsidP="004133FE">
      <w:pPr>
        <w:tabs>
          <w:tab w:val="left" w:pos="1701"/>
        </w:tabs>
        <w:rPr>
          <w:color w:val="000000"/>
          <w:sz w:val="22"/>
          <w:szCs w:val="22"/>
        </w:rPr>
      </w:pPr>
      <w:r w:rsidRPr="00F23798">
        <w:rPr>
          <w:color w:val="000000"/>
          <w:sz w:val="22"/>
          <w:szCs w:val="22"/>
        </w:rPr>
        <w:t>Det är också viktigt att kommissionen tillsammans med medlemsstaterna arbetar för att åtgärda brister gällande datainsamling som ICES pekar ut i syfte att förbättra kunskapsunderlaget samt skyndsamt ökar träffsäkerheten i rådgivningen i linje med försiktighetsansatsen och ekosystemansatsen.</w:t>
      </w:r>
    </w:p>
    <w:p w14:paraId="36D3AEE9" w14:textId="77777777" w:rsidR="004133FE" w:rsidRPr="00F23798" w:rsidRDefault="004133FE" w:rsidP="004133FE">
      <w:pPr>
        <w:tabs>
          <w:tab w:val="left" w:pos="1701"/>
        </w:tabs>
        <w:rPr>
          <w:color w:val="000000"/>
          <w:sz w:val="22"/>
          <w:szCs w:val="22"/>
        </w:rPr>
      </w:pPr>
    </w:p>
    <w:p w14:paraId="71E9EE58" w14:textId="77777777" w:rsidR="004133FE" w:rsidRPr="00F23798" w:rsidRDefault="004133FE" w:rsidP="004133FE">
      <w:pPr>
        <w:tabs>
          <w:tab w:val="left" w:pos="1701"/>
        </w:tabs>
        <w:rPr>
          <w:color w:val="000000"/>
          <w:sz w:val="22"/>
          <w:szCs w:val="22"/>
        </w:rPr>
      </w:pPr>
      <w:r w:rsidRPr="00F23798">
        <w:rPr>
          <w:color w:val="000000"/>
          <w:sz w:val="22"/>
          <w:szCs w:val="22"/>
        </w:rPr>
        <w:t xml:space="preserve">Kommissionens förslag innebär ett steg framåt för fiskeförvaltningen, men Miljöpartiet anser att förslaget ändå är otillräckligt, givet Östersjöns kritiska tillstånd. Kvoterna behöver därför minskas i syfte att undvika risken för ytterligare försämrad ekologisk status och försämrad situation för det svenska lokala kustnära fisket för humankonsumtion. </w:t>
      </w:r>
    </w:p>
    <w:p w14:paraId="36698DAC" w14:textId="77777777" w:rsidR="004133FE" w:rsidRPr="00F23798" w:rsidRDefault="004133FE" w:rsidP="004133FE">
      <w:pPr>
        <w:tabs>
          <w:tab w:val="left" w:pos="1701"/>
        </w:tabs>
        <w:rPr>
          <w:color w:val="000000"/>
          <w:sz w:val="22"/>
          <w:szCs w:val="22"/>
        </w:rPr>
      </w:pPr>
    </w:p>
    <w:p w14:paraId="5C2B7F50" w14:textId="5361F04B" w:rsidR="004133FE" w:rsidRPr="00F23798" w:rsidRDefault="004133FE" w:rsidP="004133FE">
      <w:pPr>
        <w:widowControl/>
        <w:rPr>
          <w:color w:val="000000"/>
          <w:sz w:val="22"/>
          <w:szCs w:val="22"/>
        </w:rPr>
      </w:pPr>
      <w:r w:rsidRPr="00F23798">
        <w:rPr>
          <w:color w:val="000000"/>
          <w:sz w:val="22"/>
          <w:szCs w:val="22"/>
        </w:rPr>
        <w:t>Framöver anser regeringen att diskussioner i rådet om en avvecklingsplan för det industriella fisket bör inledas, då de argument som anfördes vid avskaffandet av det generella förbudet mot industriell trålning, nämligen att bestånden var i gott skick, inte längre är giltigt. Särskilt oroande är beståndsutvecklingen i centrala Östersjön, där kommissionen föreslår en ökning av fisket, men där kraftiga neddragningar i linje med ovanstående angivna procentsatser i förhållande till ICES rådgivning krävs, i väntan på att en avveckling av industrifisket genomförs. Även beståndssituationen för sill i Bottniska viken är kritisk, och för detta område är kommissionens förslag till neddragning av fisket inte tillräckligt omfattande. Här behövs en neddragning till omkring en femtedel av Fmsy i relation till ICES råd, i väntan på att det industriella fisket upphör. Situationen för torsken är så pass allvarlig att bifångstkvoterna bör strykas helt, vilket även gäller för den västliga sillen. Även situationen för skarpsillen är mycket oroande, och även det faktum att det är ett blandfiske med sill och strömming i Östersjön är skäl till att skarpsillskvoten bör halveras i förhållande till ICES förslag. Även laxfisket bör få en nollkvot i hela Östersjön.</w:t>
      </w:r>
    </w:p>
    <w:p w14:paraId="0BC012DB" w14:textId="77777777" w:rsidR="004133FE" w:rsidRPr="00F23798" w:rsidRDefault="004133FE" w:rsidP="004133FE">
      <w:pPr>
        <w:tabs>
          <w:tab w:val="left" w:pos="1701"/>
        </w:tabs>
        <w:rPr>
          <w:b/>
          <w:bCs/>
          <w:color w:val="000000"/>
          <w:sz w:val="22"/>
          <w:szCs w:val="22"/>
        </w:rPr>
      </w:pPr>
    </w:p>
    <w:p w14:paraId="62A01986" w14:textId="77777777" w:rsidR="004133FE" w:rsidRDefault="004133FE" w:rsidP="004133FE">
      <w:pPr>
        <w:tabs>
          <w:tab w:val="left" w:pos="1701"/>
        </w:tabs>
        <w:rPr>
          <w:b/>
          <w:bCs/>
          <w:color w:val="000000"/>
          <w:sz w:val="22"/>
          <w:szCs w:val="22"/>
        </w:rPr>
      </w:pPr>
      <w:r w:rsidRPr="00F23798">
        <w:rPr>
          <w:b/>
          <w:bCs/>
          <w:color w:val="000000"/>
          <w:sz w:val="22"/>
          <w:szCs w:val="22"/>
        </w:rPr>
        <w:t>L-ledamoten anmälde följande avvikande ståndpunkt:</w:t>
      </w:r>
    </w:p>
    <w:p w14:paraId="33000BD6" w14:textId="77777777" w:rsidR="004133FE" w:rsidRPr="00BC172C" w:rsidRDefault="004133FE" w:rsidP="004133FE">
      <w:pPr>
        <w:tabs>
          <w:tab w:val="left" w:pos="1701"/>
        </w:tabs>
        <w:rPr>
          <w:color w:val="000000"/>
          <w:sz w:val="22"/>
          <w:szCs w:val="22"/>
        </w:rPr>
      </w:pPr>
      <w:r w:rsidRPr="00BC172C">
        <w:rPr>
          <w:color w:val="000000"/>
          <w:sz w:val="22"/>
          <w:szCs w:val="22"/>
        </w:rPr>
        <w:t>Liberalerna vill framhäva vikten av att Sveriges ståndpunkt utgår ifrån de behov Sverige och det svenska miljötillståndet har. Givet det läge vi står inför bör den svenska linjen utgå ifrån att läget är kritiskt för alla arter i Östersjön.</w:t>
      </w:r>
    </w:p>
    <w:p w14:paraId="23D2E8A3" w14:textId="77777777" w:rsidR="004133FE" w:rsidRPr="00BC172C" w:rsidRDefault="004133FE" w:rsidP="004133FE">
      <w:pPr>
        <w:tabs>
          <w:tab w:val="left" w:pos="1701"/>
        </w:tabs>
        <w:rPr>
          <w:color w:val="000000"/>
          <w:sz w:val="22"/>
          <w:szCs w:val="22"/>
        </w:rPr>
      </w:pPr>
    </w:p>
    <w:p w14:paraId="6D336B29" w14:textId="77777777" w:rsidR="004133FE" w:rsidRPr="00BC172C" w:rsidRDefault="004133FE" w:rsidP="004133FE">
      <w:pPr>
        <w:tabs>
          <w:tab w:val="left" w:pos="1701"/>
        </w:tabs>
        <w:rPr>
          <w:color w:val="000000"/>
          <w:sz w:val="22"/>
          <w:szCs w:val="22"/>
        </w:rPr>
      </w:pPr>
      <w:r w:rsidRPr="00BC172C">
        <w:rPr>
          <w:color w:val="000000"/>
          <w:sz w:val="22"/>
          <w:szCs w:val="22"/>
        </w:rPr>
        <w:lastRenderedPageBreak/>
        <w:t xml:space="preserve">Liberalerna anser att Sverige som akut åtgärd bör sätta en paus för fiske med aktiva redskap (t.ex. trålning) i hela Östersjön avseende alla arter. Att stoppa de aktiva redskapen skulle minska bifångsterna kraftigt, vilket tycks nödvändigt för att ge torsken en chans att återhämta sig. Utöver detta hade denna paus åtgärdat problemet med att mycket stora uttag görs på kort tid på begränsade platser. Vi ser även att en paus för fisket med aktiva redskap på Östersjön bör vara en förhållandevis enkel åtgärd att övervaka. </w:t>
      </w:r>
    </w:p>
    <w:p w14:paraId="68A2FBB4" w14:textId="77777777" w:rsidR="004133FE" w:rsidRPr="00BC172C" w:rsidRDefault="004133FE" w:rsidP="004133FE">
      <w:pPr>
        <w:tabs>
          <w:tab w:val="left" w:pos="1701"/>
        </w:tabs>
        <w:rPr>
          <w:color w:val="000000"/>
          <w:sz w:val="22"/>
          <w:szCs w:val="22"/>
        </w:rPr>
      </w:pPr>
    </w:p>
    <w:p w14:paraId="4F9F1350" w14:textId="77777777" w:rsidR="004133FE" w:rsidRPr="00BC172C" w:rsidRDefault="004133FE" w:rsidP="004133FE">
      <w:pPr>
        <w:tabs>
          <w:tab w:val="left" w:pos="1701"/>
        </w:tabs>
        <w:rPr>
          <w:color w:val="000000"/>
          <w:sz w:val="22"/>
          <w:szCs w:val="22"/>
        </w:rPr>
      </w:pPr>
      <w:r w:rsidRPr="00BC172C">
        <w:rPr>
          <w:color w:val="000000"/>
          <w:sz w:val="22"/>
          <w:szCs w:val="22"/>
        </w:rPr>
        <w:t>Vi är medvetna om att det finns ett småskaligt trålfiske på Österlen och i Blekinge samt att man trålar efter siklöja i Bottenviken med små båtar. Detta fiske anser vi bör undantas från det generella stoppet då det är en del av det kustnära småskaliga fisket. Ett undantag skulle kunna baseras på antingen motorstyrka eller längd på båtarna.</w:t>
      </w:r>
    </w:p>
    <w:p w14:paraId="2C66CDFD" w14:textId="0082900A" w:rsidR="004133FE" w:rsidRDefault="004133FE" w:rsidP="004133FE">
      <w:pPr>
        <w:widowControl/>
        <w:rPr>
          <w:sz w:val="22"/>
          <w:szCs w:val="22"/>
        </w:rPr>
      </w:pPr>
      <w:r>
        <w:rPr>
          <w:sz w:val="22"/>
          <w:szCs w:val="22"/>
        </w:rPr>
        <w:br w:type="page"/>
      </w:r>
    </w:p>
    <w:p w14:paraId="6CC600EA" w14:textId="77777777" w:rsidR="004133FE" w:rsidRDefault="004133FE">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709"/>
        <w:gridCol w:w="1191"/>
        <w:gridCol w:w="4266"/>
        <w:gridCol w:w="1843"/>
        <w:gridCol w:w="1701"/>
        <w:gridCol w:w="992"/>
        <w:gridCol w:w="72"/>
      </w:tblGrid>
      <w:tr w:rsidR="00AF70B0" w:rsidRPr="000E5611" w14:paraId="35BD90B4" w14:textId="77777777" w:rsidTr="00CA34AD">
        <w:trPr>
          <w:gridBefore w:val="1"/>
          <w:gridAfter w:val="2"/>
          <w:wBefore w:w="709" w:type="dxa"/>
          <w:wAfter w:w="1064" w:type="dxa"/>
          <w:tblHeader/>
        </w:trPr>
        <w:tc>
          <w:tcPr>
            <w:tcW w:w="5457" w:type="dxa"/>
            <w:gridSpan w:val="2"/>
          </w:tcPr>
          <w:p w14:paraId="7C7B2080" w14:textId="77777777" w:rsidR="00AF70B0" w:rsidRPr="000E5611" w:rsidRDefault="00AF70B0" w:rsidP="00CA34AD">
            <w:pPr>
              <w:tabs>
                <w:tab w:val="left" w:pos="1276"/>
              </w:tabs>
              <w:rPr>
                <w:sz w:val="22"/>
                <w:szCs w:val="22"/>
              </w:rPr>
            </w:pPr>
            <w:bookmarkStart w:id="2" w:name="_Hlk73713493"/>
            <w:r w:rsidRPr="000E5611">
              <w:rPr>
                <w:sz w:val="22"/>
                <w:szCs w:val="22"/>
              </w:rPr>
              <w:br w:type="page"/>
            </w:r>
          </w:p>
          <w:p w14:paraId="1A9AC5A3" w14:textId="77777777" w:rsidR="00AF70B0" w:rsidRPr="000E5611" w:rsidRDefault="00AF70B0" w:rsidP="00CA34AD">
            <w:pPr>
              <w:tabs>
                <w:tab w:val="left" w:pos="1276"/>
              </w:tabs>
              <w:rPr>
                <w:sz w:val="22"/>
                <w:szCs w:val="22"/>
              </w:rPr>
            </w:pPr>
            <w:r w:rsidRPr="000E5611">
              <w:rPr>
                <w:sz w:val="22"/>
                <w:szCs w:val="22"/>
              </w:rPr>
              <w:br w:type="page"/>
              <w:t>MILJÖ- OCH JORDBRUKSUTSKOTTET</w:t>
            </w:r>
          </w:p>
        </w:tc>
        <w:tc>
          <w:tcPr>
            <w:tcW w:w="1843" w:type="dxa"/>
          </w:tcPr>
          <w:p w14:paraId="3E9CD0DC" w14:textId="77777777" w:rsidR="00AF70B0" w:rsidRPr="000E5611" w:rsidRDefault="00AF70B0" w:rsidP="00CA34AD">
            <w:pPr>
              <w:tabs>
                <w:tab w:val="left" w:pos="1276"/>
              </w:tabs>
              <w:rPr>
                <w:sz w:val="22"/>
                <w:szCs w:val="22"/>
              </w:rPr>
            </w:pPr>
          </w:p>
        </w:tc>
        <w:tc>
          <w:tcPr>
            <w:tcW w:w="1701" w:type="dxa"/>
          </w:tcPr>
          <w:p w14:paraId="21056F2D" w14:textId="6EC0A3BB" w:rsidR="00AF70B0" w:rsidRPr="000E5611" w:rsidRDefault="00AF70B0" w:rsidP="00CA34AD">
            <w:pPr>
              <w:tabs>
                <w:tab w:val="left" w:pos="1276"/>
              </w:tabs>
              <w:ind w:right="-212"/>
              <w:rPr>
                <w:b/>
                <w:sz w:val="22"/>
                <w:szCs w:val="22"/>
              </w:rPr>
            </w:pPr>
            <w:r w:rsidRPr="000E5611">
              <w:rPr>
                <w:b/>
                <w:sz w:val="22"/>
                <w:szCs w:val="22"/>
              </w:rPr>
              <w:t xml:space="preserve">Bilaga </w:t>
            </w:r>
            <w:r w:rsidR="00F4387B">
              <w:rPr>
                <w:b/>
                <w:sz w:val="22"/>
                <w:szCs w:val="22"/>
              </w:rPr>
              <w:t>4</w:t>
            </w:r>
          </w:p>
          <w:p w14:paraId="6886D05C" w14:textId="77777777" w:rsidR="00AF70B0" w:rsidRPr="000E5611" w:rsidRDefault="00AF70B0" w:rsidP="00CA34AD">
            <w:pPr>
              <w:tabs>
                <w:tab w:val="left" w:pos="1276"/>
              </w:tabs>
              <w:ind w:right="-212"/>
              <w:rPr>
                <w:sz w:val="22"/>
                <w:szCs w:val="22"/>
              </w:rPr>
            </w:pPr>
            <w:r w:rsidRPr="000E5611">
              <w:rPr>
                <w:sz w:val="22"/>
                <w:szCs w:val="22"/>
              </w:rPr>
              <w:t>till protokoll</w:t>
            </w:r>
          </w:p>
          <w:p w14:paraId="16F45069" w14:textId="0F99E08E" w:rsidR="00AF70B0" w:rsidRPr="000E5611" w:rsidRDefault="00AF70B0" w:rsidP="00CA34AD">
            <w:pPr>
              <w:tabs>
                <w:tab w:val="left" w:pos="1276"/>
              </w:tabs>
              <w:ind w:right="-212"/>
              <w:rPr>
                <w:b/>
                <w:sz w:val="22"/>
                <w:szCs w:val="22"/>
              </w:rPr>
            </w:pPr>
            <w:r w:rsidRPr="000E5611">
              <w:rPr>
                <w:sz w:val="22"/>
                <w:szCs w:val="22"/>
              </w:rPr>
              <w:t>202</w:t>
            </w:r>
            <w:r w:rsidR="00F4387B">
              <w:rPr>
                <w:sz w:val="22"/>
                <w:szCs w:val="22"/>
              </w:rPr>
              <w:t>2</w:t>
            </w:r>
            <w:r w:rsidRPr="000E5611">
              <w:rPr>
                <w:sz w:val="22"/>
                <w:szCs w:val="22"/>
              </w:rPr>
              <w:t>/2</w:t>
            </w:r>
            <w:r w:rsidR="00F4387B">
              <w:rPr>
                <w:sz w:val="22"/>
                <w:szCs w:val="22"/>
              </w:rPr>
              <w:t>3</w:t>
            </w:r>
            <w:r w:rsidRPr="000E5611">
              <w:rPr>
                <w:sz w:val="22"/>
                <w:szCs w:val="22"/>
              </w:rPr>
              <w:t>:</w:t>
            </w:r>
            <w:r w:rsidR="00F4387B">
              <w:rPr>
                <w:sz w:val="22"/>
                <w:szCs w:val="22"/>
              </w:rPr>
              <w:t>2</w:t>
            </w:r>
          </w:p>
        </w:tc>
      </w:tr>
      <w:tr w:rsidR="00AF70B0" w:rsidRPr="000E5611" w14:paraId="782D72C8" w14:textId="77777777" w:rsidTr="00CA34AD">
        <w:trPr>
          <w:gridBefore w:val="1"/>
          <w:gridAfter w:val="1"/>
          <w:wBefore w:w="709" w:type="dxa"/>
          <w:wAfter w:w="72" w:type="dxa"/>
          <w:trHeight w:val="450"/>
        </w:trPr>
        <w:tc>
          <w:tcPr>
            <w:tcW w:w="9993" w:type="dxa"/>
            <w:gridSpan w:val="5"/>
            <w:tcBorders>
              <w:left w:val="nil"/>
              <w:bottom w:val="single" w:sz="4" w:space="0" w:color="A9A9A9"/>
              <w:right w:val="nil"/>
            </w:tcBorders>
            <w:shd w:val="clear" w:color="auto" w:fill="auto"/>
            <w:vAlign w:val="bottom"/>
          </w:tcPr>
          <w:p w14:paraId="44652AF3" w14:textId="0A9FE57C" w:rsidR="00AF70B0" w:rsidRPr="000E5611" w:rsidRDefault="00AF70B0" w:rsidP="00CA34AD">
            <w:pPr>
              <w:widowControl/>
              <w:rPr>
                <w:b/>
                <w:bCs/>
                <w:sz w:val="22"/>
                <w:szCs w:val="22"/>
              </w:rPr>
            </w:pPr>
            <w:r w:rsidRPr="000E5611">
              <w:rPr>
                <w:b/>
                <w:bCs/>
                <w:sz w:val="22"/>
                <w:szCs w:val="22"/>
              </w:rPr>
              <w:t xml:space="preserve">Till MJU inkomna EU-dokument m.m. </w:t>
            </w:r>
            <w:r w:rsidR="00F4387B">
              <w:rPr>
                <w:b/>
                <w:bCs/>
                <w:sz w:val="22"/>
                <w:szCs w:val="22"/>
              </w:rPr>
              <w:t>16 augusti</w:t>
            </w:r>
            <w:r w:rsidRPr="000E5611">
              <w:rPr>
                <w:b/>
                <w:bCs/>
                <w:sz w:val="22"/>
                <w:szCs w:val="22"/>
              </w:rPr>
              <w:t xml:space="preserve"> – </w:t>
            </w:r>
            <w:r w:rsidR="00F4387B">
              <w:rPr>
                <w:b/>
                <w:bCs/>
                <w:sz w:val="22"/>
                <w:szCs w:val="22"/>
              </w:rPr>
              <w:t>10 oktober</w:t>
            </w:r>
            <w:r w:rsidRPr="000E5611">
              <w:rPr>
                <w:b/>
                <w:bCs/>
                <w:sz w:val="22"/>
                <w:szCs w:val="22"/>
              </w:rPr>
              <w:t xml:space="preserve"> 202</w:t>
            </w:r>
            <w:r w:rsidR="008E6B40" w:rsidRPr="000E5611">
              <w:rPr>
                <w:b/>
                <w:bCs/>
                <w:sz w:val="22"/>
                <w:szCs w:val="22"/>
              </w:rPr>
              <w:t>2</w:t>
            </w:r>
          </w:p>
        </w:tc>
      </w:tr>
      <w:tr w:rsidR="00AF70B0" w:rsidRPr="000E5611" w14:paraId="510248A3" w14:textId="77777777" w:rsidTr="00CA34AD">
        <w:trPr>
          <w:gridBefore w:val="1"/>
          <w:gridAfter w:val="1"/>
          <w:wBefore w:w="709"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14:paraId="02995FF1" w14:textId="77777777" w:rsidR="00AF70B0" w:rsidRPr="000E5611" w:rsidRDefault="00AF70B0" w:rsidP="00CA34AD">
            <w:pPr>
              <w:pStyle w:val="Rubrik1"/>
              <w:spacing w:before="0" w:after="0"/>
              <w:rPr>
                <w:sz w:val="22"/>
                <w:szCs w:val="22"/>
              </w:rPr>
            </w:pPr>
            <w:r w:rsidRPr="000E5611">
              <w:rPr>
                <w:bCs/>
                <w:sz w:val="22"/>
                <w:szCs w:val="22"/>
              </w:rPr>
              <w:t>COM-dokument. (Kommissionens utkast till lagförslag och andra meddelanden från kommissionen inklusive det förberedande arbetet till lagförslag såsom grön- och vitböcker, rapporter m.m.)</w:t>
            </w:r>
          </w:p>
        </w:tc>
      </w:tr>
      <w:tr w:rsidR="00AF70B0" w:rsidRPr="000E5611" w14:paraId="60C63136"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14:paraId="5FA975E0" w14:textId="77777777" w:rsidR="00AF70B0" w:rsidRPr="000E5611" w:rsidRDefault="00AF70B0" w:rsidP="00CA34AD">
            <w:pPr>
              <w:rPr>
                <w:b/>
                <w:bCs/>
                <w:sz w:val="22"/>
                <w:szCs w:val="22"/>
              </w:rPr>
            </w:pPr>
            <w:r w:rsidRPr="000E5611">
              <w:rPr>
                <w:b/>
                <w:bCs/>
                <w:sz w:val="22"/>
                <w:szCs w:val="22"/>
              </w:rPr>
              <w:t>Beteckning</w:t>
            </w:r>
          </w:p>
        </w:tc>
        <w:tc>
          <w:tcPr>
            <w:tcW w:w="8874" w:type="dxa"/>
            <w:gridSpan w:val="5"/>
            <w:shd w:val="clear" w:color="auto" w:fill="auto"/>
            <w:vAlign w:val="center"/>
          </w:tcPr>
          <w:p w14:paraId="031BE8FF" w14:textId="77777777" w:rsidR="00AF70B0" w:rsidRPr="000E5611" w:rsidRDefault="00AF70B0" w:rsidP="00CA34AD">
            <w:pPr>
              <w:rPr>
                <w:b/>
                <w:bCs/>
                <w:sz w:val="22"/>
                <w:szCs w:val="22"/>
              </w:rPr>
            </w:pPr>
            <w:r w:rsidRPr="000E5611">
              <w:rPr>
                <w:b/>
                <w:bCs/>
                <w:sz w:val="22"/>
                <w:szCs w:val="22"/>
              </w:rPr>
              <w:t>Rubrik</w:t>
            </w:r>
          </w:p>
        </w:tc>
      </w:tr>
      <w:tr w:rsidR="00D042D8" w:rsidRPr="000E5611" w14:paraId="16F89408"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E5AD5C3" w14:textId="79155417" w:rsidR="00D042D8" w:rsidRPr="00D042D8" w:rsidRDefault="005063F3" w:rsidP="00D042D8">
            <w:pPr>
              <w:rPr>
                <w:sz w:val="22"/>
                <w:szCs w:val="22"/>
              </w:rPr>
            </w:pPr>
            <w:hyperlink r:id="rId10" w:history="1">
              <w:r w:rsidR="00D042D8" w:rsidRPr="00D042D8">
                <w:t>COM(2022) 410</w:t>
              </w:r>
            </w:hyperlink>
          </w:p>
        </w:tc>
        <w:tc>
          <w:tcPr>
            <w:tcW w:w="8874" w:type="dxa"/>
            <w:gridSpan w:val="5"/>
            <w:shd w:val="clear" w:color="auto" w:fill="auto"/>
            <w:vAlign w:val="center"/>
          </w:tcPr>
          <w:p w14:paraId="4B218424" w14:textId="77777777" w:rsidR="00D042D8" w:rsidRPr="005D76B4" w:rsidRDefault="00D042D8" w:rsidP="00D042D8">
            <w:pPr>
              <w:rPr>
                <w:sz w:val="22"/>
                <w:szCs w:val="22"/>
              </w:rPr>
            </w:pPr>
            <w:r w:rsidRPr="005D76B4">
              <w:rPr>
                <w:sz w:val="22"/>
                <w:szCs w:val="22"/>
              </w:rPr>
              <w:t xml:space="preserve">Förslag till rådets beslut om den ståndpunkt som ska intas på Europeiska unionens vägnar i </w:t>
            </w:r>
            <w:r w:rsidRPr="00FB1DAA">
              <w:rPr>
                <w:b/>
                <w:bCs/>
                <w:sz w:val="22"/>
                <w:szCs w:val="22"/>
              </w:rPr>
              <w:t>Internationella olivoljerådets medlemsråd</w:t>
            </w:r>
            <w:r w:rsidRPr="005D76B4">
              <w:rPr>
                <w:sz w:val="22"/>
                <w:szCs w:val="22"/>
              </w:rPr>
              <w:t xml:space="preserve"> med avseende på Republiken Azerbajdzjans anslutning till 2015 års internationella avtal om olivolja och bordsoliver</w:t>
            </w:r>
          </w:p>
          <w:p w14:paraId="6DC76EF5" w14:textId="77777777" w:rsidR="00D042D8" w:rsidRPr="000E5611" w:rsidRDefault="00D042D8" w:rsidP="00D042D8">
            <w:pPr>
              <w:rPr>
                <w:bCs/>
                <w:sz w:val="22"/>
                <w:szCs w:val="22"/>
              </w:rPr>
            </w:pPr>
          </w:p>
        </w:tc>
      </w:tr>
      <w:tr w:rsidR="00D042D8" w:rsidRPr="000E5611" w14:paraId="69262B65"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953C774" w14:textId="4247FB5A" w:rsidR="00D042D8" w:rsidRPr="00D042D8" w:rsidRDefault="005063F3" w:rsidP="00D042D8">
            <w:pPr>
              <w:rPr>
                <w:sz w:val="22"/>
                <w:szCs w:val="22"/>
              </w:rPr>
            </w:pPr>
            <w:hyperlink r:id="rId11" w:history="1">
              <w:r w:rsidR="00D042D8" w:rsidRPr="00D042D8">
                <w:t>COM(2022) 411</w:t>
              </w:r>
            </w:hyperlink>
          </w:p>
        </w:tc>
        <w:tc>
          <w:tcPr>
            <w:tcW w:w="8874" w:type="dxa"/>
            <w:gridSpan w:val="5"/>
            <w:shd w:val="clear" w:color="auto" w:fill="auto"/>
            <w:vAlign w:val="center"/>
          </w:tcPr>
          <w:p w14:paraId="7E179117" w14:textId="5D30D9E5" w:rsidR="00D042D8" w:rsidRPr="000E5611" w:rsidRDefault="00D042D8" w:rsidP="00D042D8">
            <w:pPr>
              <w:rPr>
                <w:b/>
                <w:bCs/>
                <w:sz w:val="22"/>
                <w:szCs w:val="22"/>
              </w:rPr>
            </w:pPr>
            <w:r w:rsidRPr="005D76B4">
              <w:rPr>
                <w:sz w:val="22"/>
                <w:szCs w:val="22"/>
              </w:rPr>
              <w:t xml:space="preserve">Förslag till rådets beslut om den ståndpunkt som ska intas på Europeiska unionens vägnar i </w:t>
            </w:r>
            <w:r w:rsidRPr="00FB1DAA">
              <w:rPr>
                <w:b/>
                <w:bCs/>
                <w:sz w:val="22"/>
                <w:szCs w:val="22"/>
              </w:rPr>
              <w:t>Internationella olivoljerådets medlemsråd</w:t>
            </w:r>
            <w:r w:rsidRPr="005D76B4">
              <w:rPr>
                <w:sz w:val="22"/>
                <w:szCs w:val="22"/>
              </w:rPr>
              <w:t xml:space="preserve"> när det gäller kategorin ordinär jungfruolja som ska utgå från bilaga B i 2015 års internationella avtal om olivolja och bordsoliver</w:t>
            </w:r>
            <w:r w:rsidRPr="005D76B4">
              <w:rPr>
                <w:sz w:val="22"/>
                <w:szCs w:val="22"/>
              </w:rPr>
              <w:br/>
            </w:r>
          </w:p>
        </w:tc>
      </w:tr>
      <w:tr w:rsidR="00D042D8" w:rsidRPr="00DF0154" w14:paraId="5AD07B52"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85BAE42" w14:textId="5E82956B" w:rsidR="00D042D8" w:rsidRPr="000E5611" w:rsidRDefault="005063F3" w:rsidP="00D042D8">
            <w:pPr>
              <w:rPr>
                <w:sz w:val="22"/>
                <w:szCs w:val="22"/>
              </w:rPr>
            </w:pPr>
            <w:hyperlink r:id="rId12" w:history="1">
              <w:r w:rsidR="00D042D8" w:rsidRPr="00D042D8">
                <w:t>SWD(2022) 217</w:t>
              </w:r>
            </w:hyperlink>
          </w:p>
        </w:tc>
        <w:tc>
          <w:tcPr>
            <w:tcW w:w="8874" w:type="dxa"/>
            <w:gridSpan w:val="5"/>
            <w:shd w:val="clear" w:color="auto" w:fill="auto"/>
            <w:vAlign w:val="center"/>
          </w:tcPr>
          <w:p w14:paraId="703921BE" w14:textId="220D3772" w:rsidR="00D042D8" w:rsidRPr="00D042D8" w:rsidRDefault="00D042D8" w:rsidP="00D042D8">
            <w:pPr>
              <w:rPr>
                <w:sz w:val="22"/>
                <w:szCs w:val="22"/>
                <w:lang w:val="en-GB"/>
              </w:rPr>
            </w:pPr>
            <w:r w:rsidRPr="005D76B4">
              <w:rPr>
                <w:sz w:val="22"/>
                <w:szCs w:val="22"/>
                <w:lang w:val="en-GB"/>
              </w:rPr>
              <w:t>COMMISSION STAFF WORKING DOCUMENT Accompanying the document Proposal for a COUNCIL DECISION on the position to be taken on behalf of the European Union in the Council of Members of the International Olive Council (IOC), concerning the elimination of the category ordinary virgin olive oil from Annex B of the International Agreement on Olive Oil and Table Olives, 2015</w:t>
            </w:r>
            <w:r w:rsidRPr="005D76B4">
              <w:rPr>
                <w:sz w:val="22"/>
                <w:szCs w:val="22"/>
                <w:lang w:val="en-GB"/>
              </w:rPr>
              <w:br/>
            </w:r>
          </w:p>
        </w:tc>
      </w:tr>
      <w:tr w:rsidR="00D042D8" w:rsidRPr="000E5611" w14:paraId="70F6926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B17D807" w14:textId="52AB0F06" w:rsidR="00D042D8" w:rsidRPr="000E5611" w:rsidRDefault="005063F3" w:rsidP="00D042D8">
            <w:pPr>
              <w:rPr>
                <w:sz w:val="22"/>
                <w:szCs w:val="22"/>
              </w:rPr>
            </w:pPr>
            <w:hyperlink r:id="rId13" w:history="1">
              <w:r w:rsidR="00D042D8" w:rsidRPr="00D042D8">
                <w:t>COM(2022) 412</w:t>
              </w:r>
            </w:hyperlink>
          </w:p>
        </w:tc>
        <w:tc>
          <w:tcPr>
            <w:tcW w:w="8874" w:type="dxa"/>
            <w:gridSpan w:val="5"/>
            <w:shd w:val="clear" w:color="auto" w:fill="auto"/>
            <w:vAlign w:val="center"/>
          </w:tcPr>
          <w:p w14:paraId="2CC732DA" w14:textId="6A88D285" w:rsidR="00D042D8" w:rsidRPr="000E5611" w:rsidRDefault="00D042D8" w:rsidP="00D042D8">
            <w:pPr>
              <w:rPr>
                <w:sz w:val="22"/>
                <w:szCs w:val="22"/>
              </w:rPr>
            </w:pPr>
            <w:r w:rsidRPr="005D76B4">
              <w:rPr>
                <w:sz w:val="22"/>
                <w:szCs w:val="22"/>
              </w:rPr>
              <w:t xml:space="preserve">RAPPORT från kommissionen till Europaparlamentet, rådet, Europeiska ekonomiska och sociala kommittén SAMT Regionkommittén Sammanfattning av den sammanfattande rapporten om tillämpningen av Europaparlamentets och rådets förordning (EU) nr 649/2012 om </w:t>
            </w:r>
            <w:r w:rsidRPr="00FB1DAA">
              <w:rPr>
                <w:b/>
                <w:bCs/>
                <w:sz w:val="22"/>
                <w:szCs w:val="22"/>
              </w:rPr>
              <w:t>export och import av farliga kemikalier</w:t>
            </w:r>
            <w:r w:rsidRPr="005D76B4">
              <w:rPr>
                <w:sz w:val="22"/>
                <w:szCs w:val="22"/>
              </w:rPr>
              <w:br/>
            </w:r>
          </w:p>
        </w:tc>
      </w:tr>
      <w:tr w:rsidR="00D042D8" w:rsidRPr="00DF0154" w14:paraId="08490153"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E5BAF58" w14:textId="076C3B44" w:rsidR="00D042D8" w:rsidRPr="000E5611" w:rsidRDefault="005063F3" w:rsidP="00D042D8">
            <w:pPr>
              <w:rPr>
                <w:sz w:val="22"/>
                <w:szCs w:val="22"/>
              </w:rPr>
            </w:pPr>
            <w:hyperlink r:id="rId14" w:history="1">
              <w:r w:rsidR="00D042D8" w:rsidRPr="00D042D8">
                <w:t>SWD(2022) 218</w:t>
              </w:r>
            </w:hyperlink>
          </w:p>
        </w:tc>
        <w:tc>
          <w:tcPr>
            <w:tcW w:w="8874" w:type="dxa"/>
            <w:gridSpan w:val="5"/>
            <w:shd w:val="clear" w:color="auto" w:fill="auto"/>
            <w:vAlign w:val="center"/>
          </w:tcPr>
          <w:p w14:paraId="5E629DB5" w14:textId="2D91F2A1" w:rsidR="00D042D8" w:rsidRPr="00D042D8" w:rsidRDefault="00D042D8" w:rsidP="00D042D8">
            <w:pPr>
              <w:rPr>
                <w:sz w:val="22"/>
                <w:szCs w:val="22"/>
                <w:lang w:val="en-GB"/>
              </w:rPr>
            </w:pPr>
            <w:r w:rsidRPr="00882986">
              <w:rPr>
                <w:sz w:val="22"/>
                <w:szCs w:val="22"/>
                <w:lang w:val="en-GB"/>
              </w:rPr>
              <w:t>COMMISSION STAFF WORKING DOCUMENT Synthesis Report on the Operation of Regulation (EU) No 649/2012 concerning the export and import of hazardous chemicals Accompanying the document Report from the Commission to the European Parliament, the Council, the European Economic and Social Committee and the Committee of the Regions Summary of the Synthesis Report on the operation of Regulation (EU) No 649/2012 concerning the export and import of hazardous chemicals</w:t>
            </w:r>
            <w:r w:rsidRPr="00882986">
              <w:rPr>
                <w:sz w:val="22"/>
                <w:szCs w:val="22"/>
                <w:lang w:val="en-GB"/>
              </w:rPr>
              <w:br/>
            </w:r>
          </w:p>
        </w:tc>
      </w:tr>
      <w:tr w:rsidR="00D042D8" w:rsidRPr="00D042D8" w14:paraId="14D7B520"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3C47516" w14:textId="5E2A4A43" w:rsidR="00D042D8" w:rsidRPr="00D042D8" w:rsidRDefault="005063F3" w:rsidP="00D042D8">
            <w:pPr>
              <w:rPr>
                <w:sz w:val="22"/>
                <w:szCs w:val="22"/>
                <w:lang w:val="en-GB"/>
              </w:rPr>
            </w:pPr>
            <w:hyperlink r:id="rId15" w:history="1">
              <w:r w:rsidR="00D042D8" w:rsidRPr="00D042D8">
                <w:rPr>
                  <w:lang w:val="en-GB"/>
                </w:rPr>
                <w:t>COM(2022) 413</w:t>
              </w:r>
            </w:hyperlink>
          </w:p>
        </w:tc>
        <w:tc>
          <w:tcPr>
            <w:tcW w:w="8874" w:type="dxa"/>
            <w:gridSpan w:val="5"/>
            <w:shd w:val="clear" w:color="auto" w:fill="auto"/>
            <w:vAlign w:val="center"/>
          </w:tcPr>
          <w:p w14:paraId="52CCC613" w14:textId="3ED490DE" w:rsidR="00D042D8" w:rsidRPr="00D042D8" w:rsidRDefault="00D042D8" w:rsidP="00D042D8">
            <w:pPr>
              <w:rPr>
                <w:b/>
                <w:bCs/>
                <w:sz w:val="22"/>
                <w:szCs w:val="22"/>
              </w:rPr>
            </w:pPr>
            <w:r w:rsidRPr="005D76B4">
              <w:rPr>
                <w:sz w:val="22"/>
                <w:szCs w:val="22"/>
              </w:rPr>
              <w:t xml:space="preserve">Förslag till rådets beslut om den ståndpunkt som ska intas på Europeiska unionens vägnar i </w:t>
            </w:r>
            <w:r w:rsidRPr="00FB1DAA">
              <w:rPr>
                <w:b/>
                <w:bCs/>
                <w:sz w:val="22"/>
                <w:szCs w:val="22"/>
              </w:rPr>
              <w:t>Internationella olivoljerådets medlemsråd</w:t>
            </w:r>
            <w:r w:rsidRPr="005D76B4">
              <w:rPr>
                <w:sz w:val="22"/>
                <w:szCs w:val="22"/>
              </w:rPr>
              <w:t xml:space="preserve"> med avseende på Konungariket Saudiarabiens anslutning till 2015 års internationella avtal om olivolja och bordsoliver</w:t>
            </w:r>
            <w:r w:rsidRPr="005D76B4">
              <w:rPr>
                <w:sz w:val="22"/>
                <w:szCs w:val="22"/>
              </w:rPr>
              <w:br/>
            </w:r>
          </w:p>
        </w:tc>
      </w:tr>
      <w:tr w:rsidR="00D042D8" w:rsidRPr="00D042D8" w14:paraId="2667E5C8"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CE49130" w14:textId="176FCCC6" w:rsidR="00D042D8" w:rsidRPr="00D042D8" w:rsidRDefault="005063F3" w:rsidP="00D042D8">
            <w:pPr>
              <w:rPr>
                <w:sz w:val="22"/>
                <w:szCs w:val="22"/>
                <w:lang w:val="en-GB"/>
              </w:rPr>
            </w:pPr>
            <w:hyperlink r:id="rId16" w:history="1">
              <w:r w:rsidR="00D042D8" w:rsidRPr="00D042D8">
                <w:rPr>
                  <w:lang w:val="en-GB"/>
                </w:rPr>
                <w:t>COM(2022) 415</w:t>
              </w:r>
            </w:hyperlink>
          </w:p>
        </w:tc>
        <w:tc>
          <w:tcPr>
            <w:tcW w:w="8874" w:type="dxa"/>
            <w:gridSpan w:val="5"/>
            <w:shd w:val="clear" w:color="auto" w:fill="auto"/>
            <w:vAlign w:val="center"/>
          </w:tcPr>
          <w:p w14:paraId="04E8B5D7" w14:textId="77777777" w:rsidR="00D042D8" w:rsidRPr="005D76B4" w:rsidRDefault="00D042D8" w:rsidP="00D042D8">
            <w:pPr>
              <w:rPr>
                <w:sz w:val="22"/>
                <w:szCs w:val="22"/>
              </w:rPr>
            </w:pPr>
            <w:r w:rsidRPr="005D76B4">
              <w:rPr>
                <w:sz w:val="22"/>
                <w:szCs w:val="22"/>
              </w:rPr>
              <w:t xml:space="preserve">Förslag till rådets förordning </w:t>
            </w:r>
            <w:bookmarkStart w:id="3" w:name="_Hlk115861509"/>
            <w:r w:rsidRPr="005D76B4">
              <w:rPr>
                <w:sz w:val="22"/>
                <w:szCs w:val="22"/>
              </w:rPr>
              <w:t xml:space="preserve">om </w:t>
            </w:r>
            <w:r w:rsidRPr="005D76B4">
              <w:rPr>
                <w:b/>
                <w:bCs/>
                <w:sz w:val="22"/>
                <w:szCs w:val="22"/>
              </w:rPr>
              <w:t>fastställande av fiskemöjligheterna för vissa fiskbestånd och grupper av fiskbestånd i Östersjön för 2023</w:t>
            </w:r>
            <w:r w:rsidRPr="005D76B4">
              <w:rPr>
                <w:sz w:val="22"/>
                <w:szCs w:val="22"/>
              </w:rPr>
              <w:t xml:space="preserve"> och om ändring av förordning (EU) 2022/109 vad gäller vissa fiskemöjligheter i andra vatten</w:t>
            </w:r>
            <w:bookmarkEnd w:id="3"/>
          </w:p>
          <w:p w14:paraId="27A2AA31" w14:textId="77777777" w:rsidR="00D042D8" w:rsidRPr="00D042D8" w:rsidRDefault="00D042D8" w:rsidP="00D042D8">
            <w:pPr>
              <w:rPr>
                <w:b/>
                <w:bCs/>
                <w:sz w:val="22"/>
                <w:szCs w:val="22"/>
              </w:rPr>
            </w:pPr>
          </w:p>
        </w:tc>
      </w:tr>
      <w:tr w:rsidR="00D042D8" w:rsidRPr="00D042D8" w14:paraId="45901F5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3878F8C" w14:textId="370F9901" w:rsidR="00D042D8" w:rsidRPr="00D042D8" w:rsidRDefault="005063F3" w:rsidP="00D042D8">
            <w:pPr>
              <w:rPr>
                <w:sz w:val="22"/>
                <w:szCs w:val="22"/>
                <w:lang w:val="en-GB"/>
              </w:rPr>
            </w:pPr>
            <w:hyperlink r:id="rId17" w:history="1">
              <w:r w:rsidR="00D042D8" w:rsidRPr="00D042D8">
                <w:rPr>
                  <w:lang w:val="en-GB"/>
                </w:rPr>
                <w:t>COM(2022) 416</w:t>
              </w:r>
            </w:hyperlink>
          </w:p>
        </w:tc>
        <w:tc>
          <w:tcPr>
            <w:tcW w:w="8874" w:type="dxa"/>
            <w:gridSpan w:val="5"/>
            <w:shd w:val="clear" w:color="auto" w:fill="auto"/>
            <w:vAlign w:val="center"/>
          </w:tcPr>
          <w:p w14:paraId="429ABEA2" w14:textId="562F7E83" w:rsidR="00D042D8" w:rsidRPr="00D042D8" w:rsidRDefault="00D042D8" w:rsidP="00D042D8">
            <w:pPr>
              <w:rPr>
                <w:b/>
                <w:bCs/>
                <w:sz w:val="22"/>
                <w:szCs w:val="22"/>
              </w:rPr>
            </w:pPr>
            <w:r w:rsidRPr="005D76B4">
              <w:rPr>
                <w:sz w:val="22"/>
                <w:szCs w:val="22"/>
              </w:rPr>
              <w:t xml:space="preserve">RAPPORT från kommissionen till Europaparlamentet och rådet om </w:t>
            </w:r>
            <w:r w:rsidRPr="005D76B4">
              <w:rPr>
                <w:b/>
                <w:bCs/>
                <w:sz w:val="22"/>
                <w:szCs w:val="22"/>
              </w:rPr>
              <w:t>genomförandet av innovationsfonden</w:t>
            </w:r>
            <w:r w:rsidRPr="005D76B4">
              <w:rPr>
                <w:sz w:val="22"/>
                <w:szCs w:val="22"/>
              </w:rPr>
              <w:t>, inbegripet den översyn som avses i artikel 24 i förordning (EU) nr 1031/2010</w:t>
            </w:r>
            <w:r w:rsidRPr="005D76B4">
              <w:rPr>
                <w:sz w:val="22"/>
                <w:szCs w:val="22"/>
              </w:rPr>
              <w:br/>
            </w:r>
          </w:p>
        </w:tc>
      </w:tr>
      <w:tr w:rsidR="00D042D8" w:rsidRPr="00D042D8" w14:paraId="5EFB8E94"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89E0ACF" w14:textId="6C6D835E" w:rsidR="00D042D8" w:rsidRPr="00D042D8" w:rsidRDefault="005063F3" w:rsidP="00D042D8">
            <w:pPr>
              <w:rPr>
                <w:sz w:val="22"/>
                <w:szCs w:val="22"/>
                <w:lang w:val="en-GB"/>
              </w:rPr>
            </w:pPr>
            <w:hyperlink r:id="rId18" w:history="1">
              <w:r w:rsidR="00D042D8" w:rsidRPr="00D042D8">
                <w:rPr>
                  <w:lang w:val="en-GB"/>
                </w:rPr>
                <w:t>COM(2022) 419</w:t>
              </w:r>
            </w:hyperlink>
          </w:p>
        </w:tc>
        <w:tc>
          <w:tcPr>
            <w:tcW w:w="8874" w:type="dxa"/>
            <w:gridSpan w:val="5"/>
            <w:shd w:val="clear" w:color="auto" w:fill="auto"/>
            <w:vAlign w:val="center"/>
          </w:tcPr>
          <w:p w14:paraId="32115BCD" w14:textId="048A7580" w:rsidR="00D042D8" w:rsidRPr="00D042D8" w:rsidRDefault="00D042D8" w:rsidP="00D042D8">
            <w:pPr>
              <w:rPr>
                <w:b/>
                <w:bCs/>
                <w:sz w:val="22"/>
                <w:szCs w:val="22"/>
              </w:rPr>
            </w:pPr>
            <w:r w:rsidRPr="005D76B4">
              <w:rPr>
                <w:sz w:val="22"/>
                <w:szCs w:val="22"/>
              </w:rPr>
              <w:t xml:space="preserve">RAPPORT FRÅN KOMMISSIONEN TILL RÅDET om genomförandet under perioden 2016–2020 av </w:t>
            </w:r>
            <w:r w:rsidRPr="005D76B4">
              <w:rPr>
                <w:b/>
                <w:bCs/>
                <w:sz w:val="22"/>
                <w:szCs w:val="22"/>
              </w:rPr>
              <w:t xml:space="preserve">långsiktigt stöd på nationell nivå till jordbruket i de nordliga områdena i Finland och Sverige </w:t>
            </w:r>
            <w:r w:rsidRPr="005D76B4">
              <w:rPr>
                <w:sz w:val="22"/>
                <w:szCs w:val="22"/>
              </w:rPr>
              <w:t>i enlighet med kommissionens beslut K(2009) 3067, ändrat genom beslut K(2009) 9122, beslut C(2013) 2809 och beslut C(2015) 2790, och beslut (EU) 2018/672 avseende Finland samt med beslut K(2010) 6050 och beslut (EU) 2018/479 avseende Sverige</w:t>
            </w:r>
            <w:r w:rsidRPr="005D76B4">
              <w:rPr>
                <w:sz w:val="22"/>
                <w:szCs w:val="22"/>
              </w:rPr>
              <w:br/>
            </w:r>
          </w:p>
        </w:tc>
      </w:tr>
      <w:tr w:rsidR="00D042D8" w:rsidRPr="00D042D8" w14:paraId="3A3AB53F"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78A5F6D" w14:textId="40559C58" w:rsidR="00D042D8" w:rsidRPr="00D042D8" w:rsidRDefault="005063F3" w:rsidP="00D042D8">
            <w:pPr>
              <w:rPr>
                <w:sz w:val="22"/>
                <w:szCs w:val="22"/>
                <w:lang w:val="en-GB"/>
              </w:rPr>
            </w:pPr>
            <w:hyperlink r:id="rId19" w:history="1">
              <w:r w:rsidR="00D042D8" w:rsidRPr="00D042D8">
                <w:rPr>
                  <w:lang w:val="en-GB"/>
                </w:rPr>
                <w:t>COM(2022) 420</w:t>
              </w:r>
            </w:hyperlink>
          </w:p>
        </w:tc>
        <w:tc>
          <w:tcPr>
            <w:tcW w:w="8874" w:type="dxa"/>
            <w:gridSpan w:val="5"/>
            <w:shd w:val="clear" w:color="auto" w:fill="auto"/>
            <w:vAlign w:val="center"/>
          </w:tcPr>
          <w:p w14:paraId="627B961D" w14:textId="455AE175" w:rsidR="00D042D8" w:rsidRPr="00D042D8" w:rsidRDefault="00D042D8" w:rsidP="00D042D8">
            <w:pPr>
              <w:rPr>
                <w:b/>
                <w:bCs/>
                <w:sz w:val="22"/>
                <w:szCs w:val="22"/>
              </w:rPr>
            </w:pPr>
            <w:r w:rsidRPr="005D76B4">
              <w:rPr>
                <w:sz w:val="22"/>
                <w:szCs w:val="22"/>
              </w:rPr>
              <w:t xml:space="preserve">Förslag till rådets beslut om den ståndpunkt som ska intas på Europeiska unionens vägnar i </w:t>
            </w:r>
            <w:r w:rsidRPr="005D76B4">
              <w:rPr>
                <w:b/>
                <w:bCs/>
                <w:sz w:val="22"/>
                <w:szCs w:val="22"/>
              </w:rPr>
              <w:t>Internationella spannmålsrådet</w:t>
            </w:r>
            <w:r w:rsidRPr="005D76B4">
              <w:rPr>
                <w:sz w:val="22"/>
                <w:szCs w:val="22"/>
              </w:rPr>
              <w:t xml:space="preserve"> vad gäller ändring av arbetsordningen enligt 1995 års konvention om handel med spannmål avseende avtalsperioden för den externa revisorn</w:t>
            </w:r>
            <w:r w:rsidRPr="005D76B4">
              <w:rPr>
                <w:sz w:val="22"/>
                <w:szCs w:val="22"/>
              </w:rPr>
              <w:br/>
            </w:r>
          </w:p>
        </w:tc>
      </w:tr>
      <w:tr w:rsidR="00D042D8" w:rsidRPr="00D042D8" w14:paraId="4CD9D3EF"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34030FF" w14:textId="2F5BA4BA" w:rsidR="00D042D8" w:rsidRPr="00D042D8" w:rsidRDefault="005063F3" w:rsidP="00D042D8">
            <w:pPr>
              <w:rPr>
                <w:sz w:val="22"/>
                <w:szCs w:val="22"/>
                <w:lang w:val="en-GB"/>
              </w:rPr>
            </w:pPr>
            <w:hyperlink r:id="rId20" w:history="1">
              <w:r w:rsidR="00D042D8" w:rsidRPr="00D042D8">
                <w:rPr>
                  <w:lang w:val="en-GB"/>
                </w:rPr>
                <w:t>COM(2022) 421</w:t>
              </w:r>
            </w:hyperlink>
          </w:p>
        </w:tc>
        <w:tc>
          <w:tcPr>
            <w:tcW w:w="8874" w:type="dxa"/>
            <w:gridSpan w:val="5"/>
            <w:shd w:val="clear" w:color="auto" w:fill="auto"/>
            <w:vAlign w:val="center"/>
          </w:tcPr>
          <w:p w14:paraId="50A45EE8" w14:textId="14B31EE6" w:rsidR="00D042D8" w:rsidRPr="00D042D8" w:rsidRDefault="00D042D8" w:rsidP="00D042D8">
            <w:pPr>
              <w:rPr>
                <w:b/>
                <w:bCs/>
                <w:sz w:val="22"/>
                <w:szCs w:val="22"/>
              </w:rPr>
            </w:pPr>
            <w:r w:rsidRPr="005D76B4">
              <w:rPr>
                <w:sz w:val="22"/>
                <w:szCs w:val="22"/>
              </w:rPr>
              <w:t xml:space="preserve">Förslag till rådets beslut om undertecknande, på unionens vägnar, och provisorisk tillämpning av ett protokoll om genomförande av </w:t>
            </w:r>
            <w:r w:rsidRPr="005D76B4">
              <w:rPr>
                <w:b/>
                <w:bCs/>
                <w:sz w:val="22"/>
                <w:szCs w:val="22"/>
              </w:rPr>
              <w:t>partnerskapsavtalet om fiske mellan Europeiska unionen och Republiken Mauritius</w:t>
            </w:r>
            <w:r w:rsidRPr="005D76B4">
              <w:rPr>
                <w:sz w:val="22"/>
                <w:szCs w:val="22"/>
              </w:rPr>
              <w:t xml:space="preserve"> (2022–2026)</w:t>
            </w:r>
          </w:p>
        </w:tc>
      </w:tr>
      <w:tr w:rsidR="00D042D8" w:rsidRPr="00D042D8" w14:paraId="50DB6FF1"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DA5CC65" w14:textId="69CB355B" w:rsidR="00D042D8" w:rsidRPr="00D042D8" w:rsidRDefault="005063F3" w:rsidP="00D042D8">
            <w:pPr>
              <w:rPr>
                <w:sz w:val="22"/>
                <w:szCs w:val="22"/>
                <w:lang w:val="en-GB"/>
              </w:rPr>
            </w:pPr>
            <w:hyperlink r:id="rId21" w:history="1">
              <w:r w:rsidR="00D042D8" w:rsidRPr="00D042D8">
                <w:rPr>
                  <w:lang w:val="en-GB"/>
                </w:rPr>
                <w:t>COM(2022) 422</w:t>
              </w:r>
            </w:hyperlink>
          </w:p>
        </w:tc>
        <w:tc>
          <w:tcPr>
            <w:tcW w:w="8874" w:type="dxa"/>
            <w:gridSpan w:val="5"/>
            <w:shd w:val="clear" w:color="auto" w:fill="auto"/>
            <w:vAlign w:val="center"/>
          </w:tcPr>
          <w:p w14:paraId="0C9F2858" w14:textId="1C6761D0" w:rsidR="00D042D8" w:rsidRPr="00D042D8" w:rsidRDefault="00D042D8" w:rsidP="00D042D8">
            <w:pPr>
              <w:rPr>
                <w:b/>
                <w:bCs/>
                <w:sz w:val="22"/>
                <w:szCs w:val="22"/>
              </w:rPr>
            </w:pPr>
            <w:r w:rsidRPr="005D76B4">
              <w:rPr>
                <w:sz w:val="22"/>
                <w:szCs w:val="22"/>
              </w:rPr>
              <w:t xml:space="preserve">Förslag till rådets förordning om fördelning av fiskemöjligheter inom ramen för protokollet om genomförande av </w:t>
            </w:r>
            <w:r w:rsidRPr="005D76B4">
              <w:rPr>
                <w:b/>
                <w:bCs/>
                <w:sz w:val="22"/>
                <w:szCs w:val="22"/>
              </w:rPr>
              <w:t>partnerskapsavtalet om fiske mellan Europeiska unionen och Republiken Mauritius</w:t>
            </w:r>
            <w:r w:rsidRPr="005D76B4">
              <w:rPr>
                <w:sz w:val="22"/>
                <w:szCs w:val="22"/>
              </w:rPr>
              <w:t xml:space="preserve"> (2022–2026)</w:t>
            </w:r>
            <w:r w:rsidRPr="005D76B4">
              <w:rPr>
                <w:sz w:val="22"/>
                <w:szCs w:val="22"/>
              </w:rPr>
              <w:br/>
            </w:r>
          </w:p>
        </w:tc>
      </w:tr>
      <w:tr w:rsidR="00D042D8" w:rsidRPr="00D042D8" w14:paraId="18179F6D"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D671929" w14:textId="33CAD055" w:rsidR="00D042D8" w:rsidRPr="00D042D8" w:rsidRDefault="005063F3" w:rsidP="00D042D8">
            <w:pPr>
              <w:rPr>
                <w:sz w:val="22"/>
                <w:szCs w:val="22"/>
                <w:lang w:val="en-GB"/>
              </w:rPr>
            </w:pPr>
            <w:hyperlink r:id="rId22" w:history="1">
              <w:r w:rsidR="00D042D8" w:rsidRPr="00D042D8">
                <w:rPr>
                  <w:lang w:val="en-GB"/>
                </w:rPr>
                <w:t>COM(2022) 423</w:t>
              </w:r>
            </w:hyperlink>
          </w:p>
        </w:tc>
        <w:tc>
          <w:tcPr>
            <w:tcW w:w="8874" w:type="dxa"/>
            <w:gridSpan w:val="5"/>
            <w:shd w:val="clear" w:color="auto" w:fill="auto"/>
            <w:vAlign w:val="center"/>
          </w:tcPr>
          <w:p w14:paraId="173CF1DE" w14:textId="00332B85" w:rsidR="00D042D8" w:rsidRPr="00D042D8" w:rsidRDefault="00D042D8" w:rsidP="00D042D8">
            <w:pPr>
              <w:rPr>
                <w:b/>
                <w:bCs/>
                <w:sz w:val="22"/>
                <w:szCs w:val="22"/>
              </w:rPr>
            </w:pPr>
            <w:r w:rsidRPr="005D76B4">
              <w:rPr>
                <w:sz w:val="22"/>
                <w:szCs w:val="22"/>
              </w:rPr>
              <w:t xml:space="preserve">Förslag till rådets beslut om ingående av ett protokoll om genomförande av </w:t>
            </w:r>
            <w:r w:rsidRPr="00FB1DAA">
              <w:rPr>
                <w:b/>
                <w:bCs/>
                <w:sz w:val="22"/>
                <w:szCs w:val="22"/>
              </w:rPr>
              <w:t>partnerskapsavtalet om fiske mellan Europeiska unionen och Republiken Mauritius</w:t>
            </w:r>
            <w:r w:rsidRPr="005D76B4">
              <w:rPr>
                <w:sz w:val="22"/>
                <w:szCs w:val="22"/>
              </w:rPr>
              <w:t xml:space="preserve"> (2022–2026)</w:t>
            </w:r>
            <w:r w:rsidRPr="005D76B4">
              <w:rPr>
                <w:sz w:val="22"/>
                <w:szCs w:val="22"/>
              </w:rPr>
              <w:br/>
            </w:r>
          </w:p>
        </w:tc>
      </w:tr>
      <w:tr w:rsidR="00D042D8" w:rsidRPr="00D042D8" w14:paraId="1EB4FE0A"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166C0E4" w14:textId="06A7126B" w:rsidR="00D042D8" w:rsidRPr="00D042D8" w:rsidRDefault="005063F3" w:rsidP="00D042D8">
            <w:pPr>
              <w:rPr>
                <w:sz w:val="22"/>
                <w:szCs w:val="22"/>
                <w:lang w:val="en-GB"/>
              </w:rPr>
            </w:pPr>
            <w:hyperlink r:id="rId23" w:history="1">
              <w:r w:rsidR="00D042D8" w:rsidRPr="00D042D8">
                <w:rPr>
                  <w:lang w:val="en-GB"/>
                </w:rPr>
                <w:t>COM(2022) 427</w:t>
              </w:r>
            </w:hyperlink>
          </w:p>
        </w:tc>
        <w:tc>
          <w:tcPr>
            <w:tcW w:w="8874" w:type="dxa"/>
            <w:gridSpan w:val="5"/>
            <w:shd w:val="clear" w:color="auto" w:fill="auto"/>
            <w:vAlign w:val="center"/>
          </w:tcPr>
          <w:p w14:paraId="0E02DBC0" w14:textId="4FB835DD" w:rsidR="00D042D8" w:rsidRPr="00D042D8" w:rsidRDefault="00D042D8" w:rsidP="00D042D8">
            <w:pPr>
              <w:rPr>
                <w:b/>
                <w:bCs/>
                <w:sz w:val="22"/>
                <w:szCs w:val="22"/>
              </w:rPr>
            </w:pPr>
            <w:r w:rsidRPr="005D76B4">
              <w:rPr>
                <w:sz w:val="22"/>
                <w:szCs w:val="22"/>
              </w:rPr>
              <w:t xml:space="preserve">RAPPORT från kommissionen till Europaparlamentet och rådet om situationen för unionens bananmarknad och läget för unionens bananproducenter efter att stabiliseringsmekanismen för bananer löpt ut, med en provisorisk utvärdering av verkningarna av det </w:t>
            </w:r>
            <w:r w:rsidRPr="00FB1DAA">
              <w:rPr>
                <w:b/>
                <w:bCs/>
                <w:sz w:val="22"/>
                <w:szCs w:val="22"/>
              </w:rPr>
              <w:t>särskilda programmet för vissa regioner beroende på dessa regioners avsides läge och ökaraktär (Posei) för bevarandet av bananproduktionen i unionen</w:t>
            </w:r>
            <w:r w:rsidRPr="00FB1DAA">
              <w:rPr>
                <w:b/>
                <w:bCs/>
                <w:sz w:val="22"/>
                <w:szCs w:val="22"/>
              </w:rPr>
              <w:br/>
            </w:r>
          </w:p>
        </w:tc>
      </w:tr>
      <w:tr w:rsidR="00D042D8" w:rsidRPr="00D042D8" w14:paraId="44461AE8"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F86E96E" w14:textId="527A3590" w:rsidR="00D042D8" w:rsidRPr="00D042D8" w:rsidRDefault="005063F3" w:rsidP="00D042D8">
            <w:pPr>
              <w:rPr>
                <w:sz w:val="22"/>
                <w:szCs w:val="22"/>
                <w:lang w:val="en-GB"/>
              </w:rPr>
            </w:pPr>
            <w:hyperlink r:id="rId24" w:history="1">
              <w:r w:rsidR="00D042D8" w:rsidRPr="00D042D8">
                <w:rPr>
                  <w:lang w:val="en-GB"/>
                </w:rPr>
                <w:t>COM(2022) 430</w:t>
              </w:r>
            </w:hyperlink>
          </w:p>
        </w:tc>
        <w:tc>
          <w:tcPr>
            <w:tcW w:w="8874" w:type="dxa"/>
            <w:gridSpan w:val="5"/>
            <w:shd w:val="clear" w:color="auto" w:fill="auto"/>
            <w:vAlign w:val="center"/>
          </w:tcPr>
          <w:p w14:paraId="55B60E0E" w14:textId="6D6BC869" w:rsidR="00D042D8" w:rsidRPr="00D042D8" w:rsidRDefault="00D042D8" w:rsidP="00D042D8">
            <w:pPr>
              <w:rPr>
                <w:b/>
                <w:bCs/>
                <w:sz w:val="22"/>
                <w:szCs w:val="22"/>
              </w:rPr>
            </w:pPr>
            <w:r w:rsidRPr="005D76B4">
              <w:rPr>
                <w:sz w:val="22"/>
                <w:szCs w:val="22"/>
              </w:rPr>
              <w:t xml:space="preserve">Förslag till rådets beslut om den ståndpunkt som ska intas på Europeiska unionens vägnar i </w:t>
            </w:r>
            <w:r w:rsidRPr="005D76B4">
              <w:rPr>
                <w:b/>
                <w:bCs/>
                <w:sz w:val="22"/>
                <w:szCs w:val="22"/>
              </w:rPr>
              <w:t>Internationella vinorganisationen</w:t>
            </w:r>
            <w:r w:rsidRPr="005D76B4">
              <w:rPr>
                <w:sz w:val="22"/>
                <w:szCs w:val="22"/>
              </w:rPr>
              <w:t xml:space="preserve"> (OIV)</w:t>
            </w:r>
            <w:r w:rsidRPr="005D76B4">
              <w:rPr>
                <w:sz w:val="22"/>
                <w:szCs w:val="22"/>
              </w:rPr>
              <w:br/>
            </w:r>
          </w:p>
        </w:tc>
      </w:tr>
      <w:tr w:rsidR="00D042D8" w:rsidRPr="00D042D8" w14:paraId="5FA9AC50"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C96B54A" w14:textId="3565B2F9" w:rsidR="00D042D8" w:rsidRPr="00D042D8" w:rsidRDefault="005063F3" w:rsidP="00D042D8">
            <w:pPr>
              <w:rPr>
                <w:sz w:val="22"/>
                <w:szCs w:val="22"/>
                <w:lang w:val="en-GB"/>
              </w:rPr>
            </w:pPr>
            <w:hyperlink r:id="rId25" w:history="1">
              <w:r w:rsidR="00D042D8" w:rsidRPr="00D042D8">
                <w:rPr>
                  <w:lang w:val="en-GB"/>
                </w:rPr>
                <w:t>COM(2022) 438</w:t>
              </w:r>
            </w:hyperlink>
          </w:p>
        </w:tc>
        <w:tc>
          <w:tcPr>
            <w:tcW w:w="8874" w:type="dxa"/>
            <w:gridSpan w:val="5"/>
            <w:shd w:val="clear" w:color="auto" w:fill="auto"/>
            <w:vAlign w:val="center"/>
          </w:tcPr>
          <w:p w14:paraId="7CB5A5E1" w14:textId="6908C6B3" w:rsidR="00D042D8" w:rsidRPr="00D042D8" w:rsidRDefault="00D042D8" w:rsidP="00D042D8">
            <w:pPr>
              <w:rPr>
                <w:b/>
                <w:bCs/>
                <w:sz w:val="22"/>
                <w:szCs w:val="22"/>
              </w:rPr>
            </w:pPr>
            <w:r w:rsidRPr="005D76B4">
              <w:rPr>
                <w:sz w:val="22"/>
                <w:szCs w:val="22"/>
              </w:rPr>
              <w:t xml:space="preserve">Meddelande från kommissionen till Europaparlamentet, rådet, Europeiska ekonomiska och sociala kommittén SAMT Regionkommittén </w:t>
            </w:r>
            <w:r w:rsidRPr="00E65B8F">
              <w:rPr>
                <w:b/>
                <w:bCs/>
                <w:sz w:val="22"/>
                <w:szCs w:val="22"/>
              </w:rPr>
              <w:t xml:space="preserve">Granskning av genomförandet av miljöpolitiken 2022 </w:t>
            </w:r>
            <w:r w:rsidRPr="005D76B4">
              <w:rPr>
                <w:sz w:val="22"/>
                <w:szCs w:val="22"/>
              </w:rPr>
              <w:t>Vända trenden genom efterlevnad av miljölagstiftningen</w:t>
            </w:r>
            <w:r w:rsidRPr="005D76B4">
              <w:rPr>
                <w:sz w:val="22"/>
                <w:szCs w:val="22"/>
              </w:rPr>
              <w:br/>
            </w:r>
          </w:p>
        </w:tc>
      </w:tr>
      <w:tr w:rsidR="00D042D8" w:rsidRPr="00DF0154" w14:paraId="2B390C78"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3C92ADD" w14:textId="198FD63F" w:rsidR="00D042D8" w:rsidRPr="00D042D8" w:rsidRDefault="005063F3" w:rsidP="00D042D8">
            <w:pPr>
              <w:rPr>
                <w:sz w:val="22"/>
                <w:szCs w:val="22"/>
                <w:lang w:val="en-GB"/>
              </w:rPr>
            </w:pPr>
            <w:hyperlink r:id="rId26" w:history="1">
              <w:r w:rsidR="00D042D8" w:rsidRPr="00D042D8">
                <w:rPr>
                  <w:lang w:val="en-GB"/>
                </w:rPr>
                <w:t>SWD(2022) 252</w:t>
              </w:r>
            </w:hyperlink>
          </w:p>
        </w:tc>
        <w:tc>
          <w:tcPr>
            <w:tcW w:w="8874" w:type="dxa"/>
            <w:gridSpan w:val="5"/>
            <w:shd w:val="clear" w:color="auto" w:fill="auto"/>
            <w:vAlign w:val="center"/>
          </w:tcPr>
          <w:p w14:paraId="277E16AF" w14:textId="0C2D7A6A" w:rsidR="00D042D8" w:rsidRPr="00D042D8" w:rsidRDefault="00D042D8" w:rsidP="00D042D8">
            <w:pPr>
              <w:rPr>
                <w:b/>
                <w:bCs/>
                <w:sz w:val="22"/>
                <w:szCs w:val="22"/>
                <w:lang w:val="en-GB"/>
              </w:rPr>
            </w:pPr>
            <w:r w:rsidRPr="005D76B4">
              <w:rPr>
                <w:sz w:val="22"/>
                <w:szCs w:val="22"/>
                <w:lang w:val="en-GB"/>
              </w:rPr>
              <w:t>COMMISSION STAFF WORKING DOCUMENT Environmental Implementation Review 2022 Country Report - SLOVAKIA Accompanying the document Communication from the Commission to the European Parliament, the Council, the European Economic and Social Committee and the Committee of the Regions Environmental Implementation Review 2022: Turning the tide through environmental compliance</w:t>
            </w:r>
            <w:r w:rsidRPr="005D76B4">
              <w:rPr>
                <w:sz w:val="22"/>
                <w:szCs w:val="22"/>
                <w:lang w:val="en-GB"/>
              </w:rPr>
              <w:br/>
            </w:r>
          </w:p>
        </w:tc>
      </w:tr>
      <w:tr w:rsidR="00D042D8" w:rsidRPr="00DF0154" w14:paraId="5AF6489A"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7B90B4E" w14:textId="3E1AF5EB" w:rsidR="00D042D8" w:rsidRPr="00D042D8" w:rsidRDefault="005063F3" w:rsidP="00D042D8">
            <w:pPr>
              <w:rPr>
                <w:sz w:val="22"/>
                <w:szCs w:val="22"/>
                <w:lang w:val="en-GB"/>
              </w:rPr>
            </w:pPr>
            <w:hyperlink r:id="rId27" w:history="1">
              <w:r w:rsidR="00D042D8" w:rsidRPr="00D042D8">
                <w:rPr>
                  <w:lang w:val="en-GB"/>
                </w:rPr>
                <w:t>SWD(2022) 253</w:t>
              </w:r>
            </w:hyperlink>
          </w:p>
        </w:tc>
        <w:tc>
          <w:tcPr>
            <w:tcW w:w="8874" w:type="dxa"/>
            <w:gridSpan w:val="5"/>
            <w:shd w:val="clear" w:color="auto" w:fill="auto"/>
            <w:vAlign w:val="center"/>
          </w:tcPr>
          <w:p w14:paraId="40F3905E" w14:textId="5AA1E9EB" w:rsidR="00D042D8" w:rsidRPr="00D042D8" w:rsidRDefault="00D042D8" w:rsidP="00D042D8">
            <w:pPr>
              <w:rPr>
                <w:b/>
                <w:bCs/>
                <w:sz w:val="22"/>
                <w:szCs w:val="22"/>
                <w:lang w:val="en-GB"/>
              </w:rPr>
            </w:pPr>
            <w:r w:rsidRPr="005D76B4">
              <w:rPr>
                <w:sz w:val="22"/>
                <w:szCs w:val="22"/>
                <w:lang w:val="en-GB"/>
              </w:rPr>
              <w:t>COMMISSION STAFF WORKING DOCUMENT Environmental Implementation Review 2022 Country Report - DENMARK Accompanying the document Communication from the Commission to the European Parliament, the Council, the European Economic and Social Committee and the Committee of the Regions Environmental Implementation Review 2022: Turning the tide through environmental compliance</w:t>
            </w:r>
            <w:r w:rsidRPr="005D76B4">
              <w:rPr>
                <w:sz w:val="22"/>
                <w:szCs w:val="22"/>
                <w:lang w:val="en-GB"/>
              </w:rPr>
              <w:br/>
            </w:r>
          </w:p>
        </w:tc>
      </w:tr>
      <w:tr w:rsidR="00D244DE" w:rsidRPr="005063F3" w14:paraId="76AB7AAA"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4F9B11C" w14:textId="2B5919B4" w:rsidR="00D244DE" w:rsidRPr="00D244DE" w:rsidRDefault="005063F3" w:rsidP="00D244DE">
            <w:pPr>
              <w:rPr>
                <w:lang w:val="en-GB"/>
              </w:rPr>
            </w:pPr>
            <w:hyperlink r:id="rId28" w:history="1">
              <w:r w:rsidR="00D244DE" w:rsidRPr="00D244DE">
                <w:rPr>
                  <w:lang w:val="en-GB"/>
                </w:rPr>
                <w:t>SWD(2022) 254</w:t>
              </w:r>
            </w:hyperlink>
          </w:p>
        </w:tc>
        <w:tc>
          <w:tcPr>
            <w:tcW w:w="8874" w:type="dxa"/>
            <w:gridSpan w:val="5"/>
            <w:shd w:val="clear" w:color="auto" w:fill="auto"/>
            <w:vAlign w:val="center"/>
          </w:tcPr>
          <w:p w14:paraId="6A0C587C" w14:textId="6D2C1C9A" w:rsidR="00D244DE" w:rsidRPr="00D042D8" w:rsidRDefault="00D244DE" w:rsidP="00D244DE">
            <w:pPr>
              <w:rPr>
                <w:b/>
                <w:bCs/>
                <w:sz w:val="22"/>
                <w:szCs w:val="22"/>
                <w:lang w:val="en-GB"/>
              </w:rPr>
            </w:pPr>
            <w:r w:rsidRPr="005D76B4">
              <w:rPr>
                <w:sz w:val="22"/>
                <w:szCs w:val="22"/>
                <w:lang w:val="en-GB"/>
              </w:rPr>
              <w:t>COMMISSION STAFF WORKING DOCUMENT The EU Environmental Implementation Review 2022 Country Report - GREECE Accompanying the document Communication from the Commission to the European Parliament, the Council, the European Economic and Social Committee and the Committee of the Regions The EU Environmental Implementation Review 2022: Turning the tide through environmental compliance</w:t>
            </w:r>
            <w:r w:rsidRPr="005D76B4">
              <w:rPr>
                <w:sz w:val="22"/>
                <w:szCs w:val="22"/>
                <w:lang w:val="en-GB"/>
              </w:rPr>
              <w:br/>
            </w:r>
          </w:p>
        </w:tc>
      </w:tr>
      <w:tr w:rsidR="00D244DE" w:rsidRPr="00DF0154" w14:paraId="0B10E12D"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28D7F7A" w14:textId="143BE65C" w:rsidR="00D244DE" w:rsidRPr="00D244DE" w:rsidRDefault="005063F3" w:rsidP="00D244DE">
            <w:pPr>
              <w:rPr>
                <w:lang w:val="en-GB"/>
              </w:rPr>
            </w:pPr>
            <w:hyperlink r:id="rId29" w:history="1">
              <w:r w:rsidR="00D244DE" w:rsidRPr="00D244DE">
                <w:rPr>
                  <w:lang w:val="en-GB"/>
                </w:rPr>
                <w:t>SWD(2022) 255</w:t>
              </w:r>
            </w:hyperlink>
          </w:p>
        </w:tc>
        <w:tc>
          <w:tcPr>
            <w:tcW w:w="8874" w:type="dxa"/>
            <w:gridSpan w:val="5"/>
            <w:shd w:val="clear" w:color="auto" w:fill="auto"/>
            <w:vAlign w:val="center"/>
          </w:tcPr>
          <w:p w14:paraId="49603653" w14:textId="7BE46109" w:rsidR="00D244DE" w:rsidRPr="00D042D8" w:rsidRDefault="00D244DE" w:rsidP="00D244DE">
            <w:pPr>
              <w:rPr>
                <w:b/>
                <w:bCs/>
                <w:sz w:val="22"/>
                <w:szCs w:val="22"/>
                <w:lang w:val="en-GB"/>
              </w:rPr>
            </w:pPr>
            <w:r w:rsidRPr="005D76B4">
              <w:rPr>
                <w:sz w:val="22"/>
                <w:szCs w:val="22"/>
                <w:lang w:val="en-GB"/>
              </w:rPr>
              <w:t>COMMISSION STAFF WORKING DOCUMENT Environmental Implementation Review 2022 Country Report - ESTONIA Accompanying the document Communication from the Commission to the European Parliament, the Council, the European Economic and Social Committee and the Committee of the Regions Environmental Implementation Review 2022: Turning the tide through environmental compliance</w:t>
            </w:r>
            <w:r w:rsidRPr="005D76B4">
              <w:rPr>
                <w:sz w:val="22"/>
                <w:szCs w:val="22"/>
                <w:lang w:val="en-GB"/>
              </w:rPr>
              <w:br/>
            </w:r>
          </w:p>
        </w:tc>
      </w:tr>
      <w:tr w:rsidR="00D244DE" w:rsidRPr="00DF0154" w14:paraId="4FB270A5"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4F7ABC4" w14:textId="59011456" w:rsidR="00D244DE" w:rsidRPr="00D244DE" w:rsidRDefault="005063F3" w:rsidP="00D244DE">
            <w:pPr>
              <w:rPr>
                <w:lang w:val="en-GB"/>
              </w:rPr>
            </w:pPr>
            <w:hyperlink r:id="rId30" w:history="1">
              <w:r w:rsidR="00D244DE" w:rsidRPr="00D244DE">
                <w:rPr>
                  <w:lang w:val="en-GB"/>
                </w:rPr>
                <w:t>SWD(2022) 256</w:t>
              </w:r>
            </w:hyperlink>
          </w:p>
        </w:tc>
        <w:tc>
          <w:tcPr>
            <w:tcW w:w="8874" w:type="dxa"/>
            <w:gridSpan w:val="5"/>
            <w:shd w:val="clear" w:color="auto" w:fill="auto"/>
            <w:vAlign w:val="center"/>
          </w:tcPr>
          <w:p w14:paraId="6C8544EF" w14:textId="4F872827" w:rsidR="00D244DE" w:rsidRPr="00D042D8" w:rsidRDefault="00D244DE" w:rsidP="00D244DE">
            <w:pPr>
              <w:rPr>
                <w:b/>
                <w:bCs/>
                <w:sz w:val="22"/>
                <w:szCs w:val="22"/>
                <w:lang w:val="en-GB"/>
              </w:rPr>
            </w:pPr>
            <w:r w:rsidRPr="005D76B4">
              <w:rPr>
                <w:sz w:val="22"/>
                <w:szCs w:val="22"/>
                <w:lang w:val="en-GB"/>
              </w:rPr>
              <w:t>COMMISSION STAFF WORKING DOCUMENT Environmental Implementation Review 2022 Country Report - SPAIN Accompanying the document Communication from the Commission to the European Parliament, the Council, the European Economic and Social Committee and the Committee of the Regions Environmental Implementation Review 2022: Turning the tide through environmental compliance</w:t>
            </w:r>
            <w:r w:rsidRPr="005D76B4">
              <w:rPr>
                <w:sz w:val="22"/>
                <w:szCs w:val="22"/>
                <w:lang w:val="en-GB"/>
              </w:rPr>
              <w:br/>
            </w:r>
          </w:p>
        </w:tc>
      </w:tr>
      <w:tr w:rsidR="00D244DE" w:rsidRPr="00DF0154" w14:paraId="53535E61"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4AD8B53" w14:textId="19761AEF" w:rsidR="00D244DE" w:rsidRPr="00D244DE" w:rsidRDefault="005063F3" w:rsidP="00D244DE">
            <w:pPr>
              <w:rPr>
                <w:lang w:val="en-GB"/>
              </w:rPr>
            </w:pPr>
            <w:hyperlink r:id="rId31" w:history="1">
              <w:r w:rsidR="00D244DE" w:rsidRPr="00D244DE">
                <w:rPr>
                  <w:lang w:val="en-GB"/>
                </w:rPr>
                <w:t>SWD(2022) 257</w:t>
              </w:r>
            </w:hyperlink>
          </w:p>
        </w:tc>
        <w:tc>
          <w:tcPr>
            <w:tcW w:w="8874" w:type="dxa"/>
            <w:gridSpan w:val="5"/>
            <w:shd w:val="clear" w:color="auto" w:fill="auto"/>
            <w:vAlign w:val="center"/>
          </w:tcPr>
          <w:p w14:paraId="30C6BD27" w14:textId="488B54AA" w:rsidR="00D244DE" w:rsidRPr="00D042D8" w:rsidRDefault="00D244DE" w:rsidP="00D244DE">
            <w:pPr>
              <w:rPr>
                <w:b/>
                <w:bCs/>
                <w:sz w:val="22"/>
                <w:szCs w:val="22"/>
                <w:lang w:val="en-GB"/>
              </w:rPr>
            </w:pPr>
            <w:r w:rsidRPr="005D76B4">
              <w:rPr>
                <w:sz w:val="22"/>
                <w:szCs w:val="22"/>
                <w:lang w:val="en-GB"/>
              </w:rPr>
              <w:t xml:space="preserve">COMMISSION STAFF WORKING DOCUMENT Environmental Implementation Review 2022 Country Report - FRANCE Accompanying the document Communication from the Commission to the European Parliament, the Council, the European Economic and Social Committee and the </w:t>
            </w:r>
            <w:r w:rsidRPr="005D76B4">
              <w:rPr>
                <w:sz w:val="22"/>
                <w:szCs w:val="22"/>
                <w:lang w:val="en-GB"/>
              </w:rPr>
              <w:lastRenderedPageBreak/>
              <w:t>Committee of the Regions Environmental Implementation Review 2022: Turning the tide through environmental compliance</w:t>
            </w:r>
            <w:r w:rsidRPr="005D76B4">
              <w:rPr>
                <w:sz w:val="22"/>
                <w:szCs w:val="22"/>
                <w:lang w:val="en-GB"/>
              </w:rPr>
              <w:br/>
            </w:r>
          </w:p>
        </w:tc>
      </w:tr>
      <w:tr w:rsidR="00D244DE" w:rsidRPr="00DF0154" w14:paraId="1118E62D"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782A8E1" w14:textId="62F407AE" w:rsidR="00D244DE" w:rsidRPr="00D042D8" w:rsidRDefault="005063F3" w:rsidP="00D244DE">
            <w:pPr>
              <w:rPr>
                <w:sz w:val="22"/>
                <w:szCs w:val="22"/>
                <w:lang w:val="en-GB"/>
              </w:rPr>
            </w:pPr>
            <w:hyperlink r:id="rId32" w:history="1">
              <w:r w:rsidR="00D244DE" w:rsidRPr="00D244DE">
                <w:rPr>
                  <w:lang w:val="en-GB"/>
                </w:rPr>
                <w:t>SWD(2022) 258</w:t>
              </w:r>
            </w:hyperlink>
          </w:p>
        </w:tc>
        <w:tc>
          <w:tcPr>
            <w:tcW w:w="8874" w:type="dxa"/>
            <w:gridSpan w:val="5"/>
            <w:shd w:val="clear" w:color="auto" w:fill="auto"/>
            <w:vAlign w:val="center"/>
          </w:tcPr>
          <w:p w14:paraId="3A956A39" w14:textId="29DB96F3" w:rsidR="00D244DE" w:rsidRPr="00D042D8" w:rsidRDefault="00D244DE" w:rsidP="00D244DE">
            <w:pPr>
              <w:rPr>
                <w:b/>
                <w:bCs/>
                <w:sz w:val="22"/>
                <w:szCs w:val="22"/>
                <w:lang w:val="en-GB"/>
              </w:rPr>
            </w:pPr>
            <w:r w:rsidRPr="005D76B4">
              <w:rPr>
                <w:sz w:val="22"/>
                <w:szCs w:val="22"/>
                <w:lang w:val="en-GB"/>
              </w:rPr>
              <w:t>COMMISSION STAFF WORKING DOCUMENT Environmental Implementation Review 2022 Country Report - CROATIA Accompanying the document Communication from the Commission to the European Parliament, the Council, the European Economic and Social Committee and the Committee of the Regions Environmental Implementation Review 2022: Turning the tide through environmental compliance</w:t>
            </w:r>
            <w:r w:rsidRPr="005D76B4">
              <w:rPr>
                <w:sz w:val="22"/>
                <w:szCs w:val="22"/>
                <w:lang w:val="en-GB"/>
              </w:rPr>
              <w:br/>
            </w:r>
          </w:p>
        </w:tc>
      </w:tr>
      <w:tr w:rsidR="00D244DE" w:rsidRPr="00DF0154" w14:paraId="4318D531"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62A5F1B" w14:textId="46D79BA4" w:rsidR="00D244DE" w:rsidRPr="00D042D8" w:rsidRDefault="005063F3" w:rsidP="00D244DE">
            <w:pPr>
              <w:rPr>
                <w:sz w:val="22"/>
                <w:szCs w:val="22"/>
                <w:lang w:val="en-GB"/>
              </w:rPr>
            </w:pPr>
            <w:hyperlink r:id="rId33" w:history="1">
              <w:r w:rsidR="00D244DE" w:rsidRPr="00D244DE">
                <w:rPr>
                  <w:lang w:val="en-GB"/>
                </w:rPr>
                <w:t>SWD(2022) 259</w:t>
              </w:r>
            </w:hyperlink>
          </w:p>
        </w:tc>
        <w:tc>
          <w:tcPr>
            <w:tcW w:w="8874" w:type="dxa"/>
            <w:gridSpan w:val="5"/>
            <w:shd w:val="clear" w:color="auto" w:fill="auto"/>
            <w:vAlign w:val="center"/>
          </w:tcPr>
          <w:p w14:paraId="328F6B6C" w14:textId="2F4480F2" w:rsidR="00D244DE" w:rsidRPr="00D042D8" w:rsidRDefault="00D244DE" w:rsidP="00D244DE">
            <w:pPr>
              <w:rPr>
                <w:b/>
                <w:bCs/>
                <w:sz w:val="22"/>
                <w:szCs w:val="22"/>
                <w:lang w:val="en-GB"/>
              </w:rPr>
            </w:pPr>
            <w:r w:rsidRPr="005D76B4">
              <w:rPr>
                <w:sz w:val="22"/>
                <w:szCs w:val="22"/>
                <w:lang w:val="en-GB"/>
              </w:rPr>
              <w:t>COMMISSION STAFF WORKING DOCUMENT Environmental Implementation Review 2022 Country Report - HUNGARY Accompanying the document Communication from the Commission to the European Parliament, the Council, the European Economic and Social Committee and the Committee of the Regions Environmental Implementation Review 2022: Turning the tide through environmental compliance</w:t>
            </w:r>
            <w:r w:rsidRPr="005D76B4">
              <w:rPr>
                <w:sz w:val="22"/>
                <w:szCs w:val="22"/>
                <w:lang w:val="en-GB"/>
              </w:rPr>
              <w:br/>
            </w:r>
          </w:p>
        </w:tc>
      </w:tr>
      <w:tr w:rsidR="00406684" w:rsidRPr="00DF0154" w14:paraId="0329E70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12058E5" w14:textId="587ABEF7" w:rsidR="00406684" w:rsidRPr="00D042D8" w:rsidRDefault="005063F3" w:rsidP="00406684">
            <w:pPr>
              <w:rPr>
                <w:sz w:val="22"/>
                <w:szCs w:val="22"/>
                <w:lang w:val="en-GB"/>
              </w:rPr>
            </w:pPr>
            <w:hyperlink r:id="rId34" w:history="1">
              <w:r w:rsidR="00406684" w:rsidRPr="00406684">
                <w:rPr>
                  <w:lang w:val="en-GB"/>
                </w:rPr>
                <w:t>SWD(2022) 260</w:t>
              </w:r>
            </w:hyperlink>
          </w:p>
        </w:tc>
        <w:tc>
          <w:tcPr>
            <w:tcW w:w="8874" w:type="dxa"/>
            <w:gridSpan w:val="5"/>
            <w:shd w:val="clear" w:color="auto" w:fill="auto"/>
            <w:vAlign w:val="center"/>
          </w:tcPr>
          <w:p w14:paraId="70FF09DA" w14:textId="01639AFF" w:rsidR="00406684" w:rsidRPr="00D042D8" w:rsidRDefault="00406684" w:rsidP="00406684">
            <w:pPr>
              <w:rPr>
                <w:b/>
                <w:bCs/>
                <w:sz w:val="22"/>
                <w:szCs w:val="22"/>
                <w:lang w:val="en-GB"/>
              </w:rPr>
            </w:pPr>
            <w:r w:rsidRPr="005D76B4">
              <w:rPr>
                <w:sz w:val="22"/>
                <w:szCs w:val="22"/>
                <w:lang w:val="en-GB"/>
              </w:rPr>
              <w:t>COMMISSION STAFF WORKING DOCUMENT Environmental Implementation Review Country Report - IRELAND Accompanying the document Communication from the Commission to the European Parliament, the Council, the European Economic and Social Committee and the Committee of the Regions Environmental Implementation Review 2022: Turning the tide through environmental compliance</w:t>
            </w:r>
            <w:r w:rsidRPr="005D76B4">
              <w:rPr>
                <w:sz w:val="22"/>
                <w:szCs w:val="22"/>
                <w:lang w:val="en-GB"/>
              </w:rPr>
              <w:br/>
            </w:r>
          </w:p>
        </w:tc>
      </w:tr>
      <w:tr w:rsidR="00406684" w:rsidRPr="00DF0154" w14:paraId="3D7BDE2C"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14DF733" w14:textId="77FCE225" w:rsidR="00406684" w:rsidRPr="00D042D8" w:rsidRDefault="005063F3" w:rsidP="00406684">
            <w:pPr>
              <w:rPr>
                <w:sz w:val="22"/>
                <w:szCs w:val="22"/>
                <w:lang w:val="en-GB"/>
              </w:rPr>
            </w:pPr>
            <w:hyperlink r:id="rId35" w:history="1">
              <w:r w:rsidR="00406684" w:rsidRPr="00406684">
                <w:rPr>
                  <w:lang w:val="en-GB"/>
                </w:rPr>
                <w:t>SWD(2022) 261</w:t>
              </w:r>
            </w:hyperlink>
          </w:p>
        </w:tc>
        <w:tc>
          <w:tcPr>
            <w:tcW w:w="8874" w:type="dxa"/>
            <w:gridSpan w:val="5"/>
            <w:shd w:val="clear" w:color="auto" w:fill="auto"/>
            <w:vAlign w:val="center"/>
          </w:tcPr>
          <w:p w14:paraId="07114B21" w14:textId="0F71AA63" w:rsidR="00406684" w:rsidRPr="00D042D8" w:rsidRDefault="00406684" w:rsidP="00406684">
            <w:pPr>
              <w:rPr>
                <w:b/>
                <w:bCs/>
                <w:sz w:val="22"/>
                <w:szCs w:val="22"/>
                <w:lang w:val="en-GB"/>
              </w:rPr>
            </w:pPr>
            <w:r w:rsidRPr="005D76B4">
              <w:rPr>
                <w:sz w:val="22"/>
                <w:szCs w:val="22"/>
                <w:lang w:val="en-GB"/>
              </w:rPr>
              <w:t>COMMISSION STAFF WORKING DOCUMENT Environmental Implementation Review 2022 Country Report - BELGIUM Accompanying the document Communication from the Commission to the European Parliament, the Council, the European Economic and Social Committee and the Committee of the Regions Environmental Implementation Review 2022: Turning the tide through environmental compliance</w:t>
            </w:r>
            <w:r w:rsidRPr="005D76B4">
              <w:rPr>
                <w:sz w:val="22"/>
                <w:szCs w:val="22"/>
                <w:lang w:val="en-GB"/>
              </w:rPr>
              <w:br/>
            </w:r>
          </w:p>
        </w:tc>
      </w:tr>
      <w:tr w:rsidR="00406684" w:rsidRPr="00DF0154" w14:paraId="2704F561"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F43B479" w14:textId="3B7C8C2B" w:rsidR="00406684" w:rsidRPr="00D042D8" w:rsidRDefault="005063F3" w:rsidP="00406684">
            <w:pPr>
              <w:rPr>
                <w:sz w:val="22"/>
                <w:szCs w:val="22"/>
                <w:lang w:val="en-GB"/>
              </w:rPr>
            </w:pPr>
            <w:hyperlink r:id="rId36" w:history="1">
              <w:r w:rsidR="00406684" w:rsidRPr="00406684">
                <w:rPr>
                  <w:lang w:val="en-GB"/>
                </w:rPr>
                <w:t>SWD(2022) 262</w:t>
              </w:r>
            </w:hyperlink>
          </w:p>
        </w:tc>
        <w:tc>
          <w:tcPr>
            <w:tcW w:w="8874" w:type="dxa"/>
            <w:gridSpan w:val="5"/>
            <w:shd w:val="clear" w:color="auto" w:fill="auto"/>
            <w:vAlign w:val="center"/>
          </w:tcPr>
          <w:p w14:paraId="436F7C6B" w14:textId="6B771CBF" w:rsidR="00406684" w:rsidRPr="00D042D8" w:rsidRDefault="00406684" w:rsidP="00406684">
            <w:pPr>
              <w:rPr>
                <w:b/>
                <w:bCs/>
                <w:sz w:val="22"/>
                <w:szCs w:val="22"/>
                <w:lang w:val="en-GB"/>
              </w:rPr>
            </w:pPr>
            <w:r w:rsidRPr="005D76B4">
              <w:rPr>
                <w:sz w:val="22"/>
                <w:szCs w:val="22"/>
                <w:lang w:val="en-GB"/>
              </w:rPr>
              <w:t>COMMISSION STAFF WORKING DOCUMENT Environmental Implementation Review 2022 Country Report - BULGARIA Accompanying the document Communication from the Commission to the European Parliament, the Council, the European Economic and Social Committee and the Committee of the Regions Environmental Implementation Review 2022: Turning the tide through environmental compliance</w:t>
            </w:r>
            <w:r w:rsidRPr="005D76B4">
              <w:rPr>
                <w:sz w:val="22"/>
                <w:szCs w:val="22"/>
                <w:lang w:val="en-GB"/>
              </w:rPr>
              <w:br/>
            </w:r>
          </w:p>
        </w:tc>
      </w:tr>
      <w:tr w:rsidR="00406684" w:rsidRPr="00DF0154" w14:paraId="345DBEAB"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29616D9" w14:textId="341A28A9" w:rsidR="00406684" w:rsidRPr="00D042D8" w:rsidRDefault="005063F3" w:rsidP="00406684">
            <w:pPr>
              <w:rPr>
                <w:sz w:val="22"/>
                <w:szCs w:val="22"/>
                <w:lang w:val="en-GB"/>
              </w:rPr>
            </w:pPr>
            <w:hyperlink r:id="rId37" w:history="1">
              <w:r w:rsidR="00406684" w:rsidRPr="00406684">
                <w:rPr>
                  <w:lang w:val="en-GB"/>
                </w:rPr>
                <w:t>SWD(2022) 263</w:t>
              </w:r>
            </w:hyperlink>
          </w:p>
        </w:tc>
        <w:tc>
          <w:tcPr>
            <w:tcW w:w="8874" w:type="dxa"/>
            <w:gridSpan w:val="5"/>
            <w:shd w:val="clear" w:color="auto" w:fill="auto"/>
            <w:vAlign w:val="center"/>
          </w:tcPr>
          <w:p w14:paraId="12F74D50" w14:textId="58473178" w:rsidR="00406684" w:rsidRPr="00D042D8" w:rsidRDefault="00406684" w:rsidP="00406684">
            <w:pPr>
              <w:rPr>
                <w:b/>
                <w:bCs/>
                <w:sz w:val="22"/>
                <w:szCs w:val="22"/>
                <w:lang w:val="en-GB"/>
              </w:rPr>
            </w:pPr>
            <w:r w:rsidRPr="005D76B4">
              <w:rPr>
                <w:sz w:val="22"/>
                <w:szCs w:val="22"/>
                <w:lang w:val="en-GB"/>
              </w:rPr>
              <w:t>COMMISSION STAFF WORKING DOCUMENT Environmental Implementation Review 2022 Country Report - CYPRUS Accompanying the document Communication from the Commission to the European Parliament, the Council, the European Economic and Social Committee and the Committee of the Regions Environmental Implementation Review: Turning the tide through environmental compliance</w:t>
            </w:r>
            <w:r w:rsidRPr="005D76B4">
              <w:rPr>
                <w:sz w:val="22"/>
                <w:szCs w:val="22"/>
                <w:lang w:val="en-GB"/>
              </w:rPr>
              <w:br/>
            </w:r>
          </w:p>
        </w:tc>
      </w:tr>
      <w:tr w:rsidR="00406684" w:rsidRPr="00DF0154" w14:paraId="719F10F3"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0AE2F9A" w14:textId="6A96A978" w:rsidR="00406684" w:rsidRPr="00D042D8" w:rsidRDefault="005063F3" w:rsidP="00406684">
            <w:pPr>
              <w:rPr>
                <w:sz w:val="22"/>
                <w:szCs w:val="22"/>
                <w:lang w:val="en-GB"/>
              </w:rPr>
            </w:pPr>
            <w:hyperlink r:id="rId38" w:history="1">
              <w:r w:rsidR="00406684" w:rsidRPr="00406684">
                <w:rPr>
                  <w:lang w:val="en-GB"/>
                </w:rPr>
                <w:t>SWD(2022) 264</w:t>
              </w:r>
            </w:hyperlink>
          </w:p>
        </w:tc>
        <w:tc>
          <w:tcPr>
            <w:tcW w:w="8874" w:type="dxa"/>
            <w:gridSpan w:val="5"/>
            <w:shd w:val="clear" w:color="auto" w:fill="auto"/>
            <w:vAlign w:val="center"/>
          </w:tcPr>
          <w:p w14:paraId="65651337" w14:textId="7A00CB76" w:rsidR="00406684" w:rsidRPr="00D042D8" w:rsidRDefault="00406684" w:rsidP="00406684">
            <w:pPr>
              <w:rPr>
                <w:b/>
                <w:bCs/>
                <w:sz w:val="22"/>
                <w:szCs w:val="22"/>
                <w:lang w:val="en-GB"/>
              </w:rPr>
            </w:pPr>
            <w:r w:rsidRPr="005D76B4">
              <w:rPr>
                <w:sz w:val="22"/>
                <w:szCs w:val="22"/>
                <w:lang w:val="en-GB"/>
              </w:rPr>
              <w:t>COMMISSION STAFF WORKING DOCUMENT Environmental Implementation Review 2022 Country Report - CZECHIA Accompanying the document Communication from the Commission to the European Parliament, the Council, the European Economic and Social Committee and the Committee of the Regions Environmental Implementation Review 2022: Turning the tide through environmental compliance</w:t>
            </w:r>
            <w:r w:rsidRPr="005D76B4">
              <w:rPr>
                <w:sz w:val="22"/>
                <w:szCs w:val="22"/>
                <w:lang w:val="en-GB"/>
              </w:rPr>
              <w:br/>
            </w:r>
          </w:p>
        </w:tc>
      </w:tr>
      <w:tr w:rsidR="00406684" w:rsidRPr="00DF0154" w14:paraId="67D902EF"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F4CFE3A" w14:textId="30F044C6" w:rsidR="00406684" w:rsidRPr="00D042D8" w:rsidRDefault="005063F3" w:rsidP="00406684">
            <w:pPr>
              <w:rPr>
                <w:sz w:val="22"/>
                <w:szCs w:val="22"/>
                <w:lang w:val="en-GB"/>
              </w:rPr>
            </w:pPr>
            <w:hyperlink r:id="rId39" w:history="1">
              <w:r w:rsidR="00406684" w:rsidRPr="00406684">
                <w:rPr>
                  <w:lang w:val="en-GB"/>
                </w:rPr>
                <w:t>SWD(2022) 265</w:t>
              </w:r>
            </w:hyperlink>
          </w:p>
        </w:tc>
        <w:tc>
          <w:tcPr>
            <w:tcW w:w="8874" w:type="dxa"/>
            <w:gridSpan w:val="5"/>
            <w:shd w:val="clear" w:color="auto" w:fill="auto"/>
            <w:vAlign w:val="center"/>
          </w:tcPr>
          <w:p w14:paraId="77C1FB77" w14:textId="540A3995" w:rsidR="00406684" w:rsidRPr="00D042D8" w:rsidRDefault="00406684" w:rsidP="00406684">
            <w:pPr>
              <w:rPr>
                <w:b/>
                <w:bCs/>
                <w:sz w:val="22"/>
                <w:szCs w:val="22"/>
                <w:lang w:val="en-GB"/>
              </w:rPr>
            </w:pPr>
            <w:r w:rsidRPr="005D76B4">
              <w:rPr>
                <w:sz w:val="22"/>
                <w:szCs w:val="22"/>
                <w:lang w:val="en-GB"/>
              </w:rPr>
              <w:t>COMMISSION STAFF WORKING DOCUMENT Environmental Implementation Review 2022 Country Report – GERMANY Accompanying the document Communication from the Commission to the European Parliament, the Council, the European Economic and Social Committee and the Committee of the Regions Environmental Implementation Review 2022: Turning the tide through environmental compliance</w:t>
            </w:r>
            <w:r w:rsidRPr="005D76B4">
              <w:rPr>
                <w:sz w:val="22"/>
                <w:szCs w:val="22"/>
                <w:lang w:val="en-GB"/>
              </w:rPr>
              <w:br/>
            </w:r>
          </w:p>
        </w:tc>
      </w:tr>
      <w:tr w:rsidR="00406684" w:rsidRPr="00DF0154" w14:paraId="3F5C55D4"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7D2C750" w14:textId="0C8B3427" w:rsidR="00406684" w:rsidRPr="00D042D8" w:rsidRDefault="005063F3" w:rsidP="00406684">
            <w:pPr>
              <w:rPr>
                <w:sz w:val="22"/>
                <w:szCs w:val="22"/>
                <w:lang w:val="en-GB"/>
              </w:rPr>
            </w:pPr>
            <w:hyperlink r:id="rId40" w:history="1">
              <w:r w:rsidR="00406684" w:rsidRPr="00406684">
                <w:rPr>
                  <w:lang w:val="en-GB"/>
                </w:rPr>
                <w:t>SWD(2022) 266</w:t>
              </w:r>
            </w:hyperlink>
          </w:p>
        </w:tc>
        <w:tc>
          <w:tcPr>
            <w:tcW w:w="8874" w:type="dxa"/>
            <w:gridSpan w:val="5"/>
            <w:shd w:val="clear" w:color="auto" w:fill="auto"/>
            <w:vAlign w:val="center"/>
          </w:tcPr>
          <w:p w14:paraId="1C352F17" w14:textId="27152577" w:rsidR="00406684" w:rsidRPr="00D042D8" w:rsidRDefault="00406684" w:rsidP="00406684">
            <w:pPr>
              <w:rPr>
                <w:b/>
                <w:bCs/>
                <w:sz w:val="22"/>
                <w:szCs w:val="22"/>
                <w:lang w:val="en-GB"/>
              </w:rPr>
            </w:pPr>
            <w:r w:rsidRPr="005D76B4">
              <w:rPr>
                <w:sz w:val="22"/>
                <w:szCs w:val="22"/>
                <w:lang w:val="en-GB"/>
              </w:rPr>
              <w:t>COMMISSION STAFF WORKING DOCUMENT Environmental Implementation Review 2022 Country Report - LITHUANIA Accompanying the document Communication from the Commission to the European Parliament, the Council, the European Economic and Social Committee and the Committee of the Regions Environmental Implementation Review 2022: Turning the tide through environmental compliance</w:t>
            </w:r>
          </w:p>
        </w:tc>
      </w:tr>
      <w:tr w:rsidR="00406684" w:rsidRPr="00DF0154" w14:paraId="5054FAA7"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8C6BDD0" w14:textId="535C75F0" w:rsidR="00406684" w:rsidRPr="00D042D8" w:rsidRDefault="005063F3" w:rsidP="00406684">
            <w:pPr>
              <w:rPr>
                <w:sz w:val="22"/>
                <w:szCs w:val="22"/>
                <w:lang w:val="en-GB"/>
              </w:rPr>
            </w:pPr>
            <w:hyperlink r:id="rId41" w:history="1">
              <w:r w:rsidR="00406684" w:rsidRPr="00406684">
                <w:rPr>
                  <w:lang w:val="en-GB"/>
                </w:rPr>
                <w:t>SWD(2022) 267</w:t>
              </w:r>
            </w:hyperlink>
          </w:p>
        </w:tc>
        <w:tc>
          <w:tcPr>
            <w:tcW w:w="8874" w:type="dxa"/>
            <w:gridSpan w:val="5"/>
            <w:shd w:val="clear" w:color="auto" w:fill="auto"/>
            <w:vAlign w:val="center"/>
          </w:tcPr>
          <w:p w14:paraId="3B6C99CC" w14:textId="514DEB4F" w:rsidR="00406684" w:rsidRPr="00D042D8" w:rsidRDefault="00406684" w:rsidP="00406684">
            <w:pPr>
              <w:rPr>
                <w:b/>
                <w:bCs/>
                <w:sz w:val="22"/>
                <w:szCs w:val="22"/>
                <w:lang w:val="en-GB"/>
              </w:rPr>
            </w:pPr>
            <w:r w:rsidRPr="005D76B4">
              <w:rPr>
                <w:sz w:val="22"/>
                <w:szCs w:val="22"/>
                <w:lang w:val="en-GB"/>
              </w:rPr>
              <w:t>COMMISSION STAFF WORKING DOCUMENT Environmental Implementation Review 2022 Country Report - LUXEMBOURG Accompanying the document Communication from the Commission to the European Parliament, the Council, the European Economic and Social Committee and the Committee of the Regions Environmental Implementation Review 2022: Turning the tide through environmental compliance</w:t>
            </w:r>
            <w:r w:rsidRPr="005D76B4">
              <w:rPr>
                <w:sz w:val="22"/>
                <w:szCs w:val="22"/>
                <w:lang w:val="en-GB"/>
              </w:rPr>
              <w:br/>
            </w:r>
          </w:p>
        </w:tc>
      </w:tr>
      <w:tr w:rsidR="00406684" w:rsidRPr="00DF0154" w14:paraId="2867704D"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0195E06" w14:textId="1D2553C1" w:rsidR="00406684" w:rsidRPr="00406684" w:rsidRDefault="005063F3" w:rsidP="00406684">
            <w:hyperlink r:id="rId42" w:history="1">
              <w:r w:rsidR="00406684" w:rsidRPr="00406684">
                <w:t>SWD(2022) 268</w:t>
              </w:r>
            </w:hyperlink>
          </w:p>
        </w:tc>
        <w:tc>
          <w:tcPr>
            <w:tcW w:w="8874" w:type="dxa"/>
            <w:gridSpan w:val="5"/>
            <w:shd w:val="clear" w:color="auto" w:fill="auto"/>
            <w:vAlign w:val="center"/>
          </w:tcPr>
          <w:p w14:paraId="2838DC48" w14:textId="51D4310D" w:rsidR="00406684" w:rsidRPr="00D042D8" w:rsidRDefault="00406684" w:rsidP="00406684">
            <w:pPr>
              <w:rPr>
                <w:b/>
                <w:bCs/>
                <w:sz w:val="22"/>
                <w:szCs w:val="22"/>
                <w:lang w:val="en-GB"/>
              </w:rPr>
            </w:pPr>
            <w:r w:rsidRPr="005D76B4">
              <w:rPr>
                <w:sz w:val="22"/>
                <w:szCs w:val="22"/>
                <w:lang w:val="en-GB"/>
              </w:rPr>
              <w:t>COMMISSION STAFF WORKING DOCUMENT Environmental Implementation Review Country Report - THE NETHERLANDS Accompanying the document Communication from the Commission to the European Parliament, the Council, the European Economic and Social Committee and the Committee of the Regions Environmental Implementation Review 2022: Turning the tide through environmental compliance</w:t>
            </w:r>
            <w:r w:rsidRPr="005D76B4">
              <w:rPr>
                <w:sz w:val="22"/>
                <w:szCs w:val="22"/>
                <w:lang w:val="en-GB"/>
              </w:rPr>
              <w:br/>
            </w:r>
          </w:p>
        </w:tc>
      </w:tr>
      <w:tr w:rsidR="00406684" w:rsidRPr="00DF0154" w14:paraId="6B7DD1E8"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1567F50" w14:textId="3C0AC53E" w:rsidR="00406684" w:rsidRPr="00406684" w:rsidRDefault="005063F3" w:rsidP="00406684">
            <w:hyperlink r:id="rId43" w:history="1">
              <w:r w:rsidR="00406684" w:rsidRPr="00406684">
                <w:t>SWD(2022) 269</w:t>
              </w:r>
            </w:hyperlink>
          </w:p>
        </w:tc>
        <w:tc>
          <w:tcPr>
            <w:tcW w:w="8874" w:type="dxa"/>
            <w:gridSpan w:val="5"/>
            <w:shd w:val="clear" w:color="auto" w:fill="auto"/>
            <w:vAlign w:val="center"/>
          </w:tcPr>
          <w:p w14:paraId="0E5EF230" w14:textId="184A1E38" w:rsidR="00406684" w:rsidRPr="00D042D8" w:rsidRDefault="00406684" w:rsidP="00406684">
            <w:pPr>
              <w:rPr>
                <w:b/>
                <w:bCs/>
                <w:sz w:val="22"/>
                <w:szCs w:val="22"/>
                <w:lang w:val="en-GB"/>
              </w:rPr>
            </w:pPr>
            <w:r w:rsidRPr="005D76B4">
              <w:rPr>
                <w:sz w:val="22"/>
                <w:szCs w:val="22"/>
                <w:lang w:val="en-GB"/>
              </w:rPr>
              <w:t>COMMISSION STAFF WORKING DOCUMENT Environmental Implementation Review 2022 Country Report - POLAND Accompanying the document Communication from the Commission to the European Parliament, the Council, the European Economic and Social Committee and the Committee of the Regions Environmental Implementation Review 2022: Turning the tide through environmental compliance</w:t>
            </w:r>
            <w:r w:rsidRPr="005D76B4">
              <w:rPr>
                <w:sz w:val="22"/>
                <w:szCs w:val="22"/>
                <w:lang w:val="en-GB"/>
              </w:rPr>
              <w:br/>
            </w:r>
          </w:p>
        </w:tc>
      </w:tr>
      <w:tr w:rsidR="00406684" w:rsidRPr="00DF0154" w14:paraId="31297BEA"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50603D4" w14:textId="043DA2DC" w:rsidR="00406684" w:rsidRPr="00406684" w:rsidRDefault="005063F3" w:rsidP="00406684">
            <w:hyperlink r:id="rId44" w:history="1">
              <w:r w:rsidR="00406684" w:rsidRPr="00406684">
                <w:t>SWD(2022) 270</w:t>
              </w:r>
            </w:hyperlink>
          </w:p>
        </w:tc>
        <w:tc>
          <w:tcPr>
            <w:tcW w:w="8874" w:type="dxa"/>
            <w:gridSpan w:val="5"/>
            <w:shd w:val="clear" w:color="auto" w:fill="auto"/>
            <w:vAlign w:val="center"/>
          </w:tcPr>
          <w:p w14:paraId="52CD830D" w14:textId="167BC310" w:rsidR="00406684" w:rsidRPr="00D042D8" w:rsidRDefault="00406684" w:rsidP="00406684">
            <w:pPr>
              <w:rPr>
                <w:b/>
                <w:bCs/>
                <w:sz w:val="22"/>
                <w:szCs w:val="22"/>
                <w:lang w:val="en-GB"/>
              </w:rPr>
            </w:pPr>
            <w:r w:rsidRPr="005D76B4">
              <w:rPr>
                <w:sz w:val="22"/>
                <w:szCs w:val="22"/>
                <w:lang w:val="en-GB"/>
              </w:rPr>
              <w:t>COMMISSION STAFF WORKING DOCUMENT Environmental Implementation Review 2022 Country Report - PORTUGAL Accompanying the document Communication from the Commission to the European Parliament, the Council, the European Economic and Social Committee and the Committee of the Regions Environmental Implementation Review 2022: Turning the tide through environmental compliance</w:t>
            </w:r>
            <w:r w:rsidRPr="005D76B4">
              <w:rPr>
                <w:sz w:val="22"/>
                <w:szCs w:val="22"/>
                <w:lang w:val="en-GB"/>
              </w:rPr>
              <w:br/>
            </w:r>
          </w:p>
        </w:tc>
      </w:tr>
      <w:tr w:rsidR="00406684" w:rsidRPr="00DF0154" w14:paraId="7EA9DC2A"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3D0DB97" w14:textId="4B9D8266" w:rsidR="00406684" w:rsidRPr="00406684" w:rsidRDefault="005063F3" w:rsidP="00406684">
            <w:hyperlink r:id="rId45" w:history="1">
              <w:r w:rsidR="00406684" w:rsidRPr="00406684">
                <w:t>SWD(2022) 271</w:t>
              </w:r>
            </w:hyperlink>
          </w:p>
        </w:tc>
        <w:tc>
          <w:tcPr>
            <w:tcW w:w="8874" w:type="dxa"/>
            <w:gridSpan w:val="5"/>
            <w:shd w:val="clear" w:color="auto" w:fill="auto"/>
            <w:vAlign w:val="center"/>
          </w:tcPr>
          <w:p w14:paraId="6E84FB4E" w14:textId="3261420E" w:rsidR="00406684" w:rsidRPr="00D042D8" w:rsidRDefault="00406684" w:rsidP="00406684">
            <w:pPr>
              <w:rPr>
                <w:b/>
                <w:bCs/>
                <w:sz w:val="22"/>
                <w:szCs w:val="22"/>
                <w:lang w:val="en-GB"/>
              </w:rPr>
            </w:pPr>
            <w:r w:rsidRPr="005D76B4">
              <w:rPr>
                <w:sz w:val="22"/>
                <w:szCs w:val="22"/>
                <w:lang w:val="en-GB"/>
              </w:rPr>
              <w:t>COMMISSION STAFF WORKING DOCUMENT Environmental Implementation Review 2022 Country Report - ROMANIA Accompanying the document Communication from the Commission to the European Parliament, the Council, the European Economic and Social Committee and the Committee of the Regions Environmental Implementation Review 2022: Turning the tide through environmental compliance</w:t>
            </w:r>
            <w:r w:rsidRPr="005D76B4">
              <w:rPr>
                <w:sz w:val="22"/>
                <w:szCs w:val="22"/>
                <w:lang w:val="en-GB"/>
              </w:rPr>
              <w:br/>
            </w:r>
          </w:p>
        </w:tc>
      </w:tr>
      <w:tr w:rsidR="00406684" w:rsidRPr="00406684" w14:paraId="56094E0F"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DB0E6CF" w14:textId="74A070E6" w:rsidR="00406684" w:rsidRPr="00406684" w:rsidRDefault="005063F3" w:rsidP="00406684">
            <w:hyperlink r:id="rId46" w:history="1">
              <w:r w:rsidR="00406684" w:rsidRPr="00406684">
                <w:t>SWD(2022) 272</w:t>
              </w:r>
            </w:hyperlink>
          </w:p>
        </w:tc>
        <w:tc>
          <w:tcPr>
            <w:tcW w:w="8874" w:type="dxa"/>
            <w:gridSpan w:val="5"/>
            <w:shd w:val="clear" w:color="auto" w:fill="auto"/>
            <w:vAlign w:val="center"/>
          </w:tcPr>
          <w:p w14:paraId="36939008" w14:textId="3D964054" w:rsidR="00406684" w:rsidRPr="00406684" w:rsidRDefault="00406684" w:rsidP="00406684">
            <w:pPr>
              <w:rPr>
                <w:b/>
                <w:bCs/>
                <w:sz w:val="22"/>
                <w:szCs w:val="22"/>
              </w:rPr>
            </w:pPr>
            <w:r w:rsidRPr="005D76B4">
              <w:rPr>
                <w:sz w:val="22"/>
                <w:szCs w:val="22"/>
              </w:rPr>
              <w:t xml:space="preserve">ARBETSDOKUMENT från kommissionenS AVDELNINGAR </w:t>
            </w:r>
            <w:r w:rsidRPr="00FC58BA">
              <w:rPr>
                <w:b/>
                <w:bCs/>
                <w:sz w:val="22"/>
                <w:szCs w:val="22"/>
              </w:rPr>
              <w:t>Granskning av genomförandet av miljöpolitiken 2022 Landsrapport – SVERIGE</w:t>
            </w:r>
            <w:r w:rsidRPr="005D76B4">
              <w:rPr>
                <w:sz w:val="22"/>
                <w:szCs w:val="22"/>
              </w:rPr>
              <w:t xml:space="preserve"> Följedokument till Meddelande från kommissionen till Europaparlamentet, rådet, Europeiska ekonomiska och sociala kommittén samt Regionkommittén Granskning av genomförandet av miljöpolitiken 2022: Vända utvecklingen genom efterlevnad av miljölagstiftningen</w:t>
            </w:r>
            <w:r w:rsidRPr="005D76B4">
              <w:rPr>
                <w:sz w:val="22"/>
                <w:szCs w:val="22"/>
              </w:rPr>
              <w:br/>
            </w:r>
          </w:p>
        </w:tc>
      </w:tr>
      <w:tr w:rsidR="00406684" w:rsidRPr="00DF0154" w14:paraId="599EF052"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F870C1F" w14:textId="4A180C55" w:rsidR="00406684" w:rsidRPr="00406684" w:rsidRDefault="005063F3" w:rsidP="00406684">
            <w:hyperlink r:id="rId47" w:history="1">
              <w:r w:rsidR="00406684" w:rsidRPr="00406684">
                <w:t>SWD(2022) 273</w:t>
              </w:r>
            </w:hyperlink>
          </w:p>
        </w:tc>
        <w:tc>
          <w:tcPr>
            <w:tcW w:w="8874" w:type="dxa"/>
            <w:gridSpan w:val="5"/>
            <w:shd w:val="clear" w:color="auto" w:fill="auto"/>
            <w:vAlign w:val="center"/>
          </w:tcPr>
          <w:p w14:paraId="7AE90CDA" w14:textId="403C3B3C" w:rsidR="00406684" w:rsidRPr="00D042D8" w:rsidRDefault="00406684" w:rsidP="00406684">
            <w:pPr>
              <w:rPr>
                <w:b/>
                <w:bCs/>
                <w:sz w:val="22"/>
                <w:szCs w:val="22"/>
                <w:lang w:val="en-GB"/>
              </w:rPr>
            </w:pPr>
            <w:r w:rsidRPr="005D76B4">
              <w:rPr>
                <w:sz w:val="22"/>
                <w:szCs w:val="22"/>
                <w:lang w:val="en-GB"/>
              </w:rPr>
              <w:t>COMMISSION STAFF WORKING DOCUMENT Environmental Implementation Review 2022 Country Report - SLOVENIA Accompanying the document Communication from the Commission to the European Parliament, the Council, the European Economic and Social Committee and the Committee of the Regions Environmental Implementation Review 2022: Turning the tide through environmental compliance</w:t>
            </w:r>
            <w:r w:rsidRPr="005D76B4">
              <w:rPr>
                <w:sz w:val="22"/>
                <w:szCs w:val="22"/>
                <w:lang w:val="en-GB"/>
              </w:rPr>
              <w:br/>
            </w:r>
          </w:p>
        </w:tc>
      </w:tr>
      <w:tr w:rsidR="00406684" w:rsidRPr="00DF0154" w14:paraId="0F905168"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492E054" w14:textId="179DFE8F" w:rsidR="00406684" w:rsidRPr="00406684" w:rsidRDefault="005063F3" w:rsidP="00406684">
            <w:hyperlink r:id="rId48" w:history="1">
              <w:r w:rsidR="00406684" w:rsidRPr="00406684">
                <w:t>SWD(2022) 274</w:t>
              </w:r>
            </w:hyperlink>
          </w:p>
        </w:tc>
        <w:tc>
          <w:tcPr>
            <w:tcW w:w="8874" w:type="dxa"/>
            <w:gridSpan w:val="5"/>
            <w:shd w:val="clear" w:color="auto" w:fill="auto"/>
            <w:vAlign w:val="center"/>
          </w:tcPr>
          <w:p w14:paraId="01B4C904" w14:textId="1A004219" w:rsidR="00406684" w:rsidRPr="00D042D8" w:rsidRDefault="00406684" w:rsidP="00406684">
            <w:pPr>
              <w:rPr>
                <w:b/>
                <w:bCs/>
                <w:sz w:val="22"/>
                <w:szCs w:val="22"/>
                <w:lang w:val="en-GB"/>
              </w:rPr>
            </w:pPr>
            <w:r w:rsidRPr="005D76B4">
              <w:rPr>
                <w:sz w:val="22"/>
                <w:szCs w:val="22"/>
                <w:lang w:val="en-GB"/>
              </w:rPr>
              <w:t>COMMISSION STAFF WORKING DOCUMENT Environmental Implementation Review 2022 Country Report - AUSTRIA Accompanying the document Communication from the Commission to the European Parliament, the Council, the European Economic and Social Committee and the Committee of the Regions Environmental Implementation Review 2022: Turning the tide through environmental compliance</w:t>
            </w:r>
            <w:r w:rsidRPr="005D76B4">
              <w:rPr>
                <w:sz w:val="22"/>
                <w:szCs w:val="22"/>
                <w:lang w:val="en-GB"/>
              </w:rPr>
              <w:br/>
            </w:r>
          </w:p>
        </w:tc>
      </w:tr>
      <w:tr w:rsidR="00406684" w:rsidRPr="00DF0154" w14:paraId="5A74E08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B0FA0E9" w14:textId="233B7A16" w:rsidR="00406684" w:rsidRPr="00406684" w:rsidRDefault="005063F3" w:rsidP="00406684">
            <w:hyperlink r:id="rId49" w:history="1">
              <w:r w:rsidR="00406684" w:rsidRPr="00406684">
                <w:t>SWD(2022) 275</w:t>
              </w:r>
            </w:hyperlink>
          </w:p>
        </w:tc>
        <w:tc>
          <w:tcPr>
            <w:tcW w:w="8874" w:type="dxa"/>
            <w:gridSpan w:val="5"/>
            <w:shd w:val="clear" w:color="auto" w:fill="auto"/>
            <w:vAlign w:val="center"/>
          </w:tcPr>
          <w:p w14:paraId="619CE11C" w14:textId="3D709388" w:rsidR="00406684" w:rsidRPr="00D042D8" w:rsidRDefault="00406684" w:rsidP="00406684">
            <w:pPr>
              <w:rPr>
                <w:b/>
                <w:bCs/>
                <w:sz w:val="22"/>
                <w:szCs w:val="22"/>
                <w:lang w:val="en-GB"/>
              </w:rPr>
            </w:pPr>
            <w:r w:rsidRPr="005D76B4">
              <w:rPr>
                <w:sz w:val="22"/>
                <w:szCs w:val="22"/>
                <w:lang w:val="en-GB"/>
              </w:rPr>
              <w:t>COMMISSION STAFF WORKING DOCUMENT Environmental Implementation Review 2022 Country Report - ITALY Accompanying the document Communication from the Commission to the European Parliament, the Council, the European Economic and Social Committee and the Committee of the Regions Environmental Implementation Review 2022: Turning the tide through environmental compliance</w:t>
            </w:r>
            <w:r w:rsidRPr="005D76B4">
              <w:rPr>
                <w:sz w:val="22"/>
                <w:szCs w:val="22"/>
                <w:lang w:val="en-GB"/>
              </w:rPr>
              <w:br/>
            </w:r>
          </w:p>
        </w:tc>
      </w:tr>
      <w:tr w:rsidR="00406684" w:rsidRPr="00DF0154" w14:paraId="13EEFABB"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2BBB2CA" w14:textId="3BC75211" w:rsidR="00406684" w:rsidRPr="00406684" w:rsidRDefault="005063F3" w:rsidP="00406684">
            <w:hyperlink r:id="rId50" w:history="1">
              <w:r w:rsidR="00406684" w:rsidRPr="00406684">
                <w:t>SWD(2022) 276</w:t>
              </w:r>
            </w:hyperlink>
          </w:p>
        </w:tc>
        <w:tc>
          <w:tcPr>
            <w:tcW w:w="8874" w:type="dxa"/>
            <w:gridSpan w:val="5"/>
            <w:shd w:val="clear" w:color="auto" w:fill="auto"/>
            <w:vAlign w:val="center"/>
          </w:tcPr>
          <w:p w14:paraId="65C6BA89" w14:textId="124A5B01" w:rsidR="00406684" w:rsidRPr="00D042D8" w:rsidRDefault="00406684" w:rsidP="00406684">
            <w:pPr>
              <w:rPr>
                <w:b/>
                <w:bCs/>
                <w:sz w:val="22"/>
                <w:szCs w:val="22"/>
                <w:lang w:val="en-GB"/>
              </w:rPr>
            </w:pPr>
            <w:r w:rsidRPr="005D76B4">
              <w:rPr>
                <w:sz w:val="22"/>
                <w:szCs w:val="22"/>
                <w:lang w:val="en-GB"/>
              </w:rPr>
              <w:t xml:space="preserve">COMMISSION STAFF WORKING DOCUMENT Environmental Implementation Review 2022 Country Report - LATVIA Accompanying the document Communication from the Commission to </w:t>
            </w:r>
            <w:r w:rsidRPr="005D76B4">
              <w:rPr>
                <w:sz w:val="22"/>
                <w:szCs w:val="22"/>
                <w:lang w:val="en-GB"/>
              </w:rPr>
              <w:lastRenderedPageBreak/>
              <w:t>the European Parliament, the Council, the European Economic and Social Committee and the Committee of the Regions Environmental Implementation Review 2022: Turning the tide through environmental compliance</w:t>
            </w:r>
            <w:r w:rsidRPr="005D76B4">
              <w:rPr>
                <w:sz w:val="22"/>
                <w:szCs w:val="22"/>
                <w:lang w:val="en-GB"/>
              </w:rPr>
              <w:br/>
            </w:r>
          </w:p>
        </w:tc>
      </w:tr>
      <w:tr w:rsidR="00406684" w:rsidRPr="00406684" w14:paraId="4727097A"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15374CB" w14:textId="68A4393B" w:rsidR="00406684" w:rsidRPr="00406684" w:rsidRDefault="005063F3" w:rsidP="00406684">
            <w:hyperlink r:id="rId51" w:history="1">
              <w:r w:rsidR="00406684" w:rsidRPr="00406684">
                <w:t>SWD(2022) 277</w:t>
              </w:r>
            </w:hyperlink>
          </w:p>
        </w:tc>
        <w:tc>
          <w:tcPr>
            <w:tcW w:w="8874" w:type="dxa"/>
            <w:gridSpan w:val="5"/>
            <w:shd w:val="clear" w:color="auto" w:fill="auto"/>
            <w:vAlign w:val="center"/>
          </w:tcPr>
          <w:p w14:paraId="69B45B7F" w14:textId="7C622000" w:rsidR="00406684" w:rsidRPr="00406684" w:rsidRDefault="00406684" w:rsidP="00406684">
            <w:pPr>
              <w:rPr>
                <w:b/>
                <w:bCs/>
                <w:sz w:val="22"/>
                <w:szCs w:val="22"/>
              </w:rPr>
            </w:pPr>
            <w:r w:rsidRPr="005D76B4">
              <w:rPr>
                <w:sz w:val="22"/>
                <w:szCs w:val="22"/>
              </w:rPr>
              <w:t>ARBETSDOKUMENT från KOMMISSIONENS AVDELNINGAR Granskning av genomförandet av miljöpolitiken 2022 Landsrapport – FINLAND Följedokument till Meddelande från kommissionen till Europaparlamentet, rådet, Europeiska ekonomiska och sociala kommittén samt Regionkommittén Granskning av genomförandet av miljöpolitiken 2022: Vända trenden genom efterlevnad av miljölagstiftningen</w:t>
            </w:r>
            <w:r w:rsidRPr="005D76B4">
              <w:rPr>
                <w:sz w:val="22"/>
                <w:szCs w:val="22"/>
              </w:rPr>
              <w:br/>
            </w:r>
          </w:p>
        </w:tc>
      </w:tr>
      <w:tr w:rsidR="00406684" w:rsidRPr="00DF0154" w14:paraId="62D6503C"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FDF9D81" w14:textId="7F346B37" w:rsidR="00406684" w:rsidRPr="00406684" w:rsidRDefault="005063F3" w:rsidP="00406684">
            <w:hyperlink r:id="rId52" w:history="1">
              <w:r w:rsidR="00406684" w:rsidRPr="00406684">
                <w:t>SWD(2022) 278</w:t>
              </w:r>
            </w:hyperlink>
          </w:p>
        </w:tc>
        <w:tc>
          <w:tcPr>
            <w:tcW w:w="8874" w:type="dxa"/>
            <w:gridSpan w:val="5"/>
            <w:shd w:val="clear" w:color="auto" w:fill="auto"/>
            <w:vAlign w:val="center"/>
          </w:tcPr>
          <w:p w14:paraId="40AA5D9E" w14:textId="56594992" w:rsidR="00406684" w:rsidRPr="00D042D8" w:rsidRDefault="00406684" w:rsidP="00406684">
            <w:pPr>
              <w:rPr>
                <w:b/>
                <w:bCs/>
                <w:sz w:val="22"/>
                <w:szCs w:val="22"/>
                <w:lang w:val="en-GB"/>
              </w:rPr>
            </w:pPr>
            <w:r w:rsidRPr="005D76B4">
              <w:rPr>
                <w:sz w:val="22"/>
                <w:szCs w:val="22"/>
                <w:lang w:val="en-GB"/>
              </w:rPr>
              <w:t>COMMISSION STAFF WORKING DOCUMENT Environmental Implementation Review 2022 Country Report - MALTA Accompanying the document Communication from the Commission to the European Parliament, the Council, the European Economic and Social Committee and the Committee of the Regions Environmental Implementation Review 2022: Turning the tide through environmental compliance</w:t>
            </w:r>
            <w:r w:rsidRPr="005D76B4">
              <w:rPr>
                <w:sz w:val="22"/>
                <w:szCs w:val="22"/>
                <w:lang w:val="en-GB"/>
              </w:rPr>
              <w:br/>
            </w:r>
          </w:p>
        </w:tc>
      </w:tr>
      <w:tr w:rsidR="00406684" w:rsidRPr="00406684" w14:paraId="73AD85DE"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4C5DF73" w14:textId="19021492" w:rsidR="00406684" w:rsidRPr="00406684" w:rsidRDefault="005063F3" w:rsidP="00406684">
            <w:hyperlink r:id="rId53" w:history="1">
              <w:r w:rsidR="00406684" w:rsidRPr="00406684">
                <w:t>COM(2022) 447</w:t>
              </w:r>
            </w:hyperlink>
          </w:p>
        </w:tc>
        <w:tc>
          <w:tcPr>
            <w:tcW w:w="8874" w:type="dxa"/>
            <w:gridSpan w:val="5"/>
            <w:shd w:val="clear" w:color="auto" w:fill="auto"/>
            <w:vAlign w:val="center"/>
          </w:tcPr>
          <w:p w14:paraId="461A2295" w14:textId="4BE6123B" w:rsidR="00406684" w:rsidRPr="00406684" w:rsidRDefault="00406684" w:rsidP="00406684">
            <w:pPr>
              <w:rPr>
                <w:b/>
                <w:bCs/>
                <w:sz w:val="22"/>
                <w:szCs w:val="22"/>
              </w:rPr>
            </w:pPr>
            <w:r w:rsidRPr="005D76B4">
              <w:rPr>
                <w:sz w:val="22"/>
                <w:szCs w:val="22"/>
              </w:rPr>
              <w:t xml:space="preserve">RAPPORT från kommissionen till Europaparlamentet och rådet 15:e ekonomiska RAPPORTEN från kommissionen till Europaparlamentet och rådet OM Europeiska </w:t>
            </w:r>
            <w:r w:rsidRPr="00FB1DAA">
              <w:rPr>
                <w:b/>
                <w:bCs/>
                <w:sz w:val="22"/>
                <w:szCs w:val="22"/>
              </w:rPr>
              <w:t>JORDBRUKSFONDEN FÖR LANDSBYGDSUTVECKLING</w:t>
            </w:r>
            <w:r w:rsidRPr="005D76B4">
              <w:rPr>
                <w:sz w:val="22"/>
                <w:szCs w:val="22"/>
              </w:rPr>
              <w:t xml:space="preserve"> (EJFLU) BUDGETÅRET 2021</w:t>
            </w:r>
            <w:r w:rsidRPr="005D76B4">
              <w:rPr>
                <w:sz w:val="22"/>
                <w:szCs w:val="22"/>
              </w:rPr>
              <w:br/>
            </w:r>
          </w:p>
        </w:tc>
      </w:tr>
      <w:tr w:rsidR="00406684" w:rsidRPr="00406684" w14:paraId="5C3FD0B5"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EB23A6D" w14:textId="7FDBD49D" w:rsidR="00406684" w:rsidRPr="00406684" w:rsidRDefault="005063F3" w:rsidP="00406684">
            <w:hyperlink r:id="rId54" w:history="1">
              <w:r w:rsidR="00406684" w:rsidRPr="00406684">
                <w:t>COM(2022) 448</w:t>
              </w:r>
            </w:hyperlink>
          </w:p>
        </w:tc>
        <w:tc>
          <w:tcPr>
            <w:tcW w:w="8874" w:type="dxa"/>
            <w:gridSpan w:val="5"/>
            <w:shd w:val="clear" w:color="auto" w:fill="auto"/>
            <w:vAlign w:val="center"/>
          </w:tcPr>
          <w:p w14:paraId="567832C0" w14:textId="0A2729E0" w:rsidR="00406684" w:rsidRPr="00406684" w:rsidRDefault="00406684" w:rsidP="00406684">
            <w:pPr>
              <w:rPr>
                <w:b/>
                <w:bCs/>
                <w:sz w:val="22"/>
                <w:szCs w:val="22"/>
              </w:rPr>
            </w:pPr>
            <w:r w:rsidRPr="00025172">
              <w:rPr>
                <w:sz w:val="22"/>
                <w:szCs w:val="22"/>
              </w:rPr>
              <w:t xml:space="preserve">Förslag till rådets förordning om ändring av förordning (EU) 2022/109 om </w:t>
            </w:r>
            <w:r w:rsidRPr="00FB1DAA">
              <w:rPr>
                <w:b/>
                <w:bCs/>
                <w:sz w:val="22"/>
                <w:szCs w:val="22"/>
              </w:rPr>
              <w:t>fastställande för 2022 av fiskemöjligheterna avseende vissa fiskbestånd och grupper av fiskbestånd</w:t>
            </w:r>
            <w:r w:rsidRPr="00025172">
              <w:rPr>
                <w:sz w:val="22"/>
                <w:szCs w:val="22"/>
              </w:rPr>
              <w:t xml:space="preserve"> i unionens vatten och, för unionsfiskefartyg, i vissa andra vatten, vad gäller ansjovis</w:t>
            </w:r>
            <w:r w:rsidRPr="00025172">
              <w:rPr>
                <w:sz w:val="22"/>
                <w:szCs w:val="22"/>
              </w:rPr>
              <w:br/>
            </w:r>
          </w:p>
        </w:tc>
      </w:tr>
      <w:tr w:rsidR="00406684" w:rsidRPr="00406684" w14:paraId="7A91A2F4"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495D338" w14:textId="2F78985A" w:rsidR="00406684" w:rsidRPr="00406684" w:rsidRDefault="005063F3" w:rsidP="00406684">
            <w:hyperlink r:id="rId55" w:history="1">
              <w:r w:rsidR="00406684" w:rsidRPr="00406684">
                <w:t>COM(2022) 449</w:t>
              </w:r>
            </w:hyperlink>
          </w:p>
        </w:tc>
        <w:tc>
          <w:tcPr>
            <w:tcW w:w="8874" w:type="dxa"/>
            <w:gridSpan w:val="5"/>
            <w:shd w:val="clear" w:color="auto" w:fill="auto"/>
            <w:vAlign w:val="center"/>
          </w:tcPr>
          <w:p w14:paraId="42D4D8E5" w14:textId="50BC9184" w:rsidR="00406684" w:rsidRPr="00406684" w:rsidRDefault="00406684" w:rsidP="00406684">
            <w:pPr>
              <w:rPr>
                <w:b/>
                <w:bCs/>
                <w:sz w:val="22"/>
                <w:szCs w:val="22"/>
              </w:rPr>
            </w:pPr>
            <w:r w:rsidRPr="00025172">
              <w:rPr>
                <w:sz w:val="22"/>
                <w:szCs w:val="22"/>
              </w:rPr>
              <w:t xml:space="preserve">Rapport från Kommissionen till Europaparlamentet och rådet 15:e ekonomiska rapporten från Kommissionen till Europaparlamentet och rådet om </w:t>
            </w:r>
            <w:r w:rsidRPr="00FC58BA">
              <w:rPr>
                <w:b/>
                <w:bCs/>
                <w:sz w:val="22"/>
                <w:szCs w:val="22"/>
              </w:rPr>
              <w:t>europeiska garantifonden för jordbruket</w:t>
            </w:r>
            <w:r w:rsidRPr="00025172">
              <w:rPr>
                <w:sz w:val="22"/>
                <w:szCs w:val="22"/>
              </w:rPr>
              <w:t xml:space="preserve"> budgetåret 2021 </w:t>
            </w:r>
            <w:r w:rsidRPr="00025172">
              <w:rPr>
                <w:sz w:val="22"/>
                <w:szCs w:val="22"/>
              </w:rPr>
              <w:br/>
            </w:r>
          </w:p>
        </w:tc>
      </w:tr>
      <w:tr w:rsidR="00406684" w:rsidRPr="00DF0154" w14:paraId="155955DE"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73DC740" w14:textId="40797E5A" w:rsidR="00406684" w:rsidRPr="00406684" w:rsidRDefault="005063F3" w:rsidP="00406684">
            <w:hyperlink r:id="rId56" w:history="1">
              <w:r w:rsidR="00406684" w:rsidRPr="00406684">
                <w:t>SWD(2022) 281</w:t>
              </w:r>
            </w:hyperlink>
          </w:p>
        </w:tc>
        <w:tc>
          <w:tcPr>
            <w:tcW w:w="8874" w:type="dxa"/>
            <w:gridSpan w:val="5"/>
            <w:shd w:val="clear" w:color="auto" w:fill="auto"/>
            <w:vAlign w:val="center"/>
          </w:tcPr>
          <w:p w14:paraId="381193A1" w14:textId="17F27453" w:rsidR="00406684" w:rsidRPr="00406684" w:rsidRDefault="00406684" w:rsidP="00406684">
            <w:pPr>
              <w:rPr>
                <w:b/>
                <w:bCs/>
                <w:sz w:val="22"/>
                <w:szCs w:val="22"/>
                <w:lang w:val="en-GB"/>
              </w:rPr>
            </w:pPr>
            <w:r w:rsidRPr="00406684">
              <w:rPr>
                <w:sz w:val="22"/>
                <w:szCs w:val="22"/>
                <w:lang w:val="en-GB"/>
              </w:rPr>
              <w:t>COMMISSION STAFF WORKING DOCUMENT Accompanying the document REPORT FROM THE COMMISSION TO THE EUROPEAN PARLIAMENT AND THE COUNCIL 15th FINANCIAL REPORT FROM THE COMMISSION TO THE EUROPEAN PARLIAMENT AND THE COUNCIL ON THE EUROPEAN AGRICULTURAL GUARANTEE FUND 2021 FINANCIAL YEAR</w:t>
            </w:r>
            <w:r w:rsidRPr="00406684">
              <w:rPr>
                <w:sz w:val="22"/>
                <w:szCs w:val="22"/>
                <w:lang w:val="en-GB"/>
              </w:rPr>
              <w:br/>
            </w:r>
          </w:p>
        </w:tc>
      </w:tr>
      <w:tr w:rsidR="00406684" w:rsidRPr="00406684" w14:paraId="48B70123"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7F54DE0" w14:textId="0FF10B61" w:rsidR="00406684" w:rsidRDefault="005063F3" w:rsidP="00406684">
            <w:hyperlink r:id="rId57" w:history="1">
              <w:r w:rsidR="00406684" w:rsidRPr="00406684">
                <w:t>COM(2022) 451</w:t>
              </w:r>
            </w:hyperlink>
          </w:p>
        </w:tc>
        <w:tc>
          <w:tcPr>
            <w:tcW w:w="8874" w:type="dxa"/>
            <w:gridSpan w:val="5"/>
            <w:shd w:val="clear" w:color="auto" w:fill="auto"/>
            <w:vAlign w:val="center"/>
          </w:tcPr>
          <w:p w14:paraId="586D073B" w14:textId="77777777" w:rsidR="00406684" w:rsidRPr="00025172" w:rsidRDefault="00406684" w:rsidP="00406684">
            <w:pPr>
              <w:rPr>
                <w:sz w:val="22"/>
                <w:szCs w:val="22"/>
              </w:rPr>
            </w:pPr>
            <w:r w:rsidRPr="00025172">
              <w:rPr>
                <w:sz w:val="22"/>
                <w:szCs w:val="22"/>
              </w:rPr>
              <w:t xml:space="preserve">Förslag till rådets beslut om den ståndpunkt som ska intas på Europeiska unionens vägnar vid det 19:e mötet i partskonferensen för </w:t>
            </w:r>
            <w:r w:rsidRPr="00FB1DAA">
              <w:rPr>
                <w:b/>
                <w:bCs/>
                <w:sz w:val="22"/>
                <w:szCs w:val="22"/>
              </w:rPr>
              <w:t>konventionen om internationell handel med utrotningshotade arter av vilda djur och växter</w:t>
            </w:r>
            <w:r w:rsidRPr="00025172">
              <w:rPr>
                <w:sz w:val="22"/>
                <w:szCs w:val="22"/>
              </w:rPr>
              <w:t xml:space="preserve"> (Cites CoP19)</w:t>
            </w:r>
          </w:p>
          <w:p w14:paraId="08B95322" w14:textId="77777777" w:rsidR="00406684" w:rsidRPr="00406684" w:rsidRDefault="00406684" w:rsidP="00406684"/>
        </w:tc>
      </w:tr>
      <w:tr w:rsidR="00406684" w:rsidRPr="00406684" w14:paraId="6D1F8677"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A871BFD" w14:textId="2D4E430F" w:rsidR="00406684" w:rsidRDefault="005063F3" w:rsidP="00406684">
            <w:hyperlink r:id="rId58" w:history="1">
              <w:r w:rsidR="00406684" w:rsidRPr="00406684">
                <w:t>COM(2022) 463</w:t>
              </w:r>
            </w:hyperlink>
          </w:p>
        </w:tc>
        <w:tc>
          <w:tcPr>
            <w:tcW w:w="8874" w:type="dxa"/>
            <w:gridSpan w:val="5"/>
            <w:shd w:val="clear" w:color="auto" w:fill="auto"/>
            <w:vAlign w:val="center"/>
          </w:tcPr>
          <w:p w14:paraId="3C498FD4" w14:textId="510F4390" w:rsidR="00406684" w:rsidRPr="00406684" w:rsidRDefault="00406684" w:rsidP="00406684">
            <w:r w:rsidRPr="005D76B4">
              <w:rPr>
                <w:sz w:val="22"/>
                <w:szCs w:val="22"/>
              </w:rPr>
              <w:t xml:space="preserve">RAPPORT från kommissionen till Europaparlamentet, rådet, Europeiska ekonomiska och sociala kommittén SAMT Regionkommittén om tillämpningen av förordning (EG) nr 850/2004 om </w:t>
            </w:r>
            <w:r w:rsidRPr="00FB1DAA">
              <w:rPr>
                <w:b/>
                <w:bCs/>
                <w:sz w:val="22"/>
                <w:szCs w:val="22"/>
              </w:rPr>
              <w:t>långlivade organiska föroreningar</w:t>
            </w:r>
            <w:r w:rsidRPr="005D76B4">
              <w:rPr>
                <w:sz w:val="22"/>
                <w:szCs w:val="22"/>
              </w:rPr>
              <w:br/>
            </w:r>
          </w:p>
        </w:tc>
      </w:tr>
      <w:tr w:rsidR="00406684" w:rsidRPr="00DF0154" w14:paraId="54809F0C"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97DCAB1" w14:textId="2E6F607B" w:rsidR="00406684" w:rsidRDefault="005063F3" w:rsidP="00406684">
            <w:hyperlink r:id="rId59" w:history="1">
              <w:r w:rsidR="00406684" w:rsidRPr="00406684">
                <w:t>SWD(2022) 291</w:t>
              </w:r>
            </w:hyperlink>
          </w:p>
        </w:tc>
        <w:tc>
          <w:tcPr>
            <w:tcW w:w="8874" w:type="dxa"/>
            <w:gridSpan w:val="5"/>
            <w:shd w:val="clear" w:color="auto" w:fill="auto"/>
            <w:vAlign w:val="center"/>
          </w:tcPr>
          <w:p w14:paraId="39D5A751" w14:textId="7BDF1DDE" w:rsidR="00406684" w:rsidRPr="002E7A12" w:rsidRDefault="00406684" w:rsidP="00406684">
            <w:pPr>
              <w:rPr>
                <w:lang w:val="en-GB"/>
              </w:rPr>
            </w:pPr>
            <w:r w:rsidRPr="005D76B4">
              <w:rPr>
                <w:sz w:val="22"/>
                <w:szCs w:val="22"/>
                <w:lang w:val="en-GB"/>
              </w:rPr>
              <w:t>COMMISSION STAFF WORKING DOCUMENT Union Synthesis Report on the application of Regulation (EC) No 850/2004 on persistent organic pollutants Accompanying the document REPORT FROM THE COMMISSION TO THE EUROPEAN PARLIAMENT, THE COUNCIL, THE EUROPEAN ECONOMIC AND SOCIAL COMMITTEE AND THE COMMITTEE OF THE REGIONS on the application of Regulation (EC) No 850/2004 on persistent organic pollutants</w:t>
            </w:r>
            <w:r w:rsidRPr="005D76B4">
              <w:rPr>
                <w:sz w:val="22"/>
                <w:szCs w:val="22"/>
                <w:lang w:val="en-GB"/>
              </w:rPr>
              <w:br/>
            </w:r>
          </w:p>
        </w:tc>
      </w:tr>
      <w:tr w:rsidR="00406684" w:rsidRPr="00406684" w14:paraId="77717934"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DE4D9E0" w14:textId="01D513D9" w:rsidR="00406684" w:rsidRDefault="005063F3" w:rsidP="00406684">
            <w:hyperlink r:id="rId60" w:history="1">
              <w:r w:rsidR="00406684" w:rsidRPr="00406684">
                <w:t>COM(2022) 467</w:t>
              </w:r>
            </w:hyperlink>
          </w:p>
        </w:tc>
        <w:tc>
          <w:tcPr>
            <w:tcW w:w="8874" w:type="dxa"/>
            <w:gridSpan w:val="5"/>
            <w:shd w:val="clear" w:color="auto" w:fill="auto"/>
            <w:vAlign w:val="center"/>
          </w:tcPr>
          <w:p w14:paraId="2F875FC3" w14:textId="763DBADA" w:rsidR="00406684" w:rsidRPr="00406684" w:rsidRDefault="00406684" w:rsidP="00406684">
            <w:r w:rsidRPr="005D76B4">
              <w:rPr>
                <w:sz w:val="22"/>
                <w:szCs w:val="22"/>
              </w:rPr>
              <w:t xml:space="preserve">RAPPORT från kommissionen till Europaparlamentet och rådet om utövande av den delegering av befogenhet som tilldelats kommissionen enligt förordning (EU) 2018/842 om medlemsstaternas bindande årliga minskningar av växthusgasutsläpp under perioden 2021–2030 som bidrar till klimatåtgärder för att </w:t>
            </w:r>
            <w:r w:rsidRPr="00FB1DAA">
              <w:rPr>
                <w:b/>
                <w:bCs/>
                <w:sz w:val="22"/>
                <w:szCs w:val="22"/>
              </w:rPr>
              <w:t>fullgöra åtagandena enligt Parisavtalet</w:t>
            </w:r>
            <w:r w:rsidRPr="005D76B4">
              <w:rPr>
                <w:sz w:val="22"/>
                <w:szCs w:val="22"/>
              </w:rPr>
              <w:t xml:space="preserve"> samt om ändring av förordning (EU) nr 525/2013</w:t>
            </w:r>
            <w:r w:rsidRPr="005D76B4">
              <w:rPr>
                <w:sz w:val="22"/>
                <w:szCs w:val="22"/>
              </w:rPr>
              <w:br/>
            </w:r>
          </w:p>
        </w:tc>
      </w:tr>
      <w:tr w:rsidR="00406684" w:rsidRPr="00406684" w14:paraId="2E7990A4"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CFC058D" w14:textId="6667120B" w:rsidR="00406684" w:rsidRDefault="005063F3" w:rsidP="00406684">
            <w:hyperlink r:id="rId61" w:history="1">
              <w:r w:rsidR="00406684" w:rsidRPr="00406684">
                <w:t>COM(2022) 487</w:t>
              </w:r>
            </w:hyperlink>
          </w:p>
        </w:tc>
        <w:tc>
          <w:tcPr>
            <w:tcW w:w="8874" w:type="dxa"/>
            <w:gridSpan w:val="5"/>
            <w:shd w:val="clear" w:color="auto" w:fill="auto"/>
            <w:vAlign w:val="center"/>
          </w:tcPr>
          <w:p w14:paraId="2B6DCDB6" w14:textId="7251130A" w:rsidR="00406684" w:rsidRPr="00406684" w:rsidRDefault="00406684" w:rsidP="00406684">
            <w:r w:rsidRPr="00025172">
              <w:rPr>
                <w:sz w:val="22"/>
                <w:szCs w:val="22"/>
              </w:rPr>
              <w:t xml:space="preserve">Förslag till rådets beslut om den ståndpunkt som ska intas på Europeiska unionens vägnar i </w:t>
            </w:r>
            <w:r w:rsidRPr="00FB1DAA">
              <w:rPr>
                <w:b/>
                <w:bCs/>
                <w:sz w:val="22"/>
                <w:szCs w:val="22"/>
              </w:rPr>
              <w:t>Internationella olivrådets medlemsråd</w:t>
            </w:r>
            <w:r w:rsidRPr="00025172">
              <w:rPr>
                <w:sz w:val="22"/>
                <w:szCs w:val="22"/>
              </w:rPr>
              <w:t xml:space="preserve"> vad gäller handelsnormen för olivoljor och olivoljor av pressrester</w:t>
            </w:r>
            <w:r w:rsidRPr="00025172">
              <w:rPr>
                <w:sz w:val="22"/>
                <w:szCs w:val="22"/>
              </w:rPr>
              <w:br/>
            </w:r>
          </w:p>
        </w:tc>
      </w:tr>
      <w:tr w:rsidR="00406684" w:rsidRPr="00DF0154" w14:paraId="0E3FBD50"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1CED91C" w14:textId="1B2C2244" w:rsidR="00406684" w:rsidRDefault="005063F3" w:rsidP="00406684">
            <w:hyperlink r:id="rId62" w:history="1">
              <w:r w:rsidR="00406684" w:rsidRPr="00406684">
                <w:t>SWD(2022) 309</w:t>
              </w:r>
            </w:hyperlink>
          </w:p>
        </w:tc>
        <w:tc>
          <w:tcPr>
            <w:tcW w:w="8874" w:type="dxa"/>
            <w:gridSpan w:val="5"/>
            <w:shd w:val="clear" w:color="auto" w:fill="auto"/>
            <w:vAlign w:val="center"/>
          </w:tcPr>
          <w:p w14:paraId="476BD10D" w14:textId="60BA88E6" w:rsidR="00406684" w:rsidRPr="002E7A12" w:rsidRDefault="00406684" w:rsidP="00406684">
            <w:pPr>
              <w:rPr>
                <w:lang w:val="en-GB"/>
              </w:rPr>
            </w:pPr>
            <w:r w:rsidRPr="00AA46DF">
              <w:rPr>
                <w:sz w:val="22"/>
                <w:szCs w:val="22"/>
                <w:lang w:val="en-GB"/>
              </w:rPr>
              <w:t>COMMISSION STAFF WORKING DOCUMENT Accompanying the document Proposal for a COUNCIL DECISION on the position to be taken on behalf of the European Union within the Council of Members of the International Olive Council (IOC), as regards the trade standard applying to olive oils and olive-pomace oils</w:t>
            </w:r>
            <w:r w:rsidRPr="00AA46DF">
              <w:rPr>
                <w:sz w:val="22"/>
                <w:szCs w:val="22"/>
                <w:lang w:val="en-GB"/>
              </w:rPr>
              <w:br/>
            </w:r>
          </w:p>
        </w:tc>
      </w:tr>
      <w:tr w:rsidR="00406684" w:rsidRPr="00406684" w14:paraId="66C372FD"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60C141D" w14:textId="072B5543" w:rsidR="00406684" w:rsidRDefault="005063F3" w:rsidP="00406684">
            <w:hyperlink r:id="rId63" w:history="1">
              <w:r w:rsidR="00406684" w:rsidRPr="00406684">
                <w:t>COM(2022) 497</w:t>
              </w:r>
            </w:hyperlink>
          </w:p>
        </w:tc>
        <w:tc>
          <w:tcPr>
            <w:tcW w:w="8874" w:type="dxa"/>
            <w:gridSpan w:val="5"/>
            <w:shd w:val="clear" w:color="auto" w:fill="auto"/>
            <w:vAlign w:val="center"/>
          </w:tcPr>
          <w:p w14:paraId="286C88A9" w14:textId="23123F26" w:rsidR="00406684" w:rsidRPr="00406684" w:rsidRDefault="00406684" w:rsidP="00406684">
            <w:r w:rsidRPr="00311487">
              <w:rPr>
                <w:sz w:val="22"/>
                <w:szCs w:val="22"/>
              </w:rPr>
              <w:t xml:space="preserve">Förslag till rådets beslut om den ståndpunkt som ska intas på Europeiska unionens vägnar i </w:t>
            </w:r>
            <w:r w:rsidRPr="00FB1DAA">
              <w:rPr>
                <w:b/>
                <w:bCs/>
                <w:sz w:val="22"/>
                <w:szCs w:val="22"/>
              </w:rPr>
              <w:t>Internationella sockerrådet</w:t>
            </w:r>
            <w:r w:rsidRPr="00311487">
              <w:rPr>
                <w:sz w:val="22"/>
                <w:szCs w:val="22"/>
              </w:rPr>
              <w:t xml:space="preserve"> vad gäller Konungariket Saudiarabiens anslutning till Internationella sockeravtalet 1992</w:t>
            </w:r>
            <w:r w:rsidRPr="00311487">
              <w:rPr>
                <w:sz w:val="22"/>
                <w:szCs w:val="22"/>
              </w:rPr>
              <w:br/>
            </w:r>
          </w:p>
        </w:tc>
      </w:tr>
      <w:tr w:rsidR="00406684" w:rsidRPr="000E5611" w14:paraId="33608A51"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774" w:type="dxa"/>
            <w:gridSpan w:val="7"/>
            <w:shd w:val="clear" w:color="auto" w:fill="auto"/>
            <w:vAlign w:val="center"/>
          </w:tcPr>
          <w:p w14:paraId="324C4785" w14:textId="77777777" w:rsidR="00406684" w:rsidRPr="000E5611" w:rsidRDefault="00406684" w:rsidP="00406684">
            <w:pPr>
              <w:rPr>
                <w:b/>
                <w:sz w:val="22"/>
                <w:szCs w:val="22"/>
              </w:rPr>
            </w:pPr>
            <w:r w:rsidRPr="000E5611">
              <w:rPr>
                <w:b/>
                <w:bCs/>
                <w:sz w:val="22"/>
                <w:szCs w:val="22"/>
              </w:rPr>
              <w:t>C-dokument för kännedom. (Handlingar som rör rättsakter från kommissionens eget ansvarsområde, bl.a. genomförandeakter och delegerade akter som lämnats till rådet och parlamentet för kännedom.)</w:t>
            </w:r>
          </w:p>
        </w:tc>
      </w:tr>
      <w:tr w:rsidR="00406684" w:rsidRPr="000E5611" w14:paraId="6ED26374"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14:paraId="19A70677" w14:textId="77777777" w:rsidR="00406684" w:rsidRPr="000E5611" w:rsidRDefault="00406684" w:rsidP="00406684">
            <w:pPr>
              <w:rPr>
                <w:b/>
                <w:bCs/>
                <w:sz w:val="22"/>
                <w:szCs w:val="22"/>
              </w:rPr>
            </w:pPr>
            <w:r w:rsidRPr="000E5611">
              <w:rPr>
                <w:b/>
                <w:bCs/>
                <w:sz w:val="22"/>
                <w:szCs w:val="22"/>
              </w:rPr>
              <w:t>Beteckning</w:t>
            </w:r>
          </w:p>
        </w:tc>
        <w:tc>
          <w:tcPr>
            <w:tcW w:w="8874" w:type="dxa"/>
            <w:gridSpan w:val="5"/>
            <w:tcBorders>
              <w:top w:val="single" w:sz="4" w:space="0" w:color="auto"/>
            </w:tcBorders>
            <w:shd w:val="clear" w:color="auto" w:fill="auto"/>
            <w:vAlign w:val="center"/>
          </w:tcPr>
          <w:p w14:paraId="37AFD02F" w14:textId="77777777" w:rsidR="00406684" w:rsidRPr="000E5611" w:rsidRDefault="00406684" w:rsidP="00406684">
            <w:pPr>
              <w:rPr>
                <w:b/>
                <w:sz w:val="22"/>
                <w:szCs w:val="22"/>
              </w:rPr>
            </w:pPr>
            <w:r w:rsidRPr="000E5611">
              <w:rPr>
                <w:b/>
                <w:sz w:val="22"/>
                <w:szCs w:val="22"/>
              </w:rPr>
              <w:t>Rubrik</w:t>
            </w:r>
          </w:p>
        </w:tc>
      </w:tr>
      <w:tr w:rsidR="008C3780" w:rsidRPr="000E5611" w14:paraId="400C34CC"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83E44D1" w14:textId="2472948D" w:rsidR="008C3780" w:rsidRPr="000E5611" w:rsidRDefault="005063F3" w:rsidP="008C3780">
            <w:pPr>
              <w:rPr>
                <w:b/>
                <w:bCs/>
                <w:sz w:val="22"/>
                <w:szCs w:val="22"/>
              </w:rPr>
            </w:pPr>
            <w:hyperlink r:id="rId64" w:history="1">
              <w:r w:rsidR="008C3780" w:rsidRPr="008C3780">
                <w:t>COM(2022) 497</w:t>
              </w:r>
            </w:hyperlink>
          </w:p>
        </w:tc>
        <w:tc>
          <w:tcPr>
            <w:tcW w:w="8874" w:type="dxa"/>
            <w:gridSpan w:val="5"/>
            <w:shd w:val="clear" w:color="auto" w:fill="auto"/>
            <w:vAlign w:val="center"/>
          </w:tcPr>
          <w:p w14:paraId="27E2BA27" w14:textId="16A7F6C6" w:rsidR="008C3780" w:rsidRPr="000E5611" w:rsidRDefault="008C3780" w:rsidP="008C3780">
            <w:pPr>
              <w:rPr>
                <w:b/>
                <w:sz w:val="22"/>
                <w:szCs w:val="22"/>
              </w:rPr>
            </w:pPr>
            <w:r w:rsidRPr="00311487">
              <w:rPr>
                <w:sz w:val="22"/>
                <w:szCs w:val="22"/>
              </w:rPr>
              <w:t xml:space="preserve">Förslag till rådets beslut om den ståndpunkt som ska intas på Europeiska unionens vägnar i </w:t>
            </w:r>
            <w:r w:rsidRPr="00FB1DAA">
              <w:rPr>
                <w:b/>
                <w:bCs/>
                <w:sz w:val="22"/>
                <w:szCs w:val="22"/>
              </w:rPr>
              <w:t>Internationella sockerrådet</w:t>
            </w:r>
            <w:r w:rsidRPr="00311487">
              <w:rPr>
                <w:sz w:val="22"/>
                <w:szCs w:val="22"/>
              </w:rPr>
              <w:t xml:space="preserve"> vad gäller Konungariket Saudiarabiens anslutning till Internationella sockeravtalet 1992</w:t>
            </w:r>
            <w:r w:rsidRPr="00311487">
              <w:rPr>
                <w:sz w:val="22"/>
                <w:szCs w:val="22"/>
              </w:rPr>
              <w:br/>
            </w:r>
          </w:p>
        </w:tc>
      </w:tr>
      <w:tr w:rsidR="008C3780" w:rsidRPr="000E5611" w14:paraId="7841B905"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774" w:type="dxa"/>
            <w:gridSpan w:val="7"/>
            <w:shd w:val="clear" w:color="auto" w:fill="auto"/>
            <w:vAlign w:val="center"/>
          </w:tcPr>
          <w:p w14:paraId="55A00DE4" w14:textId="77777777" w:rsidR="008C3780" w:rsidRPr="000E5611" w:rsidRDefault="008C3780" w:rsidP="008C3780">
            <w:pPr>
              <w:rPr>
                <w:b/>
                <w:kern w:val="32"/>
                <w:sz w:val="22"/>
                <w:szCs w:val="22"/>
              </w:rPr>
            </w:pPr>
            <w:r w:rsidRPr="000E5611">
              <w:rPr>
                <w:b/>
                <w:kern w:val="32"/>
                <w:sz w:val="22"/>
                <w:szCs w:val="22"/>
              </w:rPr>
              <w:t>Övriga överlämnade dokument som rör EU-arbetet för kännedom</w:t>
            </w:r>
          </w:p>
        </w:tc>
      </w:tr>
      <w:tr w:rsidR="008C3780" w:rsidRPr="000E5611" w14:paraId="17191B5F"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C63E2D1" w14:textId="770E26DC" w:rsidR="008C3780" w:rsidRPr="000E5611" w:rsidRDefault="008C3780" w:rsidP="008C3780">
            <w:pPr>
              <w:rPr>
                <w:b/>
                <w:bCs/>
                <w:sz w:val="22"/>
                <w:szCs w:val="22"/>
              </w:rPr>
            </w:pPr>
            <w:r>
              <w:rPr>
                <w:b/>
                <w:bCs/>
                <w:sz w:val="22"/>
                <w:szCs w:val="22"/>
              </w:rPr>
              <w:t>Fakta-PM</w:t>
            </w:r>
          </w:p>
        </w:tc>
        <w:tc>
          <w:tcPr>
            <w:tcW w:w="8874" w:type="dxa"/>
            <w:gridSpan w:val="5"/>
            <w:shd w:val="clear" w:color="auto" w:fill="auto"/>
            <w:vAlign w:val="center"/>
          </w:tcPr>
          <w:p w14:paraId="6F0111E9" w14:textId="77777777" w:rsidR="008C3780" w:rsidRPr="000E5611" w:rsidRDefault="008C3780" w:rsidP="008C3780">
            <w:pPr>
              <w:rPr>
                <w:sz w:val="22"/>
                <w:szCs w:val="22"/>
              </w:rPr>
            </w:pPr>
          </w:p>
        </w:tc>
      </w:tr>
      <w:tr w:rsidR="008C3780" w:rsidRPr="000E5611" w14:paraId="3DE2A68B"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BCE4CE5" w14:textId="5AB9BB50" w:rsidR="008C3780" w:rsidRPr="008C3780" w:rsidRDefault="005063F3" w:rsidP="008C3780">
            <w:hyperlink r:id="rId65" w:history="1">
              <w:r w:rsidR="008C3780" w:rsidRPr="008C3780">
                <w:t>2021/22:FPM112</w:t>
              </w:r>
            </w:hyperlink>
          </w:p>
        </w:tc>
        <w:tc>
          <w:tcPr>
            <w:tcW w:w="8874" w:type="dxa"/>
            <w:gridSpan w:val="5"/>
            <w:shd w:val="clear" w:color="auto" w:fill="auto"/>
            <w:vAlign w:val="center"/>
          </w:tcPr>
          <w:p w14:paraId="0468A731" w14:textId="01E1B477" w:rsidR="008C3780" w:rsidRPr="000E5611" w:rsidRDefault="008C3780" w:rsidP="008C3780">
            <w:pPr>
              <w:rPr>
                <w:sz w:val="22"/>
                <w:szCs w:val="22"/>
              </w:rPr>
            </w:pPr>
            <w:r w:rsidRPr="005D76B4">
              <w:rPr>
                <w:sz w:val="22"/>
                <w:szCs w:val="22"/>
              </w:rPr>
              <w:t xml:space="preserve">Förordning om hållbar användning av </w:t>
            </w:r>
            <w:r w:rsidRPr="005D76B4">
              <w:rPr>
                <w:b/>
                <w:sz w:val="22"/>
                <w:szCs w:val="22"/>
              </w:rPr>
              <w:t>växtskyddsmedel</w:t>
            </w:r>
            <w:r w:rsidRPr="005D76B4">
              <w:rPr>
                <w:sz w:val="22"/>
                <w:szCs w:val="22"/>
              </w:rPr>
              <w:br/>
            </w:r>
          </w:p>
        </w:tc>
      </w:tr>
      <w:tr w:rsidR="008C3780" w:rsidRPr="000E5611" w14:paraId="05CED377"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27CE716" w14:textId="2253E0F4" w:rsidR="008C3780" w:rsidRPr="008C3780" w:rsidRDefault="005063F3" w:rsidP="008C3780">
            <w:hyperlink r:id="rId66" w:history="1">
              <w:r w:rsidR="008C3780" w:rsidRPr="008C3780">
                <w:t>2021/22:FPM113</w:t>
              </w:r>
            </w:hyperlink>
          </w:p>
        </w:tc>
        <w:tc>
          <w:tcPr>
            <w:tcW w:w="8874" w:type="dxa"/>
            <w:gridSpan w:val="5"/>
            <w:shd w:val="clear" w:color="auto" w:fill="auto"/>
            <w:vAlign w:val="center"/>
          </w:tcPr>
          <w:p w14:paraId="7CB9FA93" w14:textId="66A9207E" w:rsidR="008C3780" w:rsidRPr="000E5611" w:rsidRDefault="008C3780" w:rsidP="008C3780">
            <w:pPr>
              <w:rPr>
                <w:sz w:val="22"/>
                <w:szCs w:val="22"/>
              </w:rPr>
            </w:pPr>
            <w:r w:rsidRPr="005D76B4">
              <w:rPr>
                <w:sz w:val="22"/>
                <w:szCs w:val="22"/>
              </w:rPr>
              <w:t xml:space="preserve">Förordning om informationssystem för </w:t>
            </w:r>
            <w:r w:rsidRPr="005D76B4">
              <w:rPr>
                <w:b/>
                <w:sz w:val="22"/>
                <w:szCs w:val="22"/>
              </w:rPr>
              <w:t>jordbrukets hållbarhet</w:t>
            </w:r>
            <w:r w:rsidRPr="005D76B4">
              <w:rPr>
                <w:sz w:val="22"/>
                <w:szCs w:val="22"/>
              </w:rPr>
              <w:br/>
            </w:r>
          </w:p>
        </w:tc>
      </w:tr>
      <w:tr w:rsidR="008C3780" w:rsidRPr="000E5611" w14:paraId="672F41E6"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06AA29A" w14:textId="06E9B1E8" w:rsidR="008C3780" w:rsidRPr="008C3780" w:rsidRDefault="005063F3" w:rsidP="008C3780">
            <w:hyperlink r:id="rId67" w:history="1">
              <w:r w:rsidR="008C3780" w:rsidRPr="008C3780">
                <w:t>2021/22:FPM114</w:t>
              </w:r>
            </w:hyperlink>
          </w:p>
        </w:tc>
        <w:tc>
          <w:tcPr>
            <w:tcW w:w="8874" w:type="dxa"/>
            <w:gridSpan w:val="5"/>
            <w:shd w:val="clear" w:color="auto" w:fill="auto"/>
            <w:vAlign w:val="center"/>
          </w:tcPr>
          <w:p w14:paraId="05ECC431" w14:textId="07B40FB6" w:rsidR="008C3780" w:rsidRPr="000E5611" w:rsidRDefault="008C3780" w:rsidP="008C3780">
            <w:pPr>
              <w:rPr>
                <w:sz w:val="22"/>
                <w:szCs w:val="22"/>
              </w:rPr>
            </w:pPr>
            <w:r w:rsidRPr="005D76B4">
              <w:rPr>
                <w:sz w:val="22"/>
                <w:szCs w:val="22"/>
              </w:rPr>
              <w:t xml:space="preserve">Förordning om </w:t>
            </w:r>
            <w:r w:rsidRPr="005D76B4">
              <w:rPr>
                <w:b/>
                <w:sz w:val="22"/>
                <w:szCs w:val="22"/>
              </w:rPr>
              <w:t>restaurering av natur</w:t>
            </w:r>
            <w:r w:rsidRPr="005D76B4">
              <w:rPr>
                <w:sz w:val="22"/>
                <w:szCs w:val="22"/>
              </w:rPr>
              <w:br/>
            </w:r>
          </w:p>
        </w:tc>
      </w:tr>
      <w:tr w:rsidR="008C3780" w:rsidRPr="000E5611" w14:paraId="4B4176D0"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74AB69D" w14:textId="4E5ACCC6" w:rsidR="008C3780" w:rsidRPr="008C3780" w:rsidRDefault="005063F3" w:rsidP="008C3780">
            <w:hyperlink r:id="rId68" w:history="1">
              <w:r w:rsidR="008C3780" w:rsidRPr="008C3780">
                <w:t>2021/22:FPM123</w:t>
              </w:r>
            </w:hyperlink>
          </w:p>
        </w:tc>
        <w:tc>
          <w:tcPr>
            <w:tcW w:w="8874" w:type="dxa"/>
            <w:gridSpan w:val="5"/>
            <w:shd w:val="clear" w:color="auto" w:fill="auto"/>
            <w:vAlign w:val="center"/>
          </w:tcPr>
          <w:p w14:paraId="184C8971" w14:textId="16CC60F8" w:rsidR="008C3780" w:rsidRPr="000E5611" w:rsidRDefault="008C3780" w:rsidP="008C3780">
            <w:pPr>
              <w:rPr>
                <w:sz w:val="22"/>
                <w:szCs w:val="22"/>
              </w:rPr>
            </w:pPr>
            <w:r w:rsidRPr="002E7A12">
              <w:rPr>
                <w:sz w:val="22"/>
                <w:szCs w:val="22"/>
              </w:rPr>
              <w:t xml:space="preserve">Förordning om </w:t>
            </w:r>
            <w:r w:rsidRPr="002E7A12">
              <w:rPr>
                <w:b/>
                <w:bCs/>
                <w:sz w:val="22"/>
                <w:szCs w:val="22"/>
              </w:rPr>
              <w:t>fiskemöjligheter i Östersjön 2023</w:t>
            </w:r>
            <w:r w:rsidRPr="002E7A12">
              <w:rPr>
                <w:b/>
                <w:bCs/>
                <w:sz w:val="22"/>
                <w:szCs w:val="22"/>
              </w:rPr>
              <w:br/>
            </w:r>
          </w:p>
        </w:tc>
      </w:tr>
      <w:tr w:rsidR="008C3780" w:rsidRPr="000E5611" w14:paraId="4D95105C"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BF5E335" w14:textId="05ED7869" w:rsidR="008C3780" w:rsidRPr="000E5611" w:rsidRDefault="008C3780" w:rsidP="008C3780">
            <w:pPr>
              <w:rPr>
                <w:b/>
                <w:bCs/>
                <w:sz w:val="22"/>
                <w:szCs w:val="22"/>
              </w:rPr>
            </w:pPr>
            <w:r w:rsidRPr="000E5611">
              <w:rPr>
                <w:b/>
                <w:bCs/>
                <w:sz w:val="22"/>
                <w:szCs w:val="22"/>
              </w:rPr>
              <w:t>Rådsmöten</w:t>
            </w:r>
          </w:p>
        </w:tc>
        <w:tc>
          <w:tcPr>
            <w:tcW w:w="8874" w:type="dxa"/>
            <w:gridSpan w:val="5"/>
            <w:shd w:val="clear" w:color="auto" w:fill="auto"/>
            <w:vAlign w:val="center"/>
          </w:tcPr>
          <w:p w14:paraId="731A289D" w14:textId="77777777" w:rsidR="008C3780" w:rsidRPr="000E5611" w:rsidRDefault="008C3780" w:rsidP="008C3780">
            <w:pPr>
              <w:rPr>
                <w:sz w:val="22"/>
                <w:szCs w:val="22"/>
              </w:rPr>
            </w:pPr>
          </w:p>
        </w:tc>
      </w:tr>
      <w:tr w:rsidR="008C3780" w:rsidRPr="000E5611" w14:paraId="2FB6C827"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5F008E75" w14:textId="77777777" w:rsidR="008C3780" w:rsidRDefault="008C3780" w:rsidP="008C3780">
            <w:pPr>
              <w:rPr>
                <w:sz w:val="22"/>
                <w:szCs w:val="22"/>
              </w:rPr>
            </w:pPr>
            <w:r>
              <w:rPr>
                <w:sz w:val="22"/>
                <w:szCs w:val="22"/>
              </w:rPr>
              <w:t>Informellt JoF-råd</w:t>
            </w:r>
          </w:p>
          <w:p w14:paraId="393BCB93" w14:textId="33661903" w:rsidR="008C3780" w:rsidRPr="000E5611" w:rsidRDefault="008C3780" w:rsidP="008C3780">
            <w:pPr>
              <w:rPr>
                <w:sz w:val="22"/>
                <w:szCs w:val="22"/>
              </w:rPr>
            </w:pPr>
            <w:r>
              <w:rPr>
                <w:sz w:val="22"/>
                <w:szCs w:val="22"/>
              </w:rPr>
              <w:t>220916</w:t>
            </w:r>
          </w:p>
        </w:tc>
        <w:tc>
          <w:tcPr>
            <w:tcW w:w="8874" w:type="dxa"/>
            <w:gridSpan w:val="5"/>
            <w:tcBorders>
              <w:bottom w:val="single" w:sz="4" w:space="0" w:color="auto"/>
            </w:tcBorders>
            <w:shd w:val="clear" w:color="auto" w:fill="auto"/>
            <w:vAlign w:val="center"/>
          </w:tcPr>
          <w:p w14:paraId="45FDABDB" w14:textId="3D2CB062" w:rsidR="008C3780" w:rsidRPr="000E5611" w:rsidRDefault="008C3780" w:rsidP="008C3780">
            <w:pPr>
              <w:rPr>
                <w:sz w:val="22"/>
                <w:szCs w:val="22"/>
              </w:rPr>
            </w:pPr>
            <w:r w:rsidRPr="005D76B4">
              <w:rPr>
                <w:sz w:val="22"/>
                <w:szCs w:val="22"/>
              </w:rPr>
              <w:t>Rapport från informella jordbruksministermötet i Prag 16 september</w:t>
            </w:r>
            <w:r w:rsidRPr="005D76B4">
              <w:rPr>
                <w:sz w:val="22"/>
                <w:szCs w:val="22"/>
              </w:rPr>
              <w:br/>
            </w:r>
          </w:p>
        </w:tc>
      </w:tr>
      <w:tr w:rsidR="008C3780" w:rsidRPr="000E5611" w14:paraId="49FF7982"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4AD1DA4C" w14:textId="77777777" w:rsidR="008C3780" w:rsidRDefault="008C3780" w:rsidP="008C3780">
            <w:pPr>
              <w:rPr>
                <w:sz w:val="22"/>
                <w:szCs w:val="22"/>
              </w:rPr>
            </w:pPr>
            <w:r>
              <w:rPr>
                <w:sz w:val="22"/>
                <w:szCs w:val="22"/>
              </w:rPr>
              <w:t xml:space="preserve">JoF-råd </w:t>
            </w:r>
          </w:p>
          <w:p w14:paraId="1229409C" w14:textId="6FB06DCC" w:rsidR="008C3780" w:rsidRPr="000E5611" w:rsidRDefault="008C3780" w:rsidP="008C3780">
            <w:pPr>
              <w:rPr>
                <w:sz w:val="22"/>
                <w:szCs w:val="22"/>
              </w:rPr>
            </w:pPr>
            <w:r>
              <w:rPr>
                <w:sz w:val="22"/>
                <w:szCs w:val="22"/>
              </w:rPr>
              <w:t>220926</w:t>
            </w:r>
          </w:p>
        </w:tc>
        <w:tc>
          <w:tcPr>
            <w:tcW w:w="8874" w:type="dxa"/>
            <w:gridSpan w:val="5"/>
            <w:tcBorders>
              <w:bottom w:val="single" w:sz="4" w:space="0" w:color="auto"/>
            </w:tcBorders>
            <w:shd w:val="clear" w:color="auto" w:fill="auto"/>
            <w:vAlign w:val="center"/>
          </w:tcPr>
          <w:p w14:paraId="53A05C3D" w14:textId="7677668E" w:rsidR="008C3780" w:rsidRPr="000E5611" w:rsidRDefault="008C3780" w:rsidP="008C3780">
            <w:pPr>
              <w:rPr>
                <w:sz w:val="22"/>
                <w:szCs w:val="22"/>
              </w:rPr>
            </w:pPr>
            <w:r w:rsidRPr="002E7A12">
              <w:rPr>
                <w:sz w:val="22"/>
                <w:szCs w:val="22"/>
              </w:rPr>
              <w:t>Rapport från Europeiska unionens Råd, Jordbruk och Fiske den 26 september 2022 i Bryssel</w:t>
            </w:r>
            <w:r w:rsidRPr="002E7A12">
              <w:rPr>
                <w:sz w:val="22"/>
                <w:szCs w:val="22"/>
              </w:rPr>
              <w:br/>
            </w:r>
            <w:r>
              <w:rPr>
                <w:rStyle w:val="Hyperlnk"/>
                <w:sz w:val="22"/>
                <w:szCs w:val="22"/>
              </w:rPr>
              <w:br/>
            </w:r>
          </w:p>
        </w:tc>
      </w:tr>
      <w:tr w:rsidR="008C3780" w:rsidRPr="000E5611" w14:paraId="5BAF2792"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8E558E6" w14:textId="77777777" w:rsidR="008C3780" w:rsidRPr="000E5611" w:rsidRDefault="008C3780" w:rsidP="008C3780">
            <w:pPr>
              <w:rPr>
                <w:b/>
                <w:sz w:val="22"/>
                <w:szCs w:val="22"/>
              </w:rPr>
            </w:pPr>
            <w:r w:rsidRPr="000E5611">
              <w:rPr>
                <w:b/>
                <w:sz w:val="22"/>
                <w:szCs w:val="22"/>
              </w:rPr>
              <w:t>Antagna dokument</w:t>
            </w:r>
          </w:p>
        </w:tc>
        <w:tc>
          <w:tcPr>
            <w:tcW w:w="8874" w:type="dxa"/>
            <w:gridSpan w:val="5"/>
            <w:shd w:val="clear" w:color="auto" w:fill="auto"/>
            <w:vAlign w:val="center"/>
          </w:tcPr>
          <w:p w14:paraId="4190663E" w14:textId="77777777" w:rsidR="008C3780" w:rsidRPr="000E5611" w:rsidRDefault="008C3780" w:rsidP="008C3780">
            <w:pPr>
              <w:rPr>
                <w:sz w:val="22"/>
                <w:szCs w:val="22"/>
              </w:rPr>
            </w:pPr>
          </w:p>
        </w:tc>
      </w:tr>
      <w:tr w:rsidR="008C3780" w:rsidRPr="000E5611" w14:paraId="03ABC23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ED1BFAF" w14:textId="77777777" w:rsidR="008C3780" w:rsidRDefault="008C3780" w:rsidP="008C3780">
            <w:pPr>
              <w:rPr>
                <w:sz w:val="22"/>
                <w:szCs w:val="22"/>
              </w:rPr>
            </w:pPr>
            <w:r>
              <w:rPr>
                <w:sz w:val="22"/>
                <w:szCs w:val="22"/>
              </w:rPr>
              <w:t>Antagna dokument</w:t>
            </w:r>
          </w:p>
          <w:p w14:paraId="698DFE14" w14:textId="0FB36123" w:rsidR="008C3780" w:rsidRPr="000E5611" w:rsidRDefault="008C3780" w:rsidP="008C3780">
            <w:pPr>
              <w:rPr>
                <w:sz w:val="22"/>
                <w:szCs w:val="22"/>
              </w:rPr>
            </w:pPr>
            <w:r w:rsidRPr="00FB6DBE">
              <w:rPr>
                <w:sz w:val="22"/>
                <w:szCs w:val="22"/>
              </w:rPr>
              <w:t>4</w:t>
            </w:r>
            <w:r>
              <w:rPr>
                <w:sz w:val="22"/>
                <w:szCs w:val="22"/>
              </w:rPr>
              <w:t xml:space="preserve"> – </w:t>
            </w:r>
            <w:r w:rsidRPr="00FB6DBE">
              <w:rPr>
                <w:sz w:val="22"/>
                <w:szCs w:val="22"/>
              </w:rPr>
              <w:t>7 juli 2022</w:t>
            </w:r>
            <w:r>
              <w:rPr>
                <w:sz w:val="22"/>
                <w:szCs w:val="22"/>
              </w:rPr>
              <w:t xml:space="preserve"> </w:t>
            </w:r>
          </w:p>
        </w:tc>
        <w:tc>
          <w:tcPr>
            <w:tcW w:w="8874" w:type="dxa"/>
            <w:gridSpan w:val="5"/>
            <w:shd w:val="clear" w:color="auto" w:fill="auto"/>
            <w:vAlign w:val="center"/>
          </w:tcPr>
          <w:p w14:paraId="075930A4" w14:textId="50CF07B8" w:rsidR="008C3780" w:rsidRPr="000E5611" w:rsidRDefault="008C3780" w:rsidP="008C3780">
            <w:pPr>
              <w:rPr>
                <w:sz w:val="22"/>
                <w:szCs w:val="22"/>
              </w:rPr>
            </w:pPr>
            <w:r w:rsidRPr="00FB6DBE">
              <w:rPr>
                <w:sz w:val="22"/>
                <w:szCs w:val="22"/>
              </w:rPr>
              <w:t xml:space="preserve">Översändande av dokument som antogs av Europaparlamentet under sammanträdesperioden </w:t>
            </w:r>
            <w:r>
              <w:rPr>
                <w:sz w:val="22"/>
                <w:szCs w:val="22"/>
              </w:rPr>
              <w:br/>
            </w:r>
            <w:r w:rsidRPr="00FB6DBE">
              <w:rPr>
                <w:sz w:val="22"/>
                <w:szCs w:val="22"/>
              </w:rPr>
              <w:t>4</w:t>
            </w:r>
            <w:r>
              <w:rPr>
                <w:sz w:val="22"/>
                <w:szCs w:val="22"/>
              </w:rPr>
              <w:t xml:space="preserve"> – </w:t>
            </w:r>
            <w:r w:rsidRPr="00FB6DBE">
              <w:rPr>
                <w:sz w:val="22"/>
                <w:szCs w:val="22"/>
              </w:rPr>
              <w:t>7 juli 2022</w:t>
            </w:r>
            <w:r w:rsidRPr="00FB6DBE">
              <w:rPr>
                <w:sz w:val="22"/>
                <w:szCs w:val="22"/>
              </w:rPr>
              <w:br/>
            </w:r>
          </w:p>
        </w:tc>
      </w:tr>
      <w:tr w:rsidR="008C3780" w:rsidRPr="000E5611" w14:paraId="037F6D3D"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D214F27" w14:textId="77777777" w:rsidR="008C3780" w:rsidRDefault="008C3780" w:rsidP="008C3780">
            <w:pPr>
              <w:rPr>
                <w:sz w:val="22"/>
                <w:szCs w:val="22"/>
              </w:rPr>
            </w:pPr>
            <w:r>
              <w:rPr>
                <w:sz w:val="22"/>
                <w:szCs w:val="22"/>
              </w:rPr>
              <w:lastRenderedPageBreak/>
              <w:t>Antagna dokument</w:t>
            </w:r>
          </w:p>
          <w:p w14:paraId="6F46B27C" w14:textId="41E66229" w:rsidR="008C3780" w:rsidRPr="000E5611" w:rsidRDefault="008C3780" w:rsidP="008C3780">
            <w:pPr>
              <w:rPr>
                <w:sz w:val="22"/>
                <w:szCs w:val="22"/>
              </w:rPr>
            </w:pPr>
            <w:r w:rsidRPr="00FD4672">
              <w:rPr>
                <w:sz w:val="22"/>
                <w:szCs w:val="22"/>
              </w:rPr>
              <w:t>12</w:t>
            </w:r>
            <w:r>
              <w:rPr>
                <w:sz w:val="22"/>
                <w:szCs w:val="22"/>
              </w:rPr>
              <w:t xml:space="preserve"> – </w:t>
            </w:r>
            <w:r w:rsidRPr="00FD4672">
              <w:rPr>
                <w:sz w:val="22"/>
                <w:szCs w:val="22"/>
              </w:rPr>
              <w:t>15 september 2022</w:t>
            </w:r>
          </w:p>
        </w:tc>
        <w:tc>
          <w:tcPr>
            <w:tcW w:w="8874" w:type="dxa"/>
            <w:gridSpan w:val="5"/>
            <w:shd w:val="clear" w:color="auto" w:fill="auto"/>
            <w:vAlign w:val="center"/>
          </w:tcPr>
          <w:p w14:paraId="063A3E94" w14:textId="3167EDCB" w:rsidR="008C3780" w:rsidRPr="000E5611" w:rsidRDefault="008C3780" w:rsidP="008C3780">
            <w:pPr>
              <w:rPr>
                <w:sz w:val="22"/>
                <w:szCs w:val="22"/>
              </w:rPr>
            </w:pPr>
            <w:r w:rsidRPr="00FD4672">
              <w:rPr>
                <w:sz w:val="22"/>
                <w:szCs w:val="22"/>
              </w:rPr>
              <w:t>Översändande av dokument som antogs av Europaparlamentet under sammanträdesperioden 12</w:t>
            </w:r>
            <w:r>
              <w:rPr>
                <w:sz w:val="22"/>
                <w:szCs w:val="22"/>
              </w:rPr>
              <w:t xml:space="preserve"> – </w:t>
            </w:r>
            <w:r w:rsidRPr="00FD4672">
              <w:rPr>
                <w:sz w:val="22"/>
                <w:szCs w:val="22"/>
              </w:rPr>
              <w:t>15 september 2022</w:t>
            </w:r>
          </w:p>
        </w:tc>
      </w:tr>
      <w:tr w:rsidR="008C3780" w:rsidRPr="000E5611" w14:paraId="7845C007"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A8E7CD9" w14:textId="77777777" w:rsidR="008C3780" w:rsidRPr="000E5611" w:rsidRDefault="008C3780" w:rsidP="008C3780">
            <w:pPr>
              <w:rPr>
                <w:b/>
                <w:bCs/>
                <w:sz w:val="22"/>
                <w:szCs w:val="22"/>
              </w:rPr>
            </w:pPr>
            <w:r w:rsidRPr="000E5611">
              <w:rPr>
                <w:b/>
                <w:bCs/>
                <w:sz w:val="22"/>
                <w:szCs w:val="22"/>
              </w:rPr>
              <w:t>Samråd</w:t>
            </w:r>
          </w:p>
        </w:tc>
        <w:tc>
          <w:tcPr>
            <w:tcW w:w="8874" w:type="dxa"/>
            <w:gridSpan w:val="5"/>
            <w:shd w:val="clear" w:color="auto" w:fill="auto"/>
            <w:vAlign w:val="center"/>
          </w:tcPr>
          <w:p w14:paraId="575879CE" w14:textId="77777777" w:rsidR="008C3780" w:rsidRPr="000E5611" w:rsidRDefault="008C3780" w:rsidP="008C3780">
            <w:pPr>
              <w:rPr>
                <w:sz w:val="22"/>
                <w:szCs w:val="22"/>
                <w:u w:val="single"/>
              </w:rPr>
            </w:pPr>
          </w:p>
        </w:tc>
      </w:tr>
      <w:tr w:rsidR="00991550" w:rsidRPr="00DF0154" w14:paraId="08DB6988" w14:textId="77777777" w:rsidTr="005D2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900" w:type="dxa"/>
            <w:gridSpan w:val="2"/>
            <w:shd w:val="clear" w:color="auto" w:fill="auto"/>
            <w:vAlign w:val="center"/>
          </w:tcPr>
          <w:p w14:paraId="26E4D7D6" w14:textId="77777777" w:rsidR="00991550" w:rsidRPr="000E5611" w:rsidRDefault="00991550" w:rsidP="00991550">
            <w:pPr>
              <w:rPr>
                <w:bCs/>
                <w:sz w:val="22"/>
                <w:szCs w:val="22"/>
              </w:rPr>
            </w:pPr>
          </w:p>
        </w:tc>
        <w:tc>
          <w:tcPr>
            <w:tcW w:w="8874" w:type="dxa"/>
            <w:gridSpan w:val="5"/>
            <w:shd w:val="clear" w:color="auto" w:fill="auto"/>
            <w:vAlign w:val="center"/>
          </w:tcPr>
          <w:p w14:paraId="3438F9FF" w14:textId="0C6EAA50" w:rsidR="00991550" w:rsidRPr="0077566F" w:rsidRDefault="005063F3" w:rsidP="00991550">
            <w:pPr>
              <w:rPr>
                <w:sz w:val="22"/>
                <w:szCs w:val="22"/>
                <w:lang w:val="en-GB"/>
              </w:rPr>
            </w:pPr>
            <w:hyperlink r:id="rId69" w:history="1">
              <w:r w:rsidR="00991550" w:rsidRPr="0077566F">
                <w:rPr>
                  <w:sz w:val="22"/>
                  <w:szCs w:val="22"/>
                  <w:lang w:val="en-GB"/>
                </w:rPr>
                <w:t>Communication on the functioning of the Common Fisheries Policy</w:t>
              </w:r>
            </w:hyperlink>
          </w:p>
        </w:tc>
      </w:tr>
      <w:tr w:rsidR="00991550" w:rsidRPr="00DF0154" w14:paraId="701B4B59" w14:textId="77777777" w:rsidTr="005D2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1900" w:type="dxa"/>
            <w:gridSpan w:val="2"/>
            <w:shd w:val="clear" w:color="auto" w:fill="auto"/>
            <w:vAlign w:val="center"/>
          </w:tcPr>
          <w:p w14:paraId="646C3B3B" w14:textId="77777777" w:rsidR="00991550" w:rsidRPr="00991550" w:rsidRDefault="00991550" w:rsidP="00991550">
            <w:pPr>
              <w:rPr>
                <w:bCs/>
                <w:sz w:val="22"/>
                <w:szCs w:val="22"/>
                <w:lang w:val="en-GB"/>
              </w:rPr>
            </w:pPr>
          </w:p>
        </w:tc>
        <w:tc>
          <w:tcPr>
            <w:tcW w:w="8874" w:type="dxa"/>
            <w:gridSpan w:val="5"/>
            <w:shd w:val="clear" w:color="auto" w:fill="auto"/>
            <w:vAlign w:val="center"/>
          </w:tcPr>
          <w:p w14:paraId="27292273" w14:textId="0C888580" w:rsidR="00991550" w:rsidRPr="0077566F" w:rsidRDefault="005063F3" w:rsidP="00991550">
            <w:pPr>
              <w:rPr>
                <w:sz w:val="22"/>
                <w:szCs w:val="22"/>
                <w:lang w:val="en-GB"/>
              </w:rPr>
            </w:pPr>
            <w:hyperlink r:id="rId70" w:history="1">
              <w:r w:rsidR="00991550" w:rsidRPr="0077566F">
                <w:rPr>
                  <w:sz w:val="22"/>
                  <w:szCs w:val="22"/>
                  <w:lang w:val="en-GB"/>
                </w:rPr>
                <w:t>Proposal for a basic regulation of the European Chemicals Agency</w:t>
              </w:r>
            </w:hyperlink>
          </w:p>
        </w:tc>
      </w:tr>
      <w:tr w:rsidR="00991550" w:rsidRPr="00DF0154" w14:paraId="20E1F74A" w14:textId="77777777" w:rsidTr="005D2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3"/>
        </w:trPr>
        <w:tc>
          <w:tcPr>
            <w:tcW w:w="1900" w:type="dxa"/>
            <w:gridSpan w:val="2"/>
            <w:shd w:val="clear" w:color="auto" w:fill="auto"/>
            <w:vAlign w:val="center"/>
          </w:tcPr>
          <w:p w14:paraId="622690AA" w14:textId="77777777" w:rsidR="00991550" w:rsidRPr="00991550" w:rsidRDefault="00991550" w:rsidP="00991550">
            <w:pPr>
              <w:rPr>
                <w:bCs/>
                <w:sz w:val="22"/>
                <w:szCs w:val="22"/>
                <w:lang w:val="en-GB"/>
              </w:rPr>
            </w:pPr>
          </w:p>
        </w:tc>
        <w:tc>
          <w:tcPr>
            <w:tcW w:w="8874" w:type="dxa"/>
            <w:gridSpan w:val="5"/>
            <w:shd w:val="clear" w:color="auto" w:fill="auto"/>
            <w:vAlign w:val="center"/>
          </w:tcPr>
          <w:p w14:paraId="7C88A2FE" w14:textId="6C762915" w:rsidR="00991550" w:rsidRPr="0077566F" w:rsidRDefault="005063F3" w:rsidP="00991550">
            <w:pPr>
              <w:rPr>
                <w:sz w:val="22"/>
                <w:szCs w:val="22"/>
                <w:lang w:val="en-GB"/>
              </w:rPr>
            </w:pPr>
            <w:hyperlink r:id="rId71" w:history="1">
              <w:r w:rsidR="00991550" w:rsidRPr="0077566F">
                <w:rPr>
                  <w:sz w:val="22"/>
                  <w:szCs w:val="22"/>
                  <w:lang w:val="en-GB"/>
                </w:rPr>
                <w:t>Evaluation of the 2012 Directive on waste from electrical and electronic equipment</w:t>
              </w:r>
            </w:hyperlink>
            <w:r w:rsidR="00991550" w:rsidRPr="0077566F">
              <w:rPr>
                <w:sz w:val="22"/>
                <w:szCs w:val="22"/>
                <w:lang w:val="en-GB"/>
              </w:rPr>
              <w:t xml:space="preserve"> </w:t>
            </w:r>
          </w:p>
        </w:tc>
      </w:tr>
      <w:tr w:rsidR="00991550" w:rsidRPr="000E5611" w14:paraId="04DA8671"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7D8A608" w14:textId="77777777" w:rsidR="00991550" w:rsidRPr="000E5611" w:rsidRDefault="00991550" w:rsidP="00991550">
            <w:pPr>
              <w:rPr>
                <w:b/>
                <w:bCs/>
                <w:sz w:val="22"/>
                <w:szCs w:val="22"/>
              </w:rPr>
            </w:pPr>
            <w:r w:rsidRPr="000E5611">
              <w:rPr>
                <w:b/>
                <w:sz w:val="22"/>
                <w:szCs w:val="22"/>
              </w:rPr>
              <w:t>Förutsedda punkter på kommissionens dagordning</w:t>
            </w:r>
          </w:p>
        </w:tc>
        <w:tc>
          <w:tcPr>
            <w:tcW w:w="8874" w:type="dxa"/>
            <w:gridSpan w:val="5"/>
            <w:shd w:val="clear" w:color="auto" w:fill="auto"/>
            <w:vAlign w:val="center"/>
          </w:tcPr>
          <w:p w14:paraId="6D6633B5" w14:textId="77777777" w:rsidR="00991550" w:rsidRPr="000E5611" w:rsidRDefault="00991550" w:rsidP="00991550">
            <w:pPr>
              <w:rPr>
                <w:rStyle w:val="Hyperlnk"/>
                <w:sz w:val="22"/>
                <w:szCs w:val="22"/>
              </w:rPr>
            </w:pPr>
          </w:p>
        </w:tc>
      </w:tr>
      <w:tr w:rsidR="00991550" w:rsidRPr="000E5611" w14:paraId="2FB75847"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E644EE1" w14:textId="77777777" w:rsidR="00991550" w:rsidRPr="000E5611" w:rsidRDefault="00991550" w:rsidP="00991550">
            <w:pPr>
              <w:rPr>
                <w:b/>
                <w:bCs/>
                <w:sz w:val="22"/>
                <w:szCs w:val="22"/>
              </w:rPr>
            </w:pPr>
          </w:p>
        </w:tc>
        <w:tc>
          <w:tcPr>
            <w:tcW w:w="8874" w:type="dxa"/>
            <w:gridSpan w:val="5"/>
            <w:shd w:val="clear" w:color="auto" w:fill="auto"/>
            <w:vAlign w:val="center"/>
          </w:tcPr>
          <w:p w14:paraId="74BF9F5B" w14:textId="77777777" w:rsidR="00991550" w:rsidRPr="00194A77" w:rsidRDefault="00991550" w:rsidP="00991550">
            <w:pPr>
              <w:rPr>
                <w:sz w:val="22"/>
                <w:szCs w:val="22"/>
              </w:rPr>
            </w:pPr>
            <w:r w:rsidRPr="00194A77">
              <w:rPr>
                <w:b/>
                <w:bCs/>
                <w:sz w:val="22"/>
                <w:szCs w:val="22"/>
              </w:rPr>
              <w:t xml:space="preserve">26 oktober </w:t>
            </w:r>
          </w:p>
          <w:p w14:paraId="76516848" w14:textId="77777777" w:rsidR="00991550" w:rsidRPr="00194A77" w:rsidRDefault="00991550" w:rsidP="00991550">
            <w:pPr>
              <w:pStyle w:val="Liststycke"/>
              <w:widowControl/>
              <w:numPr>
                <w:ilvl w:val="0"/>
                <w:numId w:val="4"/>
              </w:numPr>
              <w:rPr>
                <w:sz w:val="22"/>
                <w:szCs w:val="22"/>
              </w:rPr>
            </w:pPr>
            <w:r w:rsidRPr="00194A77">
              <w:rPr>
                <w:sz w:val="22"/>
                <w:szCs w:val="22"/>
              </w:rPr>
              <w:t xml:space="preserve">Paketet om nollföroreningar </w:t>
            </w:r>
          </w:p>
          <w:p w14:paraId="2C1A86AC" w14:textId="77777777" w:rsidR="00991550" w:rsidRPr="00194A77" w:rsidRDefault="00991550" w:rsidP="00991550">
            <w:pPr>
              <w:pStyle w:val="Liststycke"/>
              <w:widowControl/>
              <w:numPr>
                <w:ilvl w:val="1"/>
                <w:numId w:val="4"/>
              </w:numPr>
              <w:rPr>
                <w:sz w:val="22"/>
                <w:szCs w:val="22"/>
              </w:rPr>
            </w:pPr>
            <w:r w:rsidRPr="00194A77">
              <w:rPr>
                <w:sz w:val="22"/>
                <w:szCs w:val="22"/>
              </w:rPr>
              <w:t xml:space="preserve">Integrerad vattenförvaltning – reviderade förteckningar över föroreningar i ytvatten och grundvatten (MJU) </w:t>
            </w:r>
          </w:p>
          <w:p w14:paraId="10AD3959" w14:textId="77777777" w:rsidR="00991550" w:rsidRPr="00194A77" w:rsidRDefault="00991550" w:rsidP="00991550">
            <w:pPr>
              <w:pStyle w:val="Liststycke"/>
              <w:widowControl/>
              <w:numPr>
                <w:ilvl w:val="1"/>
                <w:numId w:val="4"/>
              </w:numPr>
              <w:rPr>
                <w:sz w:val="22"/>
                <w:szCs w:val="22"/>
              </w:rPr>
            </w:pPr>
            <w:r w:rsidRPr="00194A77">
              <w:rPr>
                <w:sz w:val="22"/>
                <w:szCs w:val="22"/>
              </w:rPr>
              <w:t xml:space="preserve">Översyn av EU-lagstiftningen om luftkvalitet (MJU) </w:t>
            </w:r>
          </w:p>
          <w:p w14:paraId="607DBC09" w14:textId="77777777" w:rsidR="00991550" w:rsidRPr="00194A77" w:rsidRDefault="00991550" w:rsidP="00991550">
            <w:pPr>
              <w:pStyle w:val="Liststycke"/>
              <w:widowControl/>
              <w:numPr>
                <w:ilvl w:val="1"/>
                <w:numId w:val="4"/>
              </w:numPr>
              <w:rPr>
                <w:sz w:val="22"/>
                <w:szCs w:val="22"/>
              </w:rPr>
            </w:pPr>
            <w:r w:rsidRPr="00194A77">
              <w:rPr>
                <w:sz w:val="22"/>
                <w:szCs w:val="22"/>
              </w:rPr>
              <w:t>Översyn av direktivet om rening av avlopp från tätbebyggelse (MJU)</w:t>
            </w:r>
          </w:p>
          <w:p w14:paraId="52A381A8" w14:textId="77777777" w:rsidR="00991550" w:rsidRPr="00194A77" w:rsidRDefault="00991550" w:rsidP="00991550">
            <w:pPr>
              <w:pStyle w:val="Liststycke"/>
              <w:widowControl/>
              <w:numPr>
                <w:ilvl w:val="1"/>
                <w:numId w:val="4"/>
              </w:numPr>
              <w:rPr>
                <w:sz w:val="22"/>
                <w:szCs w:val="22"/>
              </w:rPr>
            </w:pPr>
            <w:r w:rsidRPr="00194A77">
              <w:rPr>
                <w:sz w:val="22"/>
                <w:szCs w:val="22"/>
              </w:rPr>
              <w:t xml:space="preserve">Utveckling av post-Euro 6/VI-utsläppsnormer för personbilar, lastbilar och bussar (MJU) </w:t>
            </w:r>
          </w:p>
          <w:p w14:paraId="65B1E272" w14:textId="77777777" w:rsidR="00991550" w:rsidRPr="00194A77" w:rsidRDefault="00991550" w:rsidP="00991550">
            <w:pPr>
              <w:pStyle w:val="Liststycke"/>
              <w:ind w:left="1440"/>
              <w:rPr>
                <w:sz w:val="22"/>
                <w:szCs w:val="22"/>
              </w:rPr>
            </w:pPr>
            <w:r w:rsidRPr="00194A77">
              <w:rPr>
                <w:b/>
                <w:bCs/>
                <w:sz w:val="22"/>
                <w:szCs w:val="22"/>
              </w:rPr>
              <w:t xml:space="preserve"> </w:t>
            </w:r>
          </w:p>
          <w:p w14:paraId="74491623" w14:textId="77777777" w:rsidR="00991550" w:rsidRPr="00194A77" w:rsidRDefault="00991550" w:rsidP="00991550">
            <w:pPr>
              <w:rPr>
                <w:rFonts w:eastAsiaTheme="minorHAnsi"/>
                <w:sz w:val="22"/>
                <w:szCs w:val="22"/>
              </w:rPr>
            </w:pPr>
          </w:p>
          <w:p w14:paraId="32E33E0B" w14:textId="77777777" w:rsidR="00991550" w:rsidRPr="00194A77" w:rsidRDefault="00991550" w:rsidP="00991550">
            <w:pPr>
              <w:rPr>
                <w:sz w:val="22"/>
                <w:szCs w:val="22"/>
              </w:rPr>
            </w:pPr>
            <w:r w:rsidRPr="00194A77">
              <w:rPr>
                <w:b/>
                <w:bCs/>
                <w:sz w:val="22"/>
                <w:szCs w:val="22"/>
              </w:rPr>
              <w:t xml:space="preserve">30 november </w:t>
            </w:r>
          </w:p>
          <w:p w14:paraId="52CFF341" w14:textId="77777777" w:rsidR="00991550" w:rsidRPr="00194A77" w:rsidRDefault="00991550" w:rsidP="00991550">
            <w:pPr>
              <w:pStyle w:val="Liststycke"/>
              <w:widowControl/>
              <w:numPr>
                <w:ilvl w:val="0"/>
                <w:numId w:val="4"/>
              </w:numPr>
              <w:rPr>
                <w:sz w:val="22"/>
                <w:szCs w:val="22"/>
              </w:rPr>
            </w:pPr>
            <w:r w:rsidRPr="00194A77">
              <w:rPr>
                <w:sz w:val="22"/>
                <w:szCs w:val="22"/>
              </w:rPr>
              <w:t xml:space="preserve">Andra paketet för cirkulär ekonomi   </w:t>
            </w:r>
          </w:p>
          <w:p w14:paraId="0EB3D47D" w14:textId="77777777" w:rsidR="00991550" w:rsidRPr="00194A77" w:rsidRDefault="00991550" w:rsidP="00991550">
            <w:pPr>
              <w:pStyle w:val="Liststycke"/>
              <w:widowControl/>
              <w:numPr>
                <w:ilvl w:val="1"/>
                <w:numId w:val="4"/>
              </w:numPr>
              <w:rPr>
                <w:sz w:val="22"/>
                <w:szCs w:val="22"/>
              </w:rPr>
            </w:pPr>
            <w:r w:rsidRPr="00194A77">
              <w:rPr>
                <w:sz w:val="22"/>
                <w:szCs w:val="22"/>
              </w:rPr>
              <w:t xml:space="preserve">Politisk ram för biobaserade, biologiskt nedbrytbara och komposterbara plaster (MJU) </w:t>
            </w:r>
          </w:p>
          <w:p w14:paraId="23EB8B04" w14:textId="77777777" w:rsidR="00991550" w:rsidRPr="00194A77" w:rsidRDefault="00991550" w:rsidP="00991550">
            <w:pPr>
              <w:pStyle w:val="Liststycke"/>
              <w:widowControl/>
              <w:numPr>
                <w:ilvl w:val="1"/>
                <w:numId w:val="4"/>
              </w:numPr>
              <w:rPr>
                <w:sz w:val="22"/>
                <w:szCs w:val="22"/>
              </w:rPr>
            </w:pPr>
            <w:r w:rsidRPr="00194A77">
              <w:rPr>
                <w:sz w:val="22"/>
                <w:szCs w:val="22"/>
              </w:rPr>
              <w:t xml:space="preserve">Översyn av direktivet om förpackningar och förpackningsavfall för att förstärka de väsentliga kraven för förpackningar och fastställa åtgärder och mål för förebyggande av förpackningsavfall på EU-nivå (MJU) </w:t>
            </w:r>
          </w:p>
          <w:p w14:paraId="1E40D67F" w14:textId="77777777" w:rsidR="00991550" w:rsidRPr="00194A77" w:rsidRDefault="00991550" w:rsidP="00991550">
            <w:pPr>
              <w:pStyle w:val="Liststycke"/>
              <w:widowControl/>
              <w:numPr>
                <w:ilvl w:val="0"/>
                <w:numId w:val="4"/>
              </w:numPr>
              <w:rPr>
                <w:sz w:val="22"/>
                <w:szCs w:val="22"/>
              </w:rPr>
            </w:pPr>
            <w:r w:rsidRPr="00194A77">
              <w:rPr>
                <w:sz w:val="22"/>
                <w:szCs w:val="22"/>
              </w:rPr>
              <w:t xml:space="preserve">Klimatpaketet </w:t>
            </w:r>
          </w:p>
          <w:p w14:paraId="387188E6" w14:textId="77777777" w:rsidR="00991550" w:rsidRPr="00194A77" w:rsidRDefault="00991550" w:rsidP="00991550">
            <w:pPr>
              <w:pStyle w:val="Liststycke"/>
              <w:widowControl/>
              <w:numPr>
                <w:ilvl w:val="1"/>
                <w:numId w:val="4"/>
              </w:numPr>
              <w:rPr>
                <w:sz w:val="22"/>
                <w:szCs w:val="22"/>
              </w:rPr>
            </w:pPr>
            <w:r w:rsidRPr="00194A77">
              <w:rPr>
                <w:sz w:val="22"/>
                <w:szCs w:val="22"/>
              </w:rPr>
              <w:t xml:space="preserve">Certifiering av avlägsnande av koldioxid (MJU) </w:t>
            </w:r>
          </w:p>
          <w:p w14:paraId="7932DF8F" w14:textId="77777777" w:rsidR="00991550" w:rsidRPr="000E5611" w:rsidRDefault="00991550" w:rsidP="00991550">
            <w:pPr>
              <w:rPr>
                <w:rStyle w:val="Hyperlnk"/>
                <w:sz w:val="22"/>
                <w:szCs w:val="22"/>
              </w:rPr>
            </w:pPr>
          </w:p>
        </w:tc>
      </w:tr>
      <w:tr w:rsidR="00991550" w:rsidRPr="000E5611" w14:paraId="539C4FEF"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7C261DA" w14:textId="59A04F5A" w:rsidR="00991550" w:rsidRPr="000E5611" w:rsidRDefault="00991550" w:rsidP="00991550">
            <w:pPr>
              <w:rPr>
                <w:b/>
                <w:bCs/>
                <w:sz w:val="22"/>
                <w:szCs w:val="22"/>
              </w:rPr>
            </w:pPr>
            <w:r w:rsidRPr="005D76B4">
              <w:rPr>
                <w:b/>
                <w:sz w:val="22"/>
                <w:szCs w:val="22"/>
              </w:rPr>
              <w:t>Revisionsrätten rapporter m.m.</w:t>
            </w:r>
          </w:p>
        </w:tc>
        <w:tc>
          <w:tcPr>
            <w:tcW w:w="8874" w:type="dxa"/>
            <w:gridSpan w:val="5"/>
            <w:shd w:val="clear" w:color="auto" w:fill="auto"/>
            <w:vAlign w:val="center"/>
          </w:tcPr>
          <w:p w14:paraId="6730BBAA" w14:textId="77777777" w:rsidR="00991550" w:rsidRPr="000E5611" w:rsidRDefault="00991550" w:rsidP="00991550">
            <w:pPr>
              <w:rPr>
                <w:b/>
                <w:bCs/>
                <w:color w:val="000000"/>
                <w:sz w:val="22"/>
                <w:szCs w:val="22"/>
              </w:rPr>
            </w:pPr>
          </w:p>
        </w:tc>
      </w:tr>
      <w:tr w:rsidR="00991550" w:rsidRPr="000E5611" w14:paraId="37BDEF0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3E8CBA0" w14:textId="071C3732" w:rsidR="00991550" w:rsidRPr="000E5611" w:rsidRDefault="00991550" w:rsidP="00991550">
            <w:pPr>
              <w:rPr>
                <w:b/>
                <w:sz w:val="22"/>
                <w:szCs w:val="22"/>
              </w:rPr>
            </w:pPr>
            <w:r w:rsidRPr="00136BBF">
              <w:rPr>
                <w:sz w:val="22"/>
                <w:szCs w:val="22"/>
              </w:rPr>
              <w:t xml:space="preserve">Revisionsrättens särskilda rapport </w:t>
            </w:r>
          </w:p>
        </w:tc>
        <w:tc>
          <w:tcPr>
            <w:tcW w:w="8874" w:type="dxa"/>
            <w:gridSpan w:val="5"/>
            <w:shd w:val="clear" w:color="auto" w:fill="auto"/>
            <w:vAlign w:val="center"/>
          </w:tcPr>
          <w:p w14:paraId="74D8AEFC" w14:textId="45783F0E" w:rsidR="00991550" w:rsidRPr="000E5611" w:rsidRDefault="00991550" w:rsidP="00991550">
            <w:pPr>
              <w:rPr>
                <w:b/>
                <w:bCs/>
                <w:color w:val="000000"/>
                <w:sz w:val="22"/>
                <w:szCs w:val="22"/>
              </w:rPr>
            </w:pPr>
            <w:r w:rsidRPr="00136BBF">
              <w:rPr>
                <w:sz w:val="22"/>
                <w:szCs w:val="22"/>
              </w:rPr>
              <w:t>Revisionsrättens särskilda rapport 20/2022 EU:s åtgärder för att bekämpa olagligt fiske: kontrollsystem har införts men försvagas av medlemsstaternas ojämna kontroller och sanktioner</w:t>
            </w:r>
            <w:r w:rsidRPr="00136BBF">
              <w:rPr>
                <w:sz w:val="22"/>
                <w:szCs w:val="22"/>
              </w:rPr>
              <w:br/>
            </w:r>
          </w:p>
        </w:tc>
      </w:tr>
      <w:tr w:rsidR="00991550" w:rsidRPr="00DF0154" w14:paraId="676CD4AE"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23E8FDD" w14:textId="77777777" w:rsidR="00991550" w:rsidRDefault="00991550" w:rsidP="00991550">
            <w:pPr>
              <w:rPr>
                <w:sz w:val="22"/>
                <w:szCs w:val="22"/>
              </w:rPr>
            </w:pPr>
            <w:r w:rsidRPr="00136BBF">
              <w:rPr>
                <w:sz w:val="22"/>
                <w:szCs w:val="22"/>
              </w:rPr>
              <w:t>Revisionsrättens</w:t>
            </w:r>
          </w:p>
          <w:p w14:paraId="2EB3623C" w14:textId="1521EFFF" w:rsidR="00991550" w:rsidRPr="000E5611" w:rsidRDefault="00991550" w:rsidP="00991550">
            <w:pPr>
              <w:rPr>
                <w:bCs/>
                <w:sz w:val="22"/>
                <w:szCs w:val="22"/>
              </w:rPr>
            </w:pPr>
            <w:r w:rsidRPr="00136BBF">
              <w:rPr>
                <w:sz w:val="22"/>
                <w:szCs w:val="22"/>
              </w:rPr>
              <w:t>rapport</w:t>
            </w:r>
            <w:r>
              <w:rPr>
                <w:sz w:val="22"/>
                <w:szCs w:val="22"/>
              </w:rPr>
              <w:t>er okt. 2022 – sep. 2023</w:t>
            </w:r>
            <w:r w:rsidRPr="00136BBF">
              <w:rPr>
                <w:sz w:val="22"/>
                <w:szCs w:val="22"/>
              </w:rPr>
              <w:t xml:space="preserve"> </w:t>
            </w:r>
          </w:p>
        </w:tc>
        <w:tc>
          <w:tcPr>
            <w:tcW w:w="8874" w:type="dxa"/>
            <w:gridSpan w:val="5"/>
            <w:shd w:val="clear" w:color="auto" w:fill="auto"/>
            <w:vAlign w:val="center"/>
          </w:tcPr>
          <w:p w14:paraId="32CC6C8B" w14:textId="3117C66B" w:rsidR="00991550" w:rsidRPr="0077566F" w:rsidRDefault="00991550" w:rsidP="00991550">
            <w:pPr>
              <w:rPr>
                <w:b/>
                <w:bCs/>
                <w:color w:val="000000"/>
                <w:sz w:val="22"/>
                <w:szCs w:val="22"/>
                <w:lang w:val="en-GB"/>
              </w:rPr>
            </w:pPr>
            <w:r w:rsidRPr="0077566F">
              <w:rPr>
                <w:sz w:val="22"/>
                <w:szCs w:val="22"/>
                <w:lang w:val="en-GB"/>
              </w:rPr>
              <w:t xml:space="preserve">Indicative Timetable ECA Reports October 2022 - September 2023 </w:t>
            </w:r>
            <w:r w:rsidRPr="0077566F">
              <w:rPr>
                <w:sz w:val="22"/>
                <w:szCs w:val="22"/>
                <w:lang w:val="en-GB"/>
              </w:rPr>
              <w:br/>
            </w:r>
          </w:p>
        </w:tc>
      </w:tr>
      <w:tr w:rsidR="00991550" w:rsidRPr="000E5611" w14:paraId="661C74AE"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527FC4A" w14:textId="58517747" w:rsidR="00991550" w:rsidRPr="000E5611" w:rsidRDefault="00675BF3" w:rsidP="00991550">
            <w:pPr>
              <w:rPr>
                <w:b/>
                <w:bCs/>
                <w:sz w:val="22"/>
                <w:szCs w:val="22"/>
              </w:rPr>
            </w:pPr>
            <w:r>
              <w:rPr>
                <w:b/>
                <w:bCs/>
                <w:sz w:val="22"/>
                <w:szCs w:val="22"/>
              </w:rPr>
              <w:t>Yttranden från andra nationella parlament</w:t>
            </w:r>
          </w:p>
        </w:tc>
        <w:tc>
          <w:tcPr>
            <w:tcW w:w="8874" w:type="dxa"/>
            <w:gridSpan w:val="5"/>
            <w:shd w:val="clear" w:color="auto" w:fill="auto"/>
            <w:vAlign w:val="center"/>
          </w:tcPr>
          <w:p w14:paraId="7A067DFE" w14:textId="77777777" w:rsidR="00991550" w:rsidRPr="000E5611" w:rsidRDefault="00991550" w:rsidP="00991550">
            <w:pPr>
              <w:rPr>
                <w:sz w:val="22"/>
                <w:szCs w:val="22"/>
              </w:rPr>
            </w:pPr>
          </w:p>
        </w:tc>
      </w:tr>
      <w:tr w:rsidR="00675BF3" w:rsidRPr="005063F3" w14:paraId="77549F5B"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31CB48C" w14:textId="0C130391" w:rsidR="00675BF3" w:rsidRPr="000E5611" w:rsidRDefault="005063F3" w:rsidP="00675BF3">
            <w:pPr>
              <w:rPr>
                <w:b/>
                <w:bCs/>
                <w:sz w:val="22"/>
                <w:szCs w:val="22"/>
              </w:rPr>
            </w:pPr>
            <w:hyperlink r:id="rId72" w:history="1">
              <w:r w:rsidR="00675BF3" w:rsidRPr="005D2331">
                <w:t>ST 11931/22</w:t>
              </w:r>
            </w:hyperlink>
          </w:p>
        </w:tc>
        <w:tc>
          <w:tcPr>
            <w:tcW w:w="8874" w:type="dxa"/>
            <w:gridSpan w:val="5"/>
            <w:shd w:val="clear" w:color="auto" w:fill="auto"/>
            <w:vAlign w:val="center"/>
          </w:tcPr>
          <w:p w14:paraId="4F47249E" w14:textId="4BFEE111" w:rsidR="00675BF3" w:rsidRPr="00675BF3" w:rsidRDefault="00675BF3" w:rsidP="00675BF3">
            <w:pPr>
              <w:rPr>
                <w:sz w:val="22"/>
                <w:szCs w:val="22"/>
                <w:lang w:val="en-GB"/>
              </w:rPr>
            </w:pPr>
            <w:r w:rsidRPr="005D76B4">
              <w:rPr>
                <w:sz w:val="22"/>
                <w:szCs w:val="22"/>
                <w:lang w:val="en-GB"/>
              </w:rPr>
              <w:t xml:space="preserve">Proposal for a REGULATION OF THE EUROPEAN PARLIAMENT AND OF THE COUNCIL amending Regulation (EU) No 1305/2013 as regards a specific measure to provide exceptional </w:t>
            </w:r>
            <w:r w:rsidRPr="00194A77">
              <w:rPr>
                <w:b/>
                <w:bCs/>
                <w:sz w:val="22"/>
                <w:szCs w:val="22"/>
                <w:lang w:val="en-GB"/>
              </w:rPr>
              <w:t xml:space="preserve">temporary support under the European Agricultural Fund </w:t>
            </w:r>
            <w:r w:rsidRPr="005D76B4">
              <w:rPr>
                <w:sz w:val="22"/>
                <w:szCs w:val="22"/>
                <w:lang w:val="en-GB"/>
              </w:rPr>
              <w:t xml:space="preserve">for Rural Development (EAFRD) </w:t>
            </w:r>
            <w:r w:rsidRPr="00194A77">
              <w:rPr>
                <w:b/>
                <w:bCs/>
                <w:sz w:val="22"/>
                <w:szCs w:val="22"/>
                <w:lang w:val="en-GB"/>
              </w:rPr>
              <w:t>in response to the impact of Russia’s invasion of Ukraine</w:t>
            </w:r>
            <w:r w:rsidRPr="005D76B4">
              <w:rPr>
                <w:sz w:val="22"/>
                <w:szCs w:val="22"/>
                <w:lang w:val="en-GB"/>
              </w:rPr>
              <w:t xml:space="preserve"> [9347/22 - COM(2022) 242 final] - Opinion on the application of the Principles of Subsidiarity and Proportionality - </w:t>
            </w:r>
            <w:r w:rsidRPr="00194A77">
              <w:rPr>
                <w:b/>
                <w:bCs/>
                <w:sz w:val="22"/>
                <w:szCs w:val="22"/>
                <w:lang w:val="en-GB"/>
              </w:rPr>
              <w:t>The Portuguese Parliament</w:t>
            </w:r>
            <w:r w:rsidRPr="005D76B4">
              <w:rPr>
                <w:sz w:val="22"/>
                <w:szCs w:val="22"/>
                <w:lang w:val="en-GB"/>
              </w:rPr>
              <w:br/>
            </w:r>
          </w:p>
        </w:tc>
      </w:tr>
      <w:tr w:rsidR="00675BF3" w:rsidRPr="00DF0154" w14:paraId="2B33144F"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140AA7C" w14:textId="507C8BBF" w:rsidR="00675BF3" w:rsidRPr="005D2331" w:rsidRDefault="005063F3" w:rsidP="00675BF3">
            <w:pPr>
              <w:rPr>
                <w:sz w:val="22"/>
                <w:szCs w:val="22"/>
                <w:lang w:val="en-GB"/>
              </w:rPr>
            </w:pPr>
            <w:hyperlink r:id="rId73" w:history="1">
              <w:r w:rsidR="00675BF3" w:rsidRPr="005D2331">
                <w:t>ST 12543/22</w:t>
              </w:r>
            </w:hyperlink>
          </w:p>
        </w:tc>
        <w:tc>
          <w:tcPr>
            <w:tcW w:w="8874" w:type="dxa"/>
            <w:gridSpan w:val="5"/>
            <w:shd w:val="clear" w:color="auto" w:fill="auto"/>
            <w:vAlign w:val="center"/>
          </w:tcPr>
          <w:p w14:paraId="28D91623" w14:textId="6F7AFCD2" w:rsidR="00675BF3" w:rsidRPr="00675BF3" w:rsidRDefault="00675BF3" w:rsidP="00675BF3">
            <w:pPr>
              <w:rPr>
                <w:sz w:val="22"/>
                <w:szCs w:val="22"/>
                <w:lang w:val="en-GB"/>
              </w:rPr>
            </w:pPr>
            <w:r w:rsidRPr="005D76B4">
              <w:rPr>
                <w:sz w:val="22"/>
                <w:szCs w:val="22"/>
                <w:lang w:val="en-GB"/>
              </w:rPr>
              <w:t xml:space="preserve">Proposal for a REGULATION OF THE EUROPEAN PARLIAMENT AND OF THE COUNCIL on </w:t>
            </w:r>
            <w:r w:rsidRPr="00AA46DF">
              <w:rPr>
                <w:b/>
                <w:bCs/>
                <w:sz w:val="22"/>
                <w:szCs w:val="22"/>
                <w:lang w:val="en-GB"/>
              </w:rPr>
              <w:t>nature restoration</w:t>
            </w:r>
            <w:r w:rsidRPr="005D76B4">
              <w:rPr>
                <w:sz w:val="22"/>
                <w:szCs w:val="22"/>
                <w:lang w:val="en-GB"/>
              </w:rPr>
              <w:t xml:space="preserve"> [10607/22 - COM (2022) 304] - Opinion on the application of the Principles of Subsidiarity and Proportionality - </w:t>
            </w:r>
            <w:r w:rsidRPr="00194A77">
              <w:rPr>
                <w:b/>
                <w:bCs/>
                <w:sz w:val="22"/>
                <w:szCs w:val="22"/>
                <w:lang w:val="en-GB"/>
              </w:rPr>
              <w:t>Portuguese Parliament</w:t>
            </w:r>
            <w:r w:rsidRPr="005D76B4">
              <w:rPr>
                <w:sz w:val="22"/>
                <w:szCs w:val="22"/>
                <w:lang w:val="en-GB"/>
              </w:rPr>
              <w:br/>
            </w:r>
          </w:p>
        </w:tc>
      </w:tr>
      <w:tr w:rsidR="00675BF3" w:rsidRPr="005063F3" w14:paraId="1CA31D85"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E0476BD" w14:textId="5509EF75" w:rsidR="00675BF3" w:rsidRPr="005D2331" w:rsidRDefault="005063F3" w:rsidP="00675BF3">
            <w:pPr>
              <w:rPr>
                <w:sz w:val="22"/>
                <w:szCs w:val="22"/>
                <w:lang w:val="en-GB"/>
              </w:rPr>
            </w:pPr>
            <w:hyperlink r:id="rId74" w:history="1">
              <w:r w:rsidR="00675BF3" w:rsidRPr="005D2331">
                <w:rPr>
                  <w:lang w:val="en-GB"/>
                </w:rPr>
                <w:t>ST 12604/22</w:t>
              </w:r>
            </w:hyperlink>
          </w:p>
        </w:tc>
        <w:tc>
          <w:tcPr>
            <w:tcW w:w="8874" w:type="dxa"/>
            <w:gridSpan w:val="5"/>
            <w:shd w:val="clear" w:color="auto" w:fill="auto"/>
            <w:vAlign w:val="center"/>
          </w:tcPr>
          <w:p w14:paraId="694EE324" w14:textId="77777777" w:rsidR="00675BF3" w:rsidRPr="00194A77" w:rsidRDefault="00675BF3" w:rsidP="00675BF3">
            <w:pPr>
              <w:rPr>
                <w:b/>
                <w:bCs/>
                <w:sz w:val="22"/>
                <w:szCs w:val="22"/>
                <w:lang w:val="en-GB"/>
              </w:rPr>
            </w:pPr>
            <w:r w:rsidRPr="005D76B4">
              <w:rPr>
                <w:sz w:val="22"/>
                <w:szCs w:val="22"/>
                <w:lang w:val="en-GB"/>
              </w:rPr>
              <w:t xml:space="preserve">Proposal for a REGULATION OF THE EUROPEAN PARLIAMENT AND OF THE COUNCIL amending Council Regulation (EC) No 1217/2009 as regards conversion of the </w:t>
            </w:r>
            <w:r w:rsidRPr="00194A77">
              <w:rPr>
                <w:b/>
                <w:bCs/>
                <w:sz w:val="22"/>
                <w:szCs w:val="22"/>
                <w:lang w:val="en-GB"/>
              </w:rPr>
              <w:t>Farm Accountancy Data Network into a Farm Sustainability Data</w:t>
            </w:r>
            <w:r w:rsidRPr="005D76B4">
              <w:rPr>
                <w:sz w:val="22"/>
                <w:szCs w:val="22"/>
                <w:lang w:val="en-GB"/>
              </w:rPr>
              <w:t xml:space="preserve"> </w:t>
            </w:r>
            <w:r w:rsidRPr="00194A77">
              <w:rPr>
                <w:b/>
                <w:bCs/>
                <w:sz w:val="22"/>
                <w:szCs w:val="22"/>
                <w:lang w:val="en-GB"/>
              </w:rPr>
              <w:t>Network</w:t>
            </w:r>
            <w:r w:rsidRPr="005D76B4">
              <w:rPr>
                <w:sz w:val="22"/>
                <w:szCs w:val="22"/>
                <w:lang w:val="en-GB"/>
              </w:rPr>
              <w:t xml:space="preserve"> [10592/22 - COM(2022) 296 final] - Opinion on the application of the Principles of Subsidiarity and Proportionality - </w:t>
            </w:r>
            <w:r w:rsidRPr="00194A77">
              <w:rPr>
                <w:b/>
                <w:bCs/>
                <w:sz w:val="22"/>
                <w:szCs w:val="22"/>
                <w:lang w:val="en-GB"/>
              </w:rPr>
              <w:t xml:space="preserve">Spanish Cortes Generales </w:t>
            </w:r>
          </w:p>
          <w:p w14:paraId="4C4C0D32" w14:textId="77777777" w:rsidR="00675BF3" w:rsidRPr="00675BF3" w:rsidRDefault="00675BF3" w:rsidP="00675BF3">
            <w:pPr>
              <w:rPr>
                <w:sz w:val="22"/>
                <w:szCs w:val="22"/>
                <w:lang w:val="en-GB"/>
              </w:rPr>
            </w:pPr>
          </w:p>
        </w:tc>
      </w:tr>
      <w:tr w:rsidR="00675BF3" w:rsidRPr="00DF0154" w14:paraId="3AF2CC3E"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2504192" w14:textId="793449DF" w:rsidR="00675BF3" w:rsidRPr="005D2331" w:rsidRDefault="005063F3" w:rsidP="00675BF3">
            <w:pPr>
              <w:rPr>
                <w:sz w:val="22"/>
                <w:szCs w:val="22"/>
                <w:lang w:val="en-GB"/>
              </w:rPr>
            </w:pPr>
            <w:hyperlink r:id="rId75" w:history="1">
              <w:r w:rsidR="00675BF3" w:rsidRPr="005D2331">
                <w:t>ST 12773/22</w:t>
              </w:r>
            </w:hyperlink>
          </w:p>
        </w:tc>
        <w:tc>
          <w:tcPr>
            <w:tcW w:w="8874" w:type="dxa"/>
            <w:gridSpan w:val="5"/>
            <w:shd w:val="clear" w:color="auto" w:fill="auto"/>
            <w:vAlign w:val="center"/>
          </w:tcPr>
          <w:p w14:paraId="2BF040CD" w14:textId="70E1DAA7" w:rsidR="00675BF3" w:rsidRPr="00675BF3" w:rsidRDefault="00675BF3" w:rsidP="00675BF3">
            <w:pPr>
              <w:rPr>
                <w:sz w:val="22"/>
                <w:szCs w:val="22"/>
                <w:lang w:val="en-GB"/>
              </w:rPr>
            </w:pPr>
            <w:r w:rsidRPr="00AA46DF">
              <w:rPr>
                <w:sz w:val="22"/>
                <w:szCs w:val="22"/>
                <w:lang w:val="en-GB"/>
              </w:rPr>
              <w:t xml:space="preserve">Proposal for a REGULATION OF THE EUROPEAN PARLIAMENT AND OF THE COUNCIL on </w:t>
            </w:r>
            <w:r w:rsidRPr="00AA46DF">
              <w:rPr>
                <w:b/>
                <w:bCs/>
                <w:sz w:val="22"/>
                <w:szCs w:val="22"/>
                <w:lang w:val="en-GB"/>
              </w:rPr>
              <w:t>nature restoration</w:t>
            </w:r>
            <w:r w:rsidRPr="00AA46DF">
              <w:rPr>
                <w:sz w:val="22"/>
                <w:szCs w:val="22"/>
                <w:lang w:val="en-GB"/>
              </w:rPr>
              <w:t xml:space="preserve"> [10607/22 + ADD 1 – COM (2022) 304 final + Annex] - Opinion on the application of the Principles of Subsidiarity and Proportionality - </w:t>
            </w:r>
            <w:r w:rsidRPr="00194A77">
              <w:rPr>
                <w:b/>
                <w:bCs/>
                <w:sz w:val="22"/>
                <w:szCs w:val="22"/>
                <w:lang w:val="en-GB"/>
              </w:rPr>
              <w:t>Swedish Riksdag</w:t>
            </w:r>
            <w:r w:rsidRPr="00194A77">
              <w:rPr>
                <w:b/>
                <w:bCs/>
                <w:sz w:val="22"/>
                <w:szCs w:val="22"/>
                <w:lang w:val="en-GB"/>
              </w:rPr>
              <w:br/>
            </w:r>
          </w:p>
        </w:tc>
      </w:tr>
      <w:tr w:rsidR="00675BF3" w:rsidRPr="00DF0154" w14:paraId="14F63D78"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28CCF11" w14:textId="6602DF34" w:rsidR="00675BF3" w:rsidRPr="005D2331" w:rsidRDefault="005063F3" w:rsidP="00675BF3">
            <w:pPr>
              <w:rPr>
                <w:sz w:val="22"/>
                <w:szCs w:val="22"/>
                <w:lang w:val="en-GB"/>
              </w:rPr>
            </w:pPr>
            <w:hyperlink r:id="rId76" w:history="1">
              <w:r w:rsidR="00675BF3" w:rsidRPr="005D2331">
                <w:t>ST 13269/22</w:t>
              </w:r>
            </w:hyperlink>
          </w:p>
        </w:tc>
        <w:tc>
          <w:tcPr>
            <w:tcW w:w="8874" w:type="dxa"/>
            <w:gridSpan w:val="5"/>
            <w:shd w:val="clear" w:color="auto" w:fill="auto"/>
            <w:vAlign w:val="center"/>
          </w:tcPr>
          <w:p w14:paraId="1EF0BFAE" w14:textId="1D96A952" w:rsidR="00675BF3" w:rsidRPr="00675BF3" w:rsidRDefault="00675BF3" w:rsidP="00675BF3">
            <w:pPr>
              <w:rPr>
                <w:sz w:val="22"/>
                <w:szCs w:val="22"/>
                <w:lang w:val="en-GB"/>
              </w:rPr>
            </w:pPr>
            <w:r w:rsidRPr="00194A77">
              <w:rPr>
                <w:sz w:val="22"/>
                <w:szCs w:val="22"/>
                <w:lang w:val="en-GB"/>
              </w:rPr>
              <w:t xml:space="preserve">Proposal for a REGULATION OF THE EUROPEAN PARLIAMENT AND OF THE COUNCIL on European </w:t>
            </w:r>
            <w:r w:rsidRPr="00194A77">
              <w:rPr>
                <w:b/>
                <w:bCs/>
                <w:sz w:val="22"/>
                <w:szCs w:val="22"/>
                <w:lang w:val="en-GB"/>
              </w:rPr>
              <w:t>Union geographical indications for wine, spirit drinks and agricultural products, and quality schemes for agricultural products</w:t>
            </w:r>
            <w:r w:rsidRPr="00194A77">
              <w:rPr>
                <w:sz w:val="22"/>
                <w:szCs w:val="22"/>
                <w:lang w:val="en-GB"/>
              </w:rPr>
              <w:t xml:space="preserve">, amending Regulations (EU) No 1308/2013, (EU) 2017/1001 and (EU) 2019/787 and repealing Regulation (EU) No 1151/2012 [7639/1/22 REV1 - COM (2022) 134 final]- Opinion on the application of the Principles of Subsidiarity and Proportionality - </w:t>
            </w:r>
            <w:r w:rsidRPr="00194A77">
              <w:rPr>
                <w:b/>
                <w:bCs/>
                <w:sz w:val="22"/>
                <w:szCs w:val="22"/>
                <w:lang w:val="en-GB"/>
              </w:rPr>
              <w:t xml:space="preserve">The Spanish Parliament </w:t>
            </w:r>
            <w:r w:rsidRPr="00194A77">
              <w:rPr>
                <w:b/>
                <w:bCs/>
                <w:sz w:val="22"/>
                <w:szCs w:val="22"/>
                <w:lang w:val="en-GB"/>
              </w:rPr>
              <w:br/>
            </w:r>
          </w:p>
        </w:tc>
      </w:tr>
    </w:tbl>
    <w:p w14:paraId="29CFC9B4" w14:textId="77777777" w:rsidR="003A2D61" w:rsidRPr="00675BF3" w:rsidRDefault="003A2D61">
      <w:pPr>
        <w:widowControl/>
        <w:rPr>
          <w:sz w:val="22"/>
          <w:szCs w:val="22"/>
          <w:lang w:val="en-GB"/>
        </w:rPr>
      </w:pPr>
    </w:p>
    <w:bookmarkEnd w:id="2"/>
    <w:p w14:paraId="2379D3F6" w14:textId="77777777" w:rsidR="003A2D61" w:rsidRPr="00675BF3" w:rsidRDefault="003A2D61">
      <w:pPr>
        <w:widowControl/>
        <w:rPr>
          <w:sz w:val="22"/>
          <w:szCs w:val="22"/>
          <w:lang w:val="en-GB"/>
        </w:rPr>
      </w:pPr>
      <w:r w:rsidRPr="00675BF3">
        <w:rPr>
          <w:sz w:val="22"/>
          <w:szCs w:val="22"/>
          <w:lang w:val="en-GB"/>
        </w:rPr>
        <w:br w:type="page"/>
      </w: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3A2D61" w:rsidRPr="000E5611" w14:paraId="15770CF3" w14:textId="77777777" w:rsidTr="00CA34AD">
        <w:tc>
          <w:tcPr>
            <w:tcW w:w="5457" w:type="dxa"/>
          </w:tcPr>
          <w:p w14:paraId="13C5487B" w14:textId="77777777" w:rsidR="003A2D61" w:rsidRPr="000E5611" w:rsidRDefault="003A2D61" w:rsidP="00CA34AD">
            <w:pPr>
              <w:tabs>
                <w:tab w:val="left" w:pos="1276"/>
              </w:tabs>
              <w:rPr>
                <w:sz w:val="22"/>
                <w:szCs w:val="22"/>
              </w:rPr>
            </w:pPr>
            <w:r w:rsidRPr="00675BF3">
              <w:rPr>
                <w:sz w:val="22"/>
                <w:szCs w:val="22"/>
                <w:lang w:val="en-GB"/>
              </w:rPr>
              <w:lastRenderedPageBreak/>
              <w:br w:type="page"/>
            </w:r>
            <w:r w:rsidRPr="000E5611">
              <w:rPr>
                <w:sz w:val="22"/>
                <w:szCs w:val="22"/>
              </w:rPr>
              <w:t>MILJÖ- OCH JORDBRUKSUTSKOTTET</w:t>
            </w:r>
          </w:p>
        </w:tc>
        <w:tc>
          <w:tcPr>
            <w:tcW w:w="1843" w:type="dxa"/>
          </w:tcPr>
          <w:p w14:paraId="127A4E6F" w14:textId="77777777" w:rsidR="003A2D61" w:rsidRPr="000E5611" w:rsidRDefault="003A2D61" w:rsidP="00CA34AD">
            <w:pPr>
              <w:tabs>
                <w:tab w:val="left" w:pos="1276"/>
              </w:tabs>
              <w:rPr>
                <w:sz w:val="22"/>
                <w:szCs w:val="22"/>
              </w:rPr>
            </w:pPr>
          </w:p>
        </w:tc>
        <w:tc>
          <w:tcPr>
            <w:tcW w:w="1701" w:type="dxa"/>
          </w:tcPr>
          <w:p w14:paraId="791FB131" w14:textId="66023488" w:rsidR="003A2D61" w:rsidRPr="000E5611" w:rsidRDefault="003A2D61" w:rsidP="00CA34AD">
            <w:pPr>
              <w:tabs>
                <w:tab w:val="left" w:pos="1276"/>
              </w:tabs>
              <w:ind w:right="-212"/>
              <w:rPr>
                <w:b/>
                <w:sz w:val="22"/>
                <w:szCs w:val="22"/>
              </w:rPr>
            </w:pPr>
            <w:r w:rsidRPr="000E5611">
              <w:rPr>
                <w:b/>
                <w:sz w:val="22"/>
                <w:szCs w:val="22"/>
              </w:rPr>
              <w:t xml:space="preserve">Bilaga </w:t>
            </w:r>
            <w:r w:rsidR="00F4387B">
              <w:rPr>
                <w:b/>
                <w:sz w:val="22"/>
                <w:szCs w:val="22"/>
              </w:rPr>
              <w:t>5</w:t>
            </w:r>
          </w:p>
          <w:p w14:paraId="4FDD9FD5" w14:textId="77777777" w:rsidR="003A2D61" w:rsidRPr="000E5611" w:rsidRDefault="003A2D61" w:rsidP="00CA34AD">
            <w:pPr>
              <w:tabs>
                <w:tab w:val="left" w:pos="1276"/>
              </w:tabs>
              <w:ind w:right="-212"/>
              <w:rPr>
                <w:sz w:val="22"/>
                <w:szCs w:val="22"/>
              </w:rPr>
            </w:pPr>
            <w:r w:rsidRPr="000E5611">
              <w:rPr>
                <w:sz w:val="22"/>
                <w:szCs w:val="22"/>
              </w:rPr>
              <w:t>till protokoll</w:t>
            </w:r>
          </w:p>
          <w:p w14:paraId="0449921D" w14:textId="7D70B591" w:rsidR="003A2D61" w:rsidRPr="000E5611" w:rsidRDefault="003A2D61" w:rsidP="00CA34AD">
            <w:pPr>
              <w:tabs>
                <w:tab w:val="left" w:pos="1276"/>
              </w:tabs>
              <w:ind w:right="-212"/>
              <w:rPr>
                <w:b/>
                <w:sz w:val="22"/>
                <w:szCs w:val="22"/>
              </w:rPr>
            </w:pPr>
            <w:r w:rsidRPr="000E5611">
              <w:rPr>
                <w:sz w:val="22"/>
                <w:szCs w:val="22"/>
              </w:rPr>
              <w:t>202</w:t>
            </w:r>
            <w:r w:rsidR="00F4387B">
              <w:rPr>
                <w:sz w:val="22"/>
                <w:szCs w:val="22"/>
              </w:rPr>
              <w:t>2</w:t>
            </w:r>
            <w:r w:rsidRPr="000E5611">
              <w:rPr>
                <w:sz w:val="22"/>
                <w:szCs w:val="22"/>
              </w:rPr>
              <w:t>/2</w:t>
            </w:r>
            <w:r w:rsidR="00F4387B">
              <w:rPr>
                <w:sz w:val="22"/>
                <w:szCs w:val="22"/>
              </w:rPr>
              <w:t>3</w:t>
            </w:r>
            <w:r w:rsidRPr="000E5611">
              <w:rPr>
                <w:sz w:val="22"/>
                <w:szCs w:val="22"/>
              </w:rPr>
              <w:t>:</w:t>
            </w:r>
            <w:r w:rsidR="003539A5">
              <w:rPr>
                <w:sz w:val="22"/>
                <w:szCs w:val="22"/>
              </w:rPr>
              <w:t>2</w:t>
            </w:r>
          </w:p>
        </w:tc>
      </w:tr>
    </w:tbl>
    <w:p w14:paraId="1338726A" w14:textId="77777777" w:rsidR="003A2D61" w:rsidRPr="000E5611" w:rsidRDefault="003A2D61" w:rsidP="003A2D61">
      <w:pPr>
        <w:tabs>
          <w:tab w:val="left" w:pos="142"/>
          <w:tab w:val="left" w:pos="7655"/>
        </w:tabs>
        <w:ind w:right="-568"/>
        <w:rPr>
          <w:sz w:val="22"/>
          <w:szCs w:val="22"/>
        </w:rPr>
      </w:pPr>
    </w:p>
    <w:tbl>
      <w:tblPr>
        <w:tblW w:w="9142" w:type="dxa"/>
        <w:tblLayout w:type="fixed"/>
        <w:tblCellMar>
          <w:left w:w="70" w:type="dxa"/>
          <w:right w:w="70" w:type="dxa"/>
        </w:tblCellMar>
        <w:tblLook w:val="0000" w:firstRow="0" w:lastRow="0" w:firstColumn="0" w:lastColumn="0" w:noHBand="0" w:noVBand="0"/>
      </w:tblPr>
      <w:tblGrid>
        <w:gridCol w:w="2197"/>
        <w:gridCol w:w="6945"/>
      </w:tblGrid>
      <w:tr w:rsidR="003A2D61" w:rsidRPr="000E5611" w14:paraId="7842B092" w14:textId="77777777" w:rsidTr="00CA34AD">
        <w:trPr>
          <w:trHeight w:val="614"/>
        </w:trPr>
        <w:tc>
          <w:tcPr>
            <w:tcW w:w="2197" w:type="dxa"/>
          </w:tcPr>
          <w:p w14:paraId="7789FF75" w14:textId="77777777" w:rsidR="003A2D61" w:rsidRPr="000E5611" w:rsidRDefault="003A2D61" w:rsidP="00CA34AD">
            <w:pPr>
              <w:tabs>
                <w:tab w:val="left" w:pos="142"/>
                <w:tab w:val="left" w:pos="7655"/>
              </w:tabs>
              <w:ind w:right="-568"/>
              <w:rPr>
                <w:b/>
                <w:i/>
                <w:sz w:val="22"/>
                <w:szCs w:val="22"/>
              </w:rPr>
            </w:pPr>
          </w:p>
        </w:tc>
        <w:tc>
          <w:tcPr>
            <w:tcW w:w="6945" w:type="dxa"/>
          </w:tcPr>
          <w:p w14:paraId="041A1921" w14:textId="77777777" w:rsidR="003A2D61" w:rsidRPr="000E5611" w:rsidRDefault="003A2D61" w:rsidP="00CA34AD">
            <w:pPr>
              <w:tabs>
                <w:tab w:val="left" w:pos="142"/>
                <w:tab w:val="left" w:pos="7655"/>
              </w:tabs>
              <w:ind w:right="-568"/>
              <w:rPr>
                <w:i/>
                <w:sz w:val="22"/>
                <w:szCs w:val="22"/>
              </w:rPr>
            </w:pPr>
            <w:r w:rsidRPr="000E5611">
              <w:rPr>
                <w:i/>
                <w:sz w:val="22"/>
                <w:szCs w:val="22"/>
              </w:rPr>
              <w:t>Inkomna skrivelser</w:t>
            </w:r>
          </w:p>
        </w:tc>
      </w:tr>
      <w:tr w:rsidR="003A2D61" w:rsidRPr="000E5611" w14:paraId="61E93CE6" w14:textId="77777777" w:rsidTr="00CA34AD">
        <w:trPr>
          <w:trHeight w:val="594"/>
        </w:trPr>
        <w:tc>
          <w:tcPr>
            <w:tcW w:w="2197" w:type="dxa"/>
          </w:tcPr>
          <w:p w14:paraId="317CC9F9" w14:textId="77777777" w:rsidR="003A2D61" w:rsidRPr="000E5611" w:rsidRDefault="003A2D61" w:rsidP="00CA34AD">
            <w:pPr>
              <w:tabs>
                <w:tab w:val="left" w:pos="142"/>
                <w:tab w:val="left" w:pos="7655"/>
              </w:tabs>
              <w:ind w:right="-568"/>
              <w:rPr>
                <w:i/>
                <w:sz w:val="22"/>
                <w:szCs w:val="22"/>
              </w:rPr>
            </w:pPr>
            <w:r w:rsidRPr="000E5611">
              <w:rPr>
                <w:i/>
                <w:sz w:val="22"/>
                <w:szCs w:val="22"/>
              </w:rPr>
              <w:t>Dnr</w:t>
            </w:r>
          </w:p>
        </w:tc>
        <w:tc>
          <w:tcPr>
            <w:tcW w:w="6945" w:type="dxa"/>
          </w:tcPr>
          <w:p w14:paraId="1B5D35E4" w14:textId="3791D1A4" w:rsidR="003A2D61" w:rsidRPr="000E5611" w:rsidRDefault="00675BF3" w:rsidP="00CA34AD">
            <w:pPr>
              <w:tabs>
                <w:tab w:val="left" w:pos="142"/>
                <w:tab w:val="left" w:pos="7655"/>
              </w:tabs>
              <w:ind w:right="-568"/>
              <w:rPr>
                <w:b/>
                <w:i/>
                <w:sz w:val="22"/>
                <w:szCs w:val="22"/>
              </w:rPr>
            </w:pPr>
            <w:r>
              <w:rPr>
                <w:i/>
                <w:sz w:val="22"/>
                <w:szCs w:val="22"/>
              </w:rPr>
              <w:t>Ä</w:t>
            </w:r>
            <w:r w:rsidR="003A2D61" w:rsidRPr="000E5611">
              <w:rPr>
                <w:i/>
                <w:sz w:val="22"/>
                <w:szCs w:val="22"/>
              </w:rPr>
              <w:t>mne</w:t>
            </w:r>
            <w:r w:rsidR="005D2331">
              <w:rPr>
                <w:i/>
                <w:sz w:val="22"/>
                <w:szCs w:val="22"/>
              </w:rPr>
              <w:t xml:space="preserve"> </w:t>
            </w:r>
            <w:r>
              <w:rPr>
                <w:i/>
                <w:sz w:val="22"/>
                <w:szCs w:val="22"/>
              </w:rPr>
              <w:t>/ a</w:t>
            </w:r>
            <w:r w:rsidRPr="000E5611">
              <w:rPr>
                <w:i/>
                <w:sz w:val="22"/>
                <w:szCs w:val="22"/>
              </w:rPr>
              <w:t xml:space="preserve">vsändare </w:t>
            </w:r>
          </w:p>
        </w:tc>
      </w:tr>
      <w:tr w:rsidR="003A2D61" w:rsidRPr="000E5611" w14:paraId="6C398837" w14:textId="77777777" w:rsidTr="00CA34AD">
        <w:trPr>
          <w:trHeight w:val="660"/>
        </w:trPr>
        <w:tc>
          <w:tcPr>
            <w:tcW w:w="2197" w:type="dxa"/>
          </w:tcPr>
          <w:p w14:paraId="4BD231EC" w14:textId="1FBE0AE2" w:rsidR="003A2D61" w:rsidRPr="000E5611" w:rsidRDefault="00F037F9" w:rsidP="00CA34AD">
            <w:pPr>
              <w:tabs>
                <w:tab w:val="left" w:pos="142"/>
                <w:tab w:val="left" w:pos="7655"/>
              </w:tabs>
              <w:ind w:right="-568"/>
              <w:rPr>
                <w:sz w:val="22"/>
                <w:szCs w:val="22"/>
                <w:lang w:val="en-US"/>
              </w:rPr>
            </w:pPr>
            <w:r>
              <w:rPr>
                <w:sz w:val="22"/>
                <w:szCs w:val="22"/>
                <w:lang w:val="en-US"/>
              </w:rPr>
              <w:t>2021/22:2294</w:t>
            </w:r>
          </w:p>
        </w:tc>
        <w:tc>
          <w:tcPr>
            <w:tcW w:w="6945" w:type="dxa"/>
          </w:tcPr>
          <w:p w14:paraId="59D219ED" w14:textId="772E5782" w:rsidR="003A2D61" w:rsidRPr="000E5611" w:rsidRDefault="00F037F9" w:rsidP="00CA34AD">
            <w:pPr>
              <w:tabs>
                <w:tab w:val="left" w:pos="142"/>
                <w:tab w:val="left" w:pos="7655"/>
              </w:tabs>
              <w:ind w:right="-568"/>
              <w:rPr>
                <w:sz w:val="22"/>
                <w:szCs w:val="22"/>
              </w:rPr>
            </w:pPr>
            <w:r>
              <w:t xml:space="preserve">Stämmouttalande från Jägarnas Riksförbund / </w:t>
            </w:r>
            <w:r w:rsidRPr="00F037F9">
              <w:t>Jägarnas Riksförbund</w:t>
            </w:r>
          </w:p>
        </w:tc>
      </w:tr>
      <w:tr w:rsidR="00F037F9" w:rsidRPr="000E5611" w14:paraId="01F2BB0A" w14:textId="77777777" w:rsidTr="00CA34AD">
        <w:trPr>
          <w:trHeight w:val="660"/>
        </w:trPr>
        <w:tc>
          <w:tcPr>
            <w:tcW w:w="2197" w:type="dxa"/>
          </w:tcPr>
          <w:p w14:paraId="1341FF89" w14:textId="1D9EAA01" w:rsidR="00F037F9" w:rsidRDefault="00F037F9" w:rsidP="00CA34AD">
            <w:pPr>
              <w:tabs>
                <w:tab w:val="left" w:pos="142"/>
                <w:tab w:val="left" w:pos="7655"/>
              </w:tabs>
              <w:ind w:right="-568"/>
              <w:rPr>
                <w:sz w:val="22"/>
                <w:szCs w:val="22"/>
                <w:lang w:val="en-US"/>
              </w:rPr>
            </w:pPr>
            <w:r>
              <w:rPr>
                <w:sz w:val="22"/>
                <w:szCs w:val="22"/>
                <w:lang w:val="en-US"/>
              </w:rPr>
              <w:t>2021/22:2490</w:t>
            </w:r>
          </w:p>
        </w:tc>
        <w:tc>
          <w:tcPr>
            <w:tcW w:w="6945" w:type="dxa"/>
          </w:tcPr>
          <w:p w14:paraId="65F4F89E" w14:textId="2D12831D" w:rsidR="00F037F9" w:rsidRDefault="00F037F9" w:rsidP="00CA34AD">
            <w:pPr>
              <w:tabs>
                <w:tab w:val="left" w:pos="142"/>
                <w:tab w:val="left" w:pos="7655"/>
              </w:tabs>
              <w:ind w:right="-568"/>
            </w:pPr>
            <w:r>
              <w:t>Ål /</w:t>
            </w:r>
            <w:r w:rsidRPr="00F037F9">
              <w:t xml:space="preserve">Carl-Johan Öving </w:t>
            </w:r>
          </w:p>
        </w:tc>
      </w:tr>
      <w:tr w:rsidR="00F037F9" w:rsidRPr="000E5611" w14:paraId="7CFA5612" w14:textId="77777777" w:rsidTr="00CA34AD">
        <w:trPr>
          <w:trHeight w:val="660"/>
        </w:trPr>
        <w:tc>
          <w:tcPr>
            <w:tcW w:w="2197" w:type="dxa"/>
          </w:tcPr>
          <w:p w14:paraId="0EDA8941" w14:textId="66A421D4" w:rsidR="00F037F9" w:rsidRDefault="00F037F9" w:rsidP="00CA34AD">
            <w:pPr>
              <w:tabs>
                <w:tab w:val="left" w:pos="142"/>
                <w:tab w:val="left" w:pos="7655"/>
              </w:tabs>
              <w:ind w:right="-568"/>
              <w:rPr>
                <w:sz w:val="22"/>
                <w:szCs w:val="22"/>
                <w:lang w:val="en-US"/>
              </w:rPr>
            </w:pPr>
            <w:r>
              <w:rPr>
                <w:sz w:val="22"/>
                <w:szCs w:val="22"/>
                <w:lang w:val="en-US"/>
              </w:rPr>
              <w:t>2021/22:2537</w:t>
            </w:r>
          </w:p>
        </w:tc>
        <w:tc>
          <w:tcPr>
            <w:tcW w:w="6945" w:type="dxa"/>
          </w:tcPr>
          <w:p w14:paraId="70D02A79" w14:textId="67A9FC5A" w:rsidR="00F037F9" w:rsidRDefault="00F037F9" w:rsidP="00CA34AD">
            <w:pPr>
              <w:tabs>
                <w:tab w:val="left" w:pos="142"/>
                <w:tab w:val="left" w:pos="7655"/>
              </w:tabs>
              <w:ind w:right="-568"/>
            </w:pPr>
            <w:r>
              <w:t xml:space="preserve">Brådskande behov av åtgärder för stärkt konkurrenskraft för Sveriges gröna basnäringar / </w:t>
            </w:r>
            <w:r w:rsidRPr="00F037F9">
              <w:t>Småföretagarnas Riksförbund</w:t>
            </w:r>
          </w:p>
        </w:tc>
      </w:tr>
      <w:tr w:rsidR="00F037F9" w:rsidRPr="000E5611" w14:paraId="792CC2CB" w14:textId="77777777" w:rsidTr="00CA34AD">
        <w:trPr>
          <w:trHeight w:val="660"/>
        </w:trPr>
        <w:tc>
          <w:tcPr>
            <w:tcW w:w="2197" w:type="dxa"/>
          </w:tcPr>
          <w:p w14:paraId="70D260F9" w14:textId="3A10E3A0" w:rsidR="00F037F9" w:rsidRDefault="00F037F9" w:rsidP="00CA34AD">
            <w:pPr>
              <w:tabs>
                <w:tab w:val="left" w:pos="142"/>
                <w:tab w:val="left" w:pos="7655"/>
              </w:tabs>
              <w:ind w:right="-568"/>
              <w:rPr>
                <w:sz w:val="22"/>
                <w:szCs w:val="22"/>
                <w:lang w:val="en-US"/>
              </w:rPr>
            </w:pPr>
            <w:r>
              <w:rPr>
                <w:sz w:val="22"/>
                <w:szCs w:val="22"/>
                <w:lang w:val="en-US"/>
              </w:rPr>
              <w:t>2021/22:2691</w:t>
            </w:r>
          </w:p>
        </w:tc>
        <w:tc>
          <w:tcPr>
            <w:tcW w:w="6945" w:type="dxa"/>
          </w:tcPr>
          <w:p w14:paraId="51DF28CB" w14:textId="455E65DC" w:rsidR="00F037F9" w:rsidRDefault="00F037F9" w:rsidP="00CA34AD">
            <w:pPr>
              <w:tabs>
                <w:tab w:val="left" w:pos="142"/>
                <w:tab w:val="left" w:pos="7655"/>
              </w:tabs>
              <w:ind w:right="-568"/>
            </w:pPr>
            <w:r>
              <w:t xml:space="preserve">Skrivelse om djurplågeri / </w:t>
            </w:r>
            <w:r w:rsidRPr="00F037F9">
              <w:t>A. Flack</w:t>
            </w:r>
          </w:p>
        </w:tc>
      </w:tr>
      <w:tr w:rsidR="000E4032" w:rsidRPr="000E5611" w14:paraId="659DF7E4" w14:textId="77777777" w:rsidTr="00CA34AD">
        <w:trPr>
          <w:trHeight w:val="660"/>
        </w:trPr>
        <w:tc>
          <w:tcPr>
            <w:tcW w:w="2197" w:type="dxa"/>
          </w:tcPr>
          <w:p w14:paraId="02D0BB21" w14:textId="5939144F" w:rsidR="000E4032" w:rsidRDefault="000E4032" w:rsidP="00CA34AD">
            <w:pPr>
              <w:tabs>
                <w:tab w:val="left" w:pos="142"/>
                <w:tab w:val="left" w:pos="7655"/>
              </w:tabs>
              <w:ind w:right="-568"/>
              <w:rPr>
                <w:sz w:val="22"/>
                <w:szCs w:val="22"/>
                <w:lang w:val="en-US"/>
              </w:rPr>
            </w:pPr>
            <w:r>
              <w:rPr>
                <w:sz w:val="22"/>
                <w:szCs w:val="22"/>
                <w:lang w:val="en-US"/>
              </w:rPr>
              <w:t>2022/23:37</w:t>
            </w:r>
          </w:p>
        </w:tc>
        <w:tc>
          <w:tcPr>
            <w:tcW w:w="6945" w:type="dxa"/>
          </w:tcPr>
          <w:p w14:paraId="1CA79F7B" w14:textId="2F94E48D" w:rsidR="000E4032" w:rsidRDefault="000E4032" w:rsidP="00CA34AD">
            <w:pPr>
              <w:tabs>
                <w:tab w:val="left" w:pos="142"/>
                <w:tab w:val="left" w:pos="7655"/>
              </w:tabs>
              <w:ind w:right="-568"/>
            </w:pPr>
            <w:r>
              <w:t xml:space="preserve">Information / </w:t>
            </w:r>
            <w:r w:rsidRPr="000E4032">
              <w:t>Jan Fristeg</w:t>
            </w:r>
          </w:p>
        </w:tc>
      </w:tr>
      <w:tr w:rsidR="00EB4A34" w:rsidRPr="000E5611" w14:paraId="03E43D99" w14:textId="77777777" w:rsidTr="00CA34AD">
        <w:trPr>
          <w:trHeight w:val="660"/>
        </w:trPr>
        <w:tc>
          <w:tcPr>
            <w:tcW w:w="2197" w:type="dxa"/>
          </w:tcPr>
          <w:p w14:paraId="51E6C4EA" w14:textId="64B2BC18" w:rsidR="00EB4A34" w:rsidRDefault="00EB4A34" w:rsidP="00CA34AD">
            <w:pPr>
              <w:tabs>
                <w:tab w:val="left" w:pos="142"/>
                <w:tab w:val="left" w:pos="7655"/>
              </w:tabs>
              <w:ind w:right="-568"/>
              <w:rPr>
                <w:sz w:val="22"/>
                <w:szCs w:val="22"/>
                <w:lang w:val="en-US"/>
              </w:rPr>
            </w:pPr>
            <w:r>
              <w:rPr>
                <w:sz w:val="22"/>
                <w:szCs w:val="22"/>
                <w:lang w:val="en-US"/>
              </w:rPr>
              <w:t>2022/23:311</w:t>
            </w:r>
          </w:p>
        </w:tc>
        <w:tc>
          <w:tcPr>
            <w:tcW w:w="6945" w:type="dxa"/>
          </w:tcPr>
          <w:p w14:paraId="1D1D30C2" w14:textId="0940F059" w:rsidR="00EB4A34" w:rsidRDefault="00EB4A34" w:rsidP="00CA34AD">
            <w:pPr>
              <w:tabs>
                <w:tab w:val="left" w:pos="142"/>
                <w:tab w:val="left" w:pos="7655"/>
              </w:tabs>
              <w:ind w:right="-568"/>
            </w:pPr>
            <w:r>
              <w:t xml:space="preserve">Havsbaserade vindkraftverk / </w:t>
            </w:r>
            <w:r w:rsidRPr="00EB4A34">
              <w:t>Roland E</w:t>
            </w:r>
            <w:r>
              <w:t>k</w:t>
            </w:r>
          </w:p>
        </w:tc>
      </w:tr>
    </w:tbl>
    <w:p w14:paraId="762B8E21" w14:textId="77777777" w:rsidR="003A2D61" w:rsidRPr="000E5611" w:rsidRDefault="003A2D61" w:rsidP="003A2D61">
      <w:pPr>
        <w:tabs>
          <w:tab w:val="left" w:pos="426"/>
          <w:tab w:val="left" w:pos="3261"/>
          <w:tab w:val="left" w:pos="6804"/>
        </w:tabs>
        <w:rPr>
          <w:sz w:val="22"/>
          <w:szCs w:val="22"/>
        </w:rPr>
      </w:pPr>
    </w:p>
    <w:p w14:paraId="7FF87468" w14:textId="77777777" w:rsidR="003A2D61" w:rsidRPr="000E5611" w:rsidRDefault="003A2D61" w:rsidP="003A2D61">
      <w:pPr>
        <w:rPr>
          <w:sz w:val="22"/>
          <w:szCs w:val="22"/>
        </w:rPr>
      </w:pPr>
    </w:p>
    <w:p w14:paraId="7996B3B0" w14:textId="77777777" w:rsidR="00D1794C" w:rsidRPr="000E5611" w:rsidRDefault="00D1794C">
      <w:pPr>
        <w:widowControl/>
        <w:rPr>
          <w:sz w:val="22"/>
          <w:szCs w:val="22"/>
        </w:rPr>
      </w:pPr>
    </w:p>
    <w:sectPr w:rsidR="00D1794C" w:rsidRPr="000E5611"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C8848AF"/>
    <w:multiLevelType w:val="hybridMultilevel"/>
    <w:tmpl w:val="4ECC618E"/>
    <w:lvl w:ilvl="0" w:tplc="0EB23984">
      <w:start w:val="1"/>
      <w:numFmt w:val="bullet"/>
      <w:lvlText w:val=""/>
      <w:lvlJc w:val="left"/>
      <w:pPr>
        <w:ind w:left="720" w:hanging="360"/>
      </w:pPr>
      <w:rPr>
        <w:rFonts w:ascii="Symbol" w:hAnsi="Symbol" w:hint="default"/>
        <w:color w:val="000000"/>
      </w:rPr>
    </w:lvl>
    <w:lvl w:ilvl="1" w:tplc="445499F4">
      <w:start w:val="1"/>
      <w:numFmt w:val="bullet"/>
      <w:lvlText w:val="o"/>
      <w:lvlJc w:val="left"/>
      <w:pPr>
        <w:ind w:left="1440" w:hanging="360"/>
      </w:pPr>
      <w:rPr>
        <w:rFonts w:ascii="Courier New" w:hAnsi="Courier New" w:cs="Courier New" w:hint="default"/>
        <w:color w:val="000000"/>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1755C"/>
    <w:rsid w:val="00022E0C"/>
    <w:rsid w:val="00033928"/>
    <w:rsid w:val="000340CE"/>
    <w:rsid w:val="0003479D"/>
    <w:rsid w:val="00034F00"/>
    <w:rsid w:val="00036F82"/>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E402E"/>
    <w:rsid w:val="000E4032"/>
    <w:rsid w:val="000E5611"/>
    <w:rsid w:val="000E777E"/>
    <w:rsid w:val="000F0B32"/>
    <w:rsid w:val="000F6792"/>
    <w:rsid w:val="000F7D9B"/>
    <w:rsid w:val="00102D5B"/>
    <w:rsid w:val="00102F93"/>
    <w:rsid w:val="001107C9"/>
    <w:rsid w:val="00111773"/>
    <w:rsid w:val="0011495B"/>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90D5B"/>
    <w:rsid w:val="001A198D"/>
    <w:rsid w:val="001A35A0"/>
    <w:rsid w:val="001A5757"/>
    <w:rsid w:val="001D7100"/>
    <w:rsid w:val="001E1F27"/>
    <w:rsid w:val="001F0044"/>
    <w:rsid w:val="001F3F30"/>
    <w:rsid w:val="001F641B"/>
    <w:rsid w:val="00200F8B"/>
    <w:rsid w:val="00201695"/>
    <w:rsid w:val="0021176A"/>
    <w:rsid w:val="002127BD"/>
    <w:rsid w:val="00212A8D"/>
    <w:rsid w:val="00214162"/>
    <w:rsid w:val="00216C70"/>
    <w:rsid w:val="002241EF"/>
    <w:rsid w:val="0023053D"/>
    <w:rsid w:val="00231475"/>
    <w:rsid w:val="0023528F"/>
    <w:rsid w:val="002378CC"/>
    <w:rsid w:val="0025203B"/>
    <w:rsid w:val="00254C5A"/>
    <w:rsid w:val="0025725D"/>
    <w:rsid w:val="00267A73"/>
    <w:rsid w:val="002830F4"/>
    <w:rsid w:val="00286C79"/>
    <w:rsid w:val="00287223"/>
    <w:rsid w:val="002968EE"/>
    <w:rsid w:val="002A14AC"/>
    <w:rsid w:val="002A3C5F"/>
    <w:rsid w:val="002C16F8"/>
    <w:rsid w:val="002C1D92"/>
    <w:rsid w:val="002C5FED"/>
    <w:rsid w:val="002D06F9"/>
    <w:rsid w:val="002D20B8"/>
    <w:rsid w:val="002D5CC4"/>
    <w:rsid w:val="002E536D"/>
    <w:rsid w:val="002F25FD"/>
    <w:rsid w:val="002F3181"/>
    <w:rsid w:val="00302E69"/>
    <w:rsid w:val="00302EBE"/>
    <w:rsid w:val="00305501"/>
    <w:rsid w:val="003100F5"/>
    <w:rsid w:val="00311886"/>
    <w:rsid w:val="003127B4"/>
    <w:rsid w:val="003220D7"/>
    <w:rsid w:val="00322167"/>
    <w:rsid w:val="00332408"/>
    <w:rsid w:val="00335837"/>
    <w:rsid w:val="00335938"/>
    <w:rsid w:val="00342CC6"/>
    <w:rsid w:val="003443ED"/>
    <w:rsid w:val="0034455C"/>
    <w:rsid w:val="003539A5"/>
    <w:rsid w:val="003633D5"/>
    <w:rsid w:val="00374911"/>
    <w:rsid w:val="00381298"/>
    <w:rsid w:val="00384217"/>
    <w:rsid w:val="00387440"/>
    <w:rsid w:val="003941CA"/>
    <w:rsid w:val="00395EBD"/>
    <w:rsid w:val="00396766"/>
    <w:rsid w:val="003A006F"/>
    <w:rsid w:val="003A2D61"/>
    <w:rsid w:val="003B009D"/>
    <w:rsid w:val="003B57EC"/>
    <w:rsid w:val="003B70D3"/>
    <w:rsid w:val="003E21B4"/>
    <w:rsid w:val="003E2DA5"/>
    <w:rsid w:val="003F5018"/>
    <w:rsid w:val="003F7963"/>
    <w:rsid w:val="0040164F"/>
    <w:rsid w:val="00402A6F"/>
    <w:rsid w:val="00405162"/>
    <w:rsid w:val="00406684"/>
    <w:rsid w:val="004072D7"/>
    <w:rsid w:val="004133FE"/>
    <w:rsid w:val="00416E51"/>
    <w:rsid w:val="004170A0"/>
    <w:rsid w:val="00417CF8"/>
    <w:rsid w:val="00420D39"/>
    <w:rsid w:val="004310CA"/>
    <w:rsid w:val="00435106"/>
    <w:rsid w:val="00440E5D"/>
    <w:rsid w:val="00451DB7"/>
    <w:rsid w:val="00463E6E"/>
    <w:rsid w:val="00470F4B"/>
    <w:rsid w:val="004763AE"/>
    <w:rsid w:val="0047654D"/>
    <w:rsid w:val="00481A80"/>
    <w:rsid w:val="00481AE3"/>
    <w:rsid w:val="00482D9A"/>
    <w:rsid w:val="00485C5B"/>
    <w:rsid w:val="004945A7"/>
    <w:rsid w:val="004A5400"/>
    <w:rsid w:val="004B1E7E"/>
    <w:rsid w:val="004C58F4"/>
    <w:rsid w:val="004C7BEC"/>
    <w:rsid w:val="004D6725"/>
    <w:rsid w:val="004E030E"/>
    <w:rsid w:val="004E0E27"/>
    <w:rsid w:val="004E4C8B"/>
    <w:rsid w:val="004E6FAA"/>
    <w:rsid w:val="004E7DCE"/>
    <w:rsid w:val="00501F97"/>
    <w:rsid w:val="00505A58"/>
    <w:rsid w:val="005063F3"/>
    <w:rsid w:val="005118EF"/>
    <w:rsid w:val="00512799"/>
    <w:rsid w:val="0051377A"/>
    <w:rsid w:val="00515AC5"/>
    <w:rsid w:val="00523D80"/>
    <w:rsid w:val="005249C1"/>
    <w:rsid w:val="00530BD4"/>
    <w:rsid w:val="00531E03"/>
    <w:rsid w:val="0055441A"/>
    <w:rsid w:val="005654CA"/>
    <w:rsid w:val="00573E17"/>
    <w:rsid w:val="00573F9E"/>
    <w:rsid w:val="00575332"/>
    <w:rsid w:val="005855D5"/>
    <w:rsid w:val="005957E5"/>
    <w:rsid w:val="005A3E8B"/>
    <w:rsid w:val="005B0CFF"/>
    <w:rsid w:val="005B1B2C"/>
    <w:rsid w:val="005D2331"/>
    <w:rsid w:val="005D2E63"/>
    <w:rsid w:val="005D7C2B"/>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BF3"/>
    <w:rsid w:val="00675F6F"/>
    <w:rsid w:val="0069597E"/>
    <w:rsid w:val="006A63A7"/>
    <w:rsid w:val="006B1CE5"/>
    <w:rsid w:val="006B3E12"/>
    <w:rsid w:val="006C1EB7"/>
    <w:rsid w:val="006D05CF"/>
    <w:rsid w:val="006D312E"/>
    <w:rsid w:val="006D4530"/>
    <w:rsid w:val="006D5F8F"/>
    <w:rsid w:val="006E15D9"/>
    <w:rsid w:val="006F4672"/>
    <w:rsid w:val="00701DE5"/>
    <w:rsid w:val="007027D6"/>
    <w:rsid w:val="00704D64"/>
    <w:rsid w:val="00716686"/>
    <w:rsid w:val="00721C53"/>
    <w:rsid w:val="007453FF"/>
    <w:rsid w:val="00754C4A"/>
    <w:rsid w:val="007555BE"/>
    <w:rsid w:val="00762508"/>
    <w:rsid w:val="007719E4"/>
    <w:rsid w:val="0077566F"/>
    <w:rsid w:val="00783165"/>
    <w:rsid w:val="00796426"/>
    <w:rsid w:val="007A1132"/>
    <w:rsid w:val="007B1F72"/>
    <w:rsid w:val="007B26F0"/>
    <w:rsid w:val="007C286F"/>
    <w:rsid w:val="007E0E95"/>
    <w:rsid w:val="007E14E2"/>
    <w:rsid w:val="007F12BB"/>
    <w:rsid w:val="007F7A91"/>
    <w:rsid w:val="00800F79"/>
    <w:rsid w:val="008032FE"/>
    <w:rsid w:val="008072FF"/>
    <w:rsid w:val="008124A2"/>
    <w:rsid w:val="00821792"/>
    <w:rsid w:val="00831BD1"/>
    <w:rsid w:val="00834E22"/>
    <w:rsid w:val="0084464A"/>
    <w:rsid w:val="008458B4"/>
    <w:rsid w:val="008504EB"/>
    <w:rsid w:val="00856389"/>
    <w:rsid w:val="00865092"/>
    <w:rsid w:val="00865C85"/>
    <w:rsid w:val="008856C5"/>
    <w:rsid w:val="00886349"/>
    <w:rsid w:val="00894936"/>
    <w:rsid w:val="0089673E"/>
    <w:rsid w:val="008A28BD"/>
    <w:rsid w:val="008A2C1B"/>
    <w:rsid w:val="008B37B5"/>
    <w:rsid w:val="008B5472"/>
    <w:rsid w:val="008B5D35"/>
    <w:rsid w:val="008B7CC5"/>
    <w:rsid w:val="008C0FEE"/>
    <w:rsid w:val="008C2D5B"/>
    <w:rsid w:val="008C3780"/>
    <w:rsid w:val="008D1260"/>
    <w:rsid w:val="008D692B"/>
    <w:rsid w:val="008E1806"/>
    <w:rsid w:val="008E1864"/>
    <w:rsid w:val="008E6B40"/>
    <w:rsid w:val="008F4883"/>
    <w:rsid w:val="008F4D6D"/>
    <w:rsid w:val="00911B90"/>
    <w:rsid w:val="009123AE"/>
    <w:rsid w:val="00914C38"/>
    <w:rsid w:val="00921E40"/>
    <w:rsid w:val="009222A6"/>
    <w:rsid w:val="00922EB0"/>
    <w:rsid w:val="009442D4"/>
    <w:rsid w:val="00952893"/>
    <w:rsid w:val="00955CA2"/>
    <w:rsid w:val="009653D4"/>
    <w:rsid w:val="00965803"/>
    <w:rsid w:val="009802CA"/>
    <w:rsid w:val="00980A86"/>
    <w:rsid w:val="009823FA"/>
    <w:rsid w:val="009843D0"/>
    <w:rsid w:val="00991550"/>
    <w:rsid w:val="00994906"/>
    <w:rsid w:val="00994C8B"/>
    <w:rsid w:val="00996E2F"/>
    <w:rsid w:val="009A0C25"/>
    <w:rsid w:val="009B0A47"/>
    <w:rsid w:val="009B1CDF"/>
    <w:rsid w:val="009B1EEE"/>
    <w:rsid w:val="009B38A7"/>
    <w:rsid w:val="009C0C9D"/>
    <w:rsid w:val="009D2985"/>
    <w:rsid w:val="009D4D1A"/>
    <w:rsid w:val="009D6236"/>
    <w:rsid w:val="009E0D7F"/>
    <w:rsid w:val="009E1E6E"/>
    <w:rsid w:val="009E2FEF"/>
    <w:rsid w:val="009E3810"/>
    <w:rsid w:val="009F1689"/>
    <w:rsid w:val="00A03943"/>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70B0"/>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F0D09"/>
    <w:rsid w:val="00BF17F3"/>
    <w:rsid w:val="00C013F6"/>
    <w:rsid w:val="00C11E5F"/>
    <w:rsid w:val="00C14E29"/>
    <w:rsid w:val="00C20B9F"/>
    <w:rsid w:val="00C20F78"/>
    <w:rsid w:val="00C22E5F"/>
    <w:rsid w:val="00C25E0A"/>
    <w:rsid w:val="00C367C6"/>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B7605"/>
    <w:rsid w:val="00CC5952"/>
    <w:rsid w:val="00CD3D31"/>
    <w:rsid w:val="00CD3E32"/>
    <w:rsid w:val="00CE0E61"/>
    <w:rsid w:val="00CE3494"/>
    <w:rsid w:val="00CE39E2"/>
    <w:rsid w:val="00CE6ED5"/>
    <w:rsid w:val="00CF0661"/>
    <w:rsid w:val="00CF0B50"/>
    <w:rsid w:val="00CF4403"/>
    <w:rsid w:val="00CF7EA9"/>
    <w:rsid w:val="00D042D8"/>
    <w:rsid w:val="00D0483C"/>
    <w:rsid w:val="00D048DB"/>
    <w:rsid w:val="00D06FDE"/>
    <w:rsid w:val="00D11582"/>
    <w:rsid w:val="00D11D2D"/>
    <w:rsid w:val="00D139CC"/>
    <w:rsid w:val="00D1794C"/>
    <w:rsid w:val="00D244DE"/>
    <w:rsid w:val="00D27454"/>
    <w:rsid w:val="00D27A57"/>
    <w:rsid w:val="00D27BCE"/>
    <w:rsid w:val="00D303F8"/>
    <w:rsid w:val="00D30A97"/>
    <w:rsid w:val="00D40E3D"/>
    <w:rsid w:val="00D41CDA"/>
    <w:rsid w:val="00D42156"/>
    <w:rsid w:val="00D46465"/>
    <w:rsid w:val="00D5250E"/>
    <w:rsid w:val="00D57CD7"/>
    <w:rsid w:val="00D75A18"/>
    <w:rsid w:val="00D830E6"/>
    <w:rsid w:val="00D87D66"/>
    <w:rsid w:val="00D94F64"/>
    <w:rsid w:val="00D95C10"/>
    <w:rsid w:val="00DA18BC"/>
    <w:rsid w:val="00DA2C47"/>
    <w:rsid w:val="00DA34F3"/>
    <w:rsid w:val="00DA3609"/>
    <w:rsid w:val="00DA59EE"/>
    <w:rsid w:val="00DA5AAC"/>
    <w:rsid w:val="00DB1D54"/>
    <w:rsid w:val="00DB491C"/>
    <w:rsid w:val="00DC305F"/>
    <w:rsid w:val="00DC46BF"/>
    <w:rsid w:val="00DC48A8"/>
    <w:rsid w:val="00DC7CE4"/>
    <w:rsid w:val="00DD06D6"/>
    <w:rsid w:val="00DD7DD7"/>
    <w:rsid w:val="00DE45E6"/>
    <w:rsid w:val="00DF0154"/>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71F6A"/>
    <w:rsid w:val="00E81845"/>
    <w:rsid w:val="00E9010F"/>
    <w:rsid w:val="00EA2F6B"/>
    <w:rsid w:val="00EA5C1E"/>
    <w:rsid w:val="00EB4A34"/>
    <w:rsid w:val="00EB5801"/>
    <w:rsid w:val="00EC7E9B"/>
    <w:rsid w:val="00ED4643"/>
    <w:rsid w:val="00EE0BF7"/>
    <w:rsid w:val="00EE6E7B"/>
    <w:rsid w:val="00EF1B0A"/>
    <w:rsid w:val="00EF4ADF"/>
    <w:rsid w:val="00EF4B6A"/>
    <w:rsid w:val="00F037F9"/>
    <w:rsid w:val="00F143DB"/>
    <w:rsid w:val="00F25AFF"/>
    <w:rsid w:val="00F4387B"/>
    <w:rsid w:val="00F52E1E"/>
    <w:rsid w:val="00F54B7B"/>
    <w:rsid w:val="00F618B5"/>
    <w:rsid w:val="00F6549A"/>
    <w:rsid w:val="00F65F54"/>
    <w:rsid w:val="00F66FF9"/>
    <w:rsid w:val="00F73CB8"/>
    <w:rsid w:val="00F73D67"/>
    <w:rsid w:val="00F73D97"/>
    <w:rsid w:val="00F755B2"/>
    <w:rsid w:val="00F82610"/>
    <w:rsid w:val="00F832D2"/>
    <w:rsid w:val="00F86DDF"/>
    <w:rsid w:val="00F902C3"/>
    <w:rsid w:val="00F97D4A"/>
    <w:rsid w:val="00FA6C99"/>
    <w:rsid w:val="00FB0559"/>
    <w:rsid w:val="00FB4FD3"/>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8B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uiPriority w:val="99"/>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775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mur.riksdagen.se/?dokumentId=39719" TargetMode="External"/><Relationship Id="rId18" Type="http://schemas.openxmlformats.org/officeDocument/2006/relationships/hyperlink" Target="https://lemur.riksdagen.se/?dokumentId=39654" TargetMode="External"/><Relationship Id="rId26" Type="http://schemas.openxmlformats.org/officeDocument/2006/relationships/hyperlink" Target="https://lemur.riksdagen.se/?dokumentId=39679" TargetMode="External"/><Relationship Id="rId39" Type="http://schemas.openxmlformats.org/officeDocument/2006/relationships/hyperlink" Target="https://lemur.riksdagen.se/?dokumentId=39664" TargetMode="External"/><Relationship Id="rId21" Type="http://schemas.openxmlformats.org/officeDocument/2006/relationships/hyperlink" Target="https://lemur.riksdagen.se/?dokumentId=39748" TargetMode="External"/><Relationship Id="rId34" Type="http://schemas.openxmlformats.org/officeDocument/2006/relationships/hyperlink" Target="https://lemur.riksdagen.se/?dokumentId=39666" TargetMode="External"/><Relationship Id="rId42" Type="http://schemas.openxmlformats.org/officeDocument/2006/relationships/hyperlink" Target="https://lemur.riksdagen.se/?dokumentId=39667" TargetMode="External"/><Relationship Id="rId47" Type="http://schemas.openxmlformats.org/officeDocument/2006/relationships/hyperlink" Target="https://lemur.riksdagen.se/?dokumentId=39681" TargetMode="External"/><Relationship Id="rId50" Type="http://schemas.openxmlformats.org/officeDocument/2006/relationships/hyperlink" Target="https://lemur.riksdagen.se/?dokumentId=39683" TargetMode="External"/><Relationship Id="rId55" Type="http://schemas.openxmlformats.org/officeDocument/2006/relationships/hyperlink" Target="https://lemur.riksdagen.se/?dokumentId=39769" TargetMode="External"/><Relationship Id="rId63" Type="http://schemas.openxmlformats.org/officeDocument/2006/relationships/hyperlink" Target="http://lemur.riksdagen.se/?dokumentId=39836" TargetMode="External"/><Relationship Id="rId68" Type="http://schemas.openxmlformats.org/officeDocument/2006/relationships/hyperlink" Target="http://lemur.riksdagen.se/?dokumentId=39812" TargetMode="External"/><Relationship Id="rId76" Type="http://schemas.openxmlformats.org/officeDocument/2006/relationships/hyperlink" Target="https://lemur.riksdagen.se/?dokumentId=39901" TargetMode="External"/><Relationship Id="rId7" Type="http://schemas.openxmlformats.org/officeDocument/2006/relationships/endnotes" Target="endnotes.xml"/><Relationship Id="rId71" Type="http://schemas.openxmlformats.org/officeDocument/2006/relationships/hyperlink" Target="https://ec.europa.eu/info/law/better-regulation/initiatives/ares-2022-6901793" TargetMode="External"/><Relationship Id="rId2" Type="http://schemas.openxmlformats.org/officeDocument/2006/relationships/numbering" Target="numbering.xml"/><Relationship Id="rId16" Type="http://schemas.openxmlformats.org/officeDocument/2006/relationships/hyperlink" Target="http://lemur.riksdagen.se/?dokumentId=39608" TargetMode="External"/><Relationship Id="rId29" Type="http://schemas.openxmlformats.org/officeDocument/2006/relationships/hyperlink" Target="https://lemur.riksdagen.se/?dokumentId=39669" TargetMode="External"/><Relationship Id="rId11" Type="http://schemas.openxmlformats.org/officeDocument/2006/relationships/hyperlink" Target="http://lemur.riksdagen.se/?dokumentId=39599" TargetMode="External"/><Relationship Id="rId24" Type="http://schemas.openxmlformats.org/officeDocument/2006/relationships/hyperlink" Target="https://lemur.riksdagen.se/?dokumentId=39645" TargetMode="External"/><Relationship Id="rId32" Type="http://schemas.openxmlformats.org/officeDocument/2006/relationships/hyperlink" Target="https://lemur.riksdagen.se/?dokumentId=39684" TargetMode="External"/><Relationship Id="rId37" Type="http://schemas.openxmlformats.org/officeDocument/2006/relationships/hyperlink" Target="https://lemur.riksdagen.se/?dokumentId=39665" TargetMode="External"/><Relationship Id="rId40" Type="http://schemas.openxmlformats.org/officeDocument/2006/relationships/hyperlink" Target="https://lemur.riksdagen.se/?dokumentId=39659" TargetMode="External"/><Relationship Id="rId45" Type="http://schemas.openxmlformats.org/officeDocument/2006/relationships/hyperlink" Target="https://lemur.riksdagen.se/?dokumentId=39676" TargetMode="External"/><Relationship Id="rId53" Type="http://schemas.openxmlformats.org/officeDocument/2006/relationships/hyperlink" Target="https://lemur.riksdagen.se/?dokumentId=39699" TargetMode="External"/><Relationship Id="rId58" Type="http://schemas.openxmlformats.org/officeDocument/2006/relationships/hyperlink" Target="https://lemur.riksdagen.se/?dokumentId=39742" TargetMode="External"/><Relationship Id="rId66" Type="http://schemas.openxmlformats.org/officeDocument/2006/relationships/hyperlink" Target="http://lemur.riksdagen.se/?dokumentId=39586" TargetMode="External"/><Relationship Id="rId74" Type="http://schemas.openxmlformats.org/officeDocument/2006/relationships/hyperlink" Target="https://lemur.riksdagen.se/?dokumentId=39767" TargetMode="External"/><Relationship Id="rId5" Type="http://schemas.openxmlformats.org/officeDocument/2006/relationships/webSettings" Target="webSettings.xml"/><Relationship Id="rId15" Type="http://schemas.openxmlformats.org/officeDocument/2006/relationships/hyperlink" Target="http://lemur.riksdagen.se/?dokumentId=39600" TargetMode="External"/><Relationship Id="rId23" Type="http://schemas.openxmlformats.org/officeDocument/2006/relationships/hyperlink" Target="https://lemur.riksdagen.se/?dokumentId=39623" TargetMode="External"/><Relationship Id="rId28" Type="http://schemas.openxmlformats.org/officeDocument/2006/relationships/hyperlink" Target="https://lemur.riksdagen.se/?dokumentId=39670" TargetMode="External"/><Relationship Id="rId36" Type="http://schemas.openxmlformats.org/officeDocument/2006/relationships/hyperlink" Target="https://lemur.riksdagen.se/?dokumentId=39673" TargetMode="External"/><Relationship Id="rId49" Type="http://schemas.openxmlformats.org/officeDocument/2006/relationships/hyperlink" Target="https://lemur.riksdagen.se/?dokumentId=39672" TargetMode="External"/><Relationship Id="rId57" Type="http://schemas.openxmlformats.org/officeDocument/2006/relationships/hyperlink" Target="https://lemur.riksdagen.se/?dokumentId=39701" TargetMode="External"/><Relationship Id="rId61" Type="http://schemas.openxmlformats.org/officeDocument/2006/relationships/hyperlink" Target="http://lemur.riksdagen.se/?dokumentId=39834" TargetMode="External"/><Relationship Id="rId10" Type="http://schemas.openxmlformats.org/officeDocument/2006/relationships/hyperlink" Target="http://lemur.riksdagen.se/?dokumentId=39604" TargetMode="External"/><Relationship Id="rId19" Type="http://schemas.openxmlformats.org/officeDocument/2006/relationships/hyperlink" Target="http://lemur.riksdagen.se/?dokumentId=39615" TargetMode="External"/><Relationship Id="rId31" Type="http://schemas.openxmlformats.org/officeDocument/2006/relationships/hyperlink" Target="https://lemur.riksdagen.se/?dokumentId=39677" TargetMode="External"/><Relationship Id="rId44" Type="http://schemas.openxmlformats.org/officeDocument/2006/relationships/hyperlink" Target="https://lemur.riksdagen.se/?dokumentId=39671" TargetMode="External"/><Relationship Id="rId52" Type="http://schemas.openxmlformats.org/officeDocument/2006/relationships/hyperlink" Target="https://lemur.riksdagen.se/?dokumentId=39680" TargetMode="External"/><Relationship Id="rId60" Type="http://schemas.openxmlformats.org/officeDocument/2006/relationships/hyperlink" Target="https://lemur.riksdagen.se/?dokumentId=39743" TargetMode="External"/><Relationship Id="rId65" Type="http://schemas.openxmlformats.org/officeDocument/2006/relationships/hyperlink" Target="http://lemur.riksdagen.se/?dokumentId=39587" TargetMode="External"/><Relationship Id="rId73" Type="http://schemas.openxmlformats.org/officeDocument/2006/relationships/hyperlink" Target="http://lemur.riksdagen.se/?dokumentId=39753"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emur.riksdagen.se/?dokumentId=39718" TargetMode="External"/><Relationship Id="rId22" Type="http://schemas.openxmlformats.org/officeDocument/2006/relationships/hyperlink" Target="https://lemur.riksdagen.se/?dokumentId=39749" TargetMode="External"/><Relationship Id="rId27" Type="http://schemas.openxmlformats.org/officeDocument/2006/relationships/hyperlink" Target="https://lemur.riksdagen.se/?dokumentId=39674" TargetMode="External"/><Relationship Id="rId30" Type="http://schemas.openxmlformats.org/officeDocument/2006/relationships/hyperlink" Target="https://lemur.riksdagen.se/?dokumentId=39658" TargetMode="External"/><Relationship Id="rId35" Type="http://schemas.openxmlformats.org/officeDocument/2006/relationships/hyperlink" Target="https://lemur.riksdagen.se/?dokumentId=39678" TargetMode="External"/><Relationship Id="rId43" Type="http://schemas.openxmlformats.org/officeDocument/2006/relationships/hyperlink" Target="https://lemur.riksdagen.se/?dokumentId=39660" TargetMode="External"/><Relationship Id="rId48" Type="http://schemas.openxmlformats.org/officeDocument/2006/relationships/hyperlink" Target="https://lemur.riksdagen.se/?dokumentId=39685" TargetMode="External"/><Relationship Id="rId56" Type="http://schemas.openxmlformats.org/officeDocument/2006/relationships/hyperlink" Target="https://lemur.riksdagen.se/?dokumentId=39772" TargetMode="External"/><Relationship Id="rId64" Type="http://schemas.openxmlformats.org/officeDocument/2006/relationships/hyperlink" Target="http://lemur.riksdagen.se/?dokumentId=39836" TargetMode="External"/><Relationship Id="rId69" Type="http://schemas.openxmlformats.org/officeDocument/2006/relationships/hyperlink" Target="https://ec.europa.eu/info/law/better-regulation/initiatives/ares-2022-5946544" TargetMode="External"/><Relationship Id="rId77"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lemur.riksdagen.se/?dokumentId=39661" TargetMode="External"/><Relationship Id="rId72" Type="http://schemas.openxmlformats.org/officeDocument/2006/relationships/hyperlink" Target="https://lemur.riksdagen.se/?dokumentId=39621" TargetMode="External"/><Relationship Id="rId3" Type="http://schemas.openxmlformats.org/officeDocument/2006/relationships/styles" Target="styles.xml"/><Relationship Id="rId12" Type="http://schemas.openxmlformats.org/officeDocument/2006/relationships/hyperlink" Target="http://lemur.riksdagen.se/?dokumentId=39598" TargetMode="External"/><Relationship Id="rId17" Type="http://schemas.openxmlformats.org/officeDocument/2006/relationships/hyperlink" Target="http://lemur.riksdagen.se/?dokumentId=39620" TargetMode="External"/><Relationship Id="rId25" Type="http://schemas.openxmlformats.org/officeDocument/2006/relationships/hyperlink" Target="https://lemur.riksdagen.se/?dokumentId=39675" TargetMode="External"/><Relationship Id="rId33" Type="http://schemas.openxmlformats.org/officeDocument/2006/relationships/hyperlink" Target="https://lemur.riksdagen.se/?dokumentId=39668" TargetMode="External"/><Relationship Id="rId38" Type="http://schemas.openxmlformats.org/officeDocument/2006/relationships/hyperlink" Target="https://lemur.riksdagen.se/?dokumentId=39682" TargetMode="External"/><Relationship Id="rId46" Type="http://schemas.openxmlformats.org/officeDocument/2006/relationships/hyperlink" Target="https://lemur.riksdagen.se/?dokumentId=39662" TargetMode="External"/><Relationship Id="rId59" Type="http://schemas.openxmlformats.org/officeDocument/2006/relationships/hyperlink" Target="https://lemur.riksdagen.se/?dokumentId=39741" TargetMode="External"/><Relationship Id="rId67" Type="http://schemas.openxmlformats.org/officeDocument/2006/relationships/hyperlink" Target="http://lemur.riksdagen.se/?dokumentId=39589" TargetMode="External"/><Relationship Id="rId20" Type="http://schemas.openxmlformats.org/officeDocument/2006/relationships/hyperlink" Target="https://lemur.riksdagen.se/?dokumentId=39747" TargetMode="External"/><Relationship Id="rId41" Type="http://schemas.openxmlformats.org/officeDocument/2006/relationships/hyperlink" Target="https://lemur.riksdagen.se/?dokumentId=39663" TargetMode="External"/><Relationship Id="rId54" Type="http://schemas.openxmlformats.org/officeDocument/2006/relationships/hyperlink" Target="https://lemur.riksdagen.se/?dokumentId=39700" TargetMode="External"/><Relationship Id="rId62" Type="http://schemas.openxmlformats.org/officeDocument/2006/relationships/hyperlink" Target="http://lemur.riksdagen.se/?dokumentId=39833" TargetMode="External"/><Relationship Id="rId70" Type="http://schemas.openxmlformats.org/officeDocument/2006/relationships/hyperlink" Target="https://ec.europa.eu/info/law/better-regulation/initiatives/ares-2022-6299774" TargetMode="External"/><Relationship Id="rId75" Type="http://schemas.openxmlformats.org/officeDocument/2006/relationships/hyperlink" Target="https://lemur.riksdagen.se/?dokumentId=3981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6537</Words>
  <Characters>40729</Characters>
  <Application>Microsoft Office Word</Application>
  <DocSecurity>0</DocSecurity>
  <Lines>1697</Lines>
  <Paragraphs>685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2022-10-19T11:04:00Z</cp:lastPrinted>
  <dcterms:created xsi:type="dcterms:W3CDTF">2022-10-19T11:04:00Z</dcterms:created>
  <dcterms:modified xsi:type="dcterms:W3CDTF">2022-10-20T10:39:00Z</dcterms:modified>
</cp:coreProperties>
</file>