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7D3" w:rsidRPr="00BF1FE3" w:rsidRDefault="004D27D3">
      <w:pPr>
        <w:pStyle w:val="Rubrik1"/>
      </w:pPr>
      <w:r w:rsidRPr="00BF1FE3">
        <w:t>Förslag till riksdagsbeslut</w:t>
      </w:r>
    </w:p>
    <w:p w:rsidR="004D27D3" w:rsidRPr="00BF1FE3" w:rsidRDefault="004D27D3">
      <w:pPr>
        <w:pStyle w:val="Hemstlatt"/>
        <w:numPr>
          <w:ilvl w:val="0"/>
          <w:numId w:val="1"/>
        </w:numPr>
      </w:pPr>
      <w:r w:rsidRPr="00BF1FE3">
        <w:t>Riksdagen tillkännager för regeringen som sin mening vad som anförs i motionen om förbättrat stöd till allmänna sa</w:t>
      </w:r>
      <w:r w:rsidRPr="00BF1FE3">
        <w:t>m</w:t>
      </w:r>
      <w:r w:rsidRPr="00BF1FE3">
        <w:t>lingslokaler.</w:t>
      </w:r>
    </w:p>
    <w:p w:rsidR="004D27D3" w:rsidRPr="00BF1FE3" w:rsidRDefault="004D27D3">
      <w:pPr>
        <w:pStyle w:val="Hemstlatt"/>
        <w:numPr>
          <w:ilvl w:val="0"/>
          <w:numId w:val="1"/>
        </w:numPr>
      </w:pPr>
      <w:r w:rsidRPr="00BF1FE3">
        <w:t>Riksdagen tillkännager för regeringen som sin mening vad som anförs i motionen om att Kulturutredningen bör ges direktiv att ta hänsyn till utredningen om allmänna samlingslokalers slutsa</w:t>
      </w:r>
      <w:r w:rsidRPr="00BF1FE3">
        <w:t>t</w:t>
      </w:r>
      <w:r w:rsidRPr="00BF1FE3">
        <w:t>ser.</w:t>
      </w:r>
    </w:p>
    <w:p w:rsidR="004D27D3" w:rsidRPr="00BF1FE3" w:rsidRDefault="004D27D3">
      <w:pPr>
        <w:pStyle w:val="Rubrik1"/>
      </w:pPr>
      <w:r w:rsidRPr="00BF1FE3">
        <w:t>Motivering</w:t>
      </w:r>
    </w:p>
    <w:p w:rsidR="004D27D3" w:rsidRPr="00BF1FE3" w:rsidRDefault="004D27D3">
      <w:r w:rsidRPr="00BF1FE3">
        <w:t>Samlingslokalen förenar över gränser och gör möten möjliga. Här frodas init</w:t>
      </w:r>
      <w:r w:rsidRPr="00BF1FE3">
        <w:rPr>
          <w:rFonts w:ascii="Times" w:hAnsi="Times"/>
          <w:spacing w:val="-2"/>
        </w:rPr>
        <w:t>iativkraft och frivilligt arbete. Samlingslokalen är en träffpunkt, ett cen</w:t>
      </w:r>
      <w:r w:rsidRPr="00BF1FE3">
        <w:rPr>
          <w:rFonts w:ascii="Times" w:hAnsi="Times"/>
          <w:spacing w:val="-2"/>
        </w:rPr>
        <w:t>t</w:t>
      </w:r>
      <w:r w:rsidRPr="00BF1FE3">
        <w:t>rum och en kraftkälla till utveckling. Samlingslokalerna är också av stor bet</w:t>
      </w:r>
      <w:r w:rsidRPr="00BF1FE3">
        <w:t>y</w:t>
      </w:r>
      <w:r w:rsidRPr="00BF1FE3">
        <w:t>delse som grund för demokrati och kultur. Det är en spännande utmaning att se till att våra lokaler är så moderna att även dagens generationer väljer dem som mötesplatser. I den kulturutredning som arbetar utgås ifrån att hänsyn ska tas till Samlingslokalsutredningen och de fakta som där framkom om behovet av samlingslokaler för en kulturell infrastruktur.</w:t>
      </w:r>
    </w:p>
    <w:p w:rsidR="004D27D3" w:rsidRPr="00BF1FE3" w:rsidRDefault="004D27D3">
      <w:pPr>
        <w:pStyle w:val="Normaltindrag"/>
      </w:pPr>
      <w:r w:rsidRPr="00BF1FE3">
        <w:t>För snart fem år sedan presenterades ett betänkande, Allmänna samling</w:t>
      </w:r>
      <w:r w:rsidRPr="00BF1FE3">
        <w:t>s</w:t>
      </w:r>
      <w:r w:rsidRPr="00BF1FE3">
        <w:t>lokaler (SOU 2003:118). Det innehöll en rad bra förslag och en utförlig an</w:t>
      </w:r>
      <w:r w:rsidRPr="00BF1FE3">
        <w:t>a</w:t>
      </w:r>
      <w:r w:rsidRPr="00BF1FE3">
        <w:t>lys av den allmänna samlingslokalens betydelse på 2000-talet. Där framhölls att de allmänna samlingslokalerna fortfarande finns till för att medborgarna ska kunna utnyttja sin yttrande-, mötes- och föreningsfrihet.</w:t>
      </w:r>
    </w:p>
    <w:p w:rsidR="004D27D3" w:rsidRPr="00BF1FE3" w:rsidRDefault="004D27D3">
      <w:pPr>
        <w:pStyle w:val="Normaltindrag"/>
      </w:pPr>
      <w:r w:rsidRPr="00BF1FE3">
        <w:t>Även om den stora delen av arbetet i våra folkrörelsedrivna anläggningar sker ideellt, ligger det ett ansvar på stat och kommun att se till att inte arbet</w:t>
      </w:r>
      <w:r w:rsidRPr="00BF1FE3">
        <w:t>s</w:t>
      </w:r>
      <w:r w:rsidRPr="00BF1FE3">
        <w:t>uppgiften blir så övermäktig att dörrarna stängs, en efter en, till våra tidigare så öppna och inbjudande lokaler. För så kan det bli, om inte de ekonomiska resurserna ges för att rusta samlingslokalerna och göra dem tillgängliga för alla i samhället. De senaste åren har byggstödet till nödvändiga ombyggnader legat runt 25 miljoner kronor. Behovet är mer än dubbelt så stort. Utredningen ger en bra bakgrund och en mängd fakta om de allmänna samlingslokalerna.</w:t>
      </w:r>
    </w:p>
    <w:p w:rsidR="004D27D3" w:rsidRPr="00BF1FE3" w:rsidRDefault="004D27D3">
      <w:pPr>
        <w:pStyle w:val="Normaltindrag"/>
      </w:pPr>
      <w:r w:rsidRPr="00BF1FE3">
        <w:lastRenderedPageBreak/>
        <w:t>Också kommunernas stöd är viktigt. Deras ekonomi</w:t>
      </w:r>
      <w:r w:rsidRPr="00BF1FE3">
        <w:t>ska bidrag, medverkan och positiva inställning gör det möjligt att hålla dörren fortsatt öppen för allmänheten. Idag finns krav på kommunal finansiering på 30 % för att en samlingslokalförening skall kunna erhålla statligt stöd.</w:t>
      </w:r>
    </w:p>
    <w:p w:rsidR="004D27D3" w:rsidRPr="00BF1FE3" w:rsidRDefault="004D27D3">
      <w:pPr>
        <w:pStyle w:val="Normaltindrag"/>
      </w:pPr>
      <w:r w:rsidRPr="00BF1FE3">
        <w:t>Det är av utomordentligt stor betydelse att fortsatt tillgänglighetsanpas</w:t>
      </w:r>
      <w:r w:rsidRPr="00BF1FE3">
        <w:t>s</w:t>
      </w:r>
      <w:r w:rsidRPr="00BF1FE3">
        <w:t>ning kan genomföras tillsammans med en total ökning av stödet, inte minst för att kunna uppfylla riksdagens mål att alla allmänna samlingslokaler ska vara tillgängliga för alla medborgare år 2010.</w:t>
      </w:r>
    </w:p>
    <w:p w:rsidR="004D27D3" w:rsidRPr="00BF1FE3" w:rsidRDefault="004D27D3">
      <w:pPr>
        <w:pStyle w:val="Normaltindrag"/>
      </w:pPr>
      <w:r w:rsidRPr="00BF1FE3">
        <w:t>Flera av de förslag i regelverket som nämnda utredning presenterade togs i 2006 års budget. Vi anser att det är högst rimligt att samhällets stöd till våra allmänna samlingslokaler förbättras. Detta bör ges regeringen till känna.</w:t>
      </w:r>
    </w:p>
    <w:p w:rsidR="004D27D3" w:rsidRPr="00BF1FE3" w:rsidRDefault="004D27D3">
      <w:pPr>
        <w:pStyle w:val="Normaltindrag"/>
      </w:pPr>
      <w:r w:rsidRPr="00BF1FE3">
        <w:t>Vidare bör riksdagen uppmana den nu sittande Kulturutredningen att ta hänsyn till Samlingslokalsutredningens slutsatser.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1FE3">
        <w:trPr>
          <w:cantSplit/>
        </w:trPr>
        <w:tc>
          <w:tcPr>
            <w:tcW w:w="3046" w:type="dxa"/>
          </w:tcPr>
          <w:p w:rsidR="004D27D3" w:rsidRPr="00BF1FE3" w:rsidRDefault="00BF1FE3">
            <w:pPr>
              <w:pStyle w:val="UnderskriftDatum"/>
              <w:spacing w:before="240"/>
            </w:pPr>
            <w:r w:rsidRPr="00BF1FE3">
              <w:rPr>
                <w:noProof/>
              </w:rPr>
              <mc:AlternateContent>
                <mc:Choice Requires="wps">
                  <w:drawing>
                    <wp:anchor distT="0" distB="0" distL="114300" distR="114300" simplePos="0" relativeHeight="251657728" behindDoc="0" locked="0" layoutInCell="1" allowOverlap="1">
                      <wp:simplePos x="0" y="0"/>
                      <wp:positionH relativeFrom="page">
                        <wp:posOffset>4931410</wp:posOffset>
                      </wp:positionH>
                      <wp:positionV relativeFrom="page">
                        <wp:posOffset>10295890</wp:posOffset>
                      </wp:positionV>
                      <wp:extent cx="1800225" cy="180340"/>
                      <wp:effectExtent l="0" t="0" r="2540" b="1270"/>
                      <wp:wrapNone/>
                      <wp:docPr id="1548642636" name="ANTALSIG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27D3" w:rsidRPr="00BF1FE3" w:rsidRDefault="004D27D3">
                                  <w:pPr>
                                    <w:pStyle w:val="Normal00"/>
                                    <w:jc w:val="right"/>
                                  </w:pPr>
                                  <w:r w:rsidRPr="00BF1FE3">
                                    <w:t>Ledamöter: 2   Partier: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ANTALSIGN" o:spid="_x0000_s1026" type="#_x0000_t202" style="position:absolute;left:0;text-align:left;margin-left:388.3pt;margin-top:810.7pt;width:141.75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" stroked="f">
                      <v:textbox inset="0,0,0,0">
                        <w:txbxContent>
                          <w:p w:rsidR="004D27D3" w:rsidRPr="00BF1FE3" w:rsidRDefault="004D27D3">
                            <w:pPr>
                              <w:pStyle w:val="Normal00"/>
                              <w:jc w:val="right"/>
                            </w:pPr>
                            <w:r w:rsidRPr="00BF1FE3">
                              <w:t>Ledamöter: 2   Partier: 1</w:t>
                            </w:r>
                          </w:p>
                        </w:txbxContent>
                      </v:textbox>
                      <w10:wrap anchorx="page" anchory="page"/>
                    </v:shape>
                  </w:pict>
                </mc:Fallback>
              </mc:AlternateContent>
            </w:r>
            <w:r w:rsidR="004D27D3" w:rsidRPr="00BF1FE3">
              <w:t>Stockholm den 29 september 2008</w:t>
            </w:r>
          </w:p>
        </w:tc>
        <w:tc>
          <w:tcPr>
            <w:tcW w:w="3047" w:type="dxa"/>
          </w:tcPr>
          <w:p w:rsidR="004D27D3" w:rsidRPr="00BF1FE3" w:rsidRDefault="004D27D3">
            <w:pPr>
              <w:pStyle w:val="Underskrifter"/>
              <w:spacing w:before="240"/>
            </w:pPr>
          </w:p>
        </w:tc>
      </w:tr>
      <w:tr w:rsidR="00000000" w:rsidRPr="00BF1FE3">
        <w:trPr>
          <w:cantSplit/>
        </w:trPr>
        <w:tc>
          <w:tcPr>
            <w:tcW w:w="3046" w:type="dxa"/>
          </w:tcPr>
          <w:p w:rsidR="004D27D3" w:rsidRPr="00BF1FE3" w:rsidRDefault="004D27D3">
            <w:pPr>
              <w:pStyle w:val="Underskrifter"/>
            </w:pPr>
            <w:r w:rsidRPr="00BF1FE3">
              <w:t>Kenneth Johansson (c)</w:t>
            </w:r>
          </w:p>
        </w:tc>
        <w:tc>
          <w:tcPr>
            <w:tcW w:w="3047" w:type="dxa"/>
          </w:tcPr>
          <w:p w:rsidR="004D27D3" w:rsidRPr="00BF1FE3" w:rsidRDefault="004D27D3">
            <w:pPr>
              <w:pStyle w:val="Underskrifter"/>
            </w:pPr>
            <w:r w:rsidRPr="00BF1FE3">
              <w:t>Sven Bergström (c)</w:t>
            </w:r>
          </w:p>
        </w:tc>
      </w:tr>
    </w:tbl>
    <w:p w:rsidR="004D27D3" w:rsidRPr="00BF1FE3" w:rsidRDefault="004D27D3">
      <w:pPr>
        <w:pStyle w:val="Normaltindrag"/>
      </w:pPr>
    </w:p>
    <w:sectPr w:rsidR="004D27D3" w:rsidRPr="00BF1F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7D3" w:rsidRPr="00BF1FE3" w:rsidRDefault="004D27D3">
      <w:r w:rsidRPr="00BF1FE3">
        <w:separator/>
      </w:r>
    </w:p>
  </w:endnote>
  <w:endnote w:type="continuationSeparator" w:id="0">
    <w:p w:rsidR="004D27D3" w:rsidRPr="00BF1FE3" w:rsidRDefault="004D27D3">
      <w:r w:rsidRPr="00BF1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D3" w:rsidRPr="00BF1FE3" w:rsidRDefault="00BF1FE3">
    <w:pPr>
      <w:pStyle w:val="Sidfot"/>
    </w:pPr>
    <w:r w:rsidRPr="00BF1F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656887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D3" w:rsidRDefault="004D27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7D3" w:rsidRDefault="004D27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D3" w:rsidRPr="00BF1FE3" w:rsidRDefault="00BF1FE3">
    <w:pPr>
      <w:pStyle w:val="Sidfot"/>
    </w:pPr>
    <w:r w:rsidRPr="00BF1F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44894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D3" w:rsidRDefault="004D27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7D3" w:rsidRDefault="004D27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D3" w:rsidRPr="00BF1FE3" w:rsidRDefault="00BF1FE3">
    <w:pPr>
      <w:pStyle w:val="Sidfot"/>
    </w:pPr>
    <w:r w:rsidRPr="00BF1F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5746318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D3" w:rsidRDefault="004D27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7D3" w:rsidRDefault="004D27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7D3" w:rsidRPr="00BF1FE3" w:rsidRDefault="004D27D3">
      <w:r w:rsidRPr="00BF1FE3">
        <w:separator/>
      </w:r>
    </w:p>
  </w:footnote>
  <w:footnote w:type="continuationSeparator" w:id="0">
    <w:p w:rsidR="004D27D3" w:rsidRPr="00BF1FE3" w:rsidRDefault="004D27D3">
      <w:r w:rsidRPr="00BF1F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D3" w:rsidRPr="00BF1FE3" w:rsidRDefault="00BF1FE3">
    <w:pPr>
      <w:pStyle w:val="Sidhuvud"/>
    </w:pPr>
    <w:r w:rsidRPr="00BF1F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27690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D3" w:rsidRDefault="004D27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7D3" w:rsidRDefault="004D27D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D3" w:rsidRPr="00BF1FE3" w:rsidRDefault="00BF1FE3">
    <w:pPr>
      <w:pStyle w:val="Sidhuvud"/>
    </w:pPr>
    <w:r w:rsidRPr="00BF1F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82448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7D3" w:rsidRDefault="004D27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7D3" w:rsidRDefault="004D27D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7D3" w:rsidRPr="00BF1FE3" w:rsidRDefault="004D27D3">
    <w:pPr>
      <w:pStyle w:val="FSHNormal"/>
      <w:tabs>
        <w:tab w:val="right" w:pos="5840"/>
      </w:tabs>
    </w:pPr>
    <w:r w:rsidRPr="00BF1FE3">
      <w:br/>
    </w:r>
    <w:r w:rsidRPr="00BF1FE3">
      <w:fldChar w:fldCharType="begin" w:fldLock="1"/>
    </w:r>
    <w:r w:rsidRPr="00BF1FE3">
      <w:instrText xml:space="preserve"> DOCPROPERTY</w:instrText>
    </w:r>
    <w:r w:rsidRPr="00BF1FE3">
      <w:rPr>
        <w:sz w:val="18"/>
      </w:rPr>
      <w:instrText xml:space="preserve"> "YearUser" *\charformat </w:instrText>
    </w:r>
    <w:r w:rsidRPr="00BF1FE3">
      <w:fldChar w:fldCharType="separate"/>
    </w:r>
    <w:r w:rsidRPr="00BF1FE3">
      <w:t>2008/09</w:t>
    </w:r>
    <w:r w:rsidRPr="00BF1FE3">
      <w:fldChar w:fldCharType="end"/>
    </w:r>
    <w:r w:rsidRPr="00BF1FE3">
      <w:t xml:space="preserve"> </w:t>
    </w:r>
    <w:r w:rsidRPr="00BF1FE3">
      <w:tab/>
      <w:t xml:space="preserve">mnr: </w:t>
    </w:r>
    <w:r w:rsidRPr="00BF1FE3">
      <w:fldChar w:fldCharType="begin" w:fldLock="1"/>
    </w:r>
    <w:r w:rsidRPr="00BF1FE3">
      <w:instrText xml:space="preserve"> DOCPROPERTY</w:instrText>
    </w:r>
    <w:r w:rsidRPr="00BF1FE3">
      <w:rPr>
        <w:sz w:val="18"/>
      </w:rPr>
      <w:instrText xml:space="preserve"> "Motionsnummer" *\charformat </w:instrText>
    </w:r>
    <w:r w:rsidRPr="00BF1FE3">
      <w:fldChar w:fldCharType="separate"/>
    </w:r>
    <w:r w:rsidRPr="00BF1FE3">
      <w:t>Kr268</w:t>
    </w:r>
    <w:r w:rsidRPr="00BF1FE3">
      <w:fldChar w:fldCharType="end"/>
    </w:r>
    <w:r w:rsidRPr="00BF1FE3">
      <w:br/>
    </w:r>
    <w:r w:rsidRPr="00BF1FE3">
      <w:fldChar w:fldCharType="begin" w:fldLock="1"/>
    </w:r>
    <w:r w:rsidRPr="00BF1FE3">
      <w:instrText xml:space="preserve"> DOCPROPERTY</w:instrText>
    </w:r>
    <w:r w:rsidRPr="00BF1FE3">
      <w:rPr>
        <w:sz w:val="18"/>
      </w:rPr>
      <w:instrText xml:space="preserve"> "Samling" *\charformat </w:instrText>
    </w:r>
    <w:r w:rsidRPr="00BF1FE3">
      <w:fldChar w:fldCharType="end"/>
    </w:r>
    <w:r w:rsidRPr="00BF1FE3">
      <w:tab/>
      <w:t xml:space="preserve">pnr: </w:t>
    </w:r>
    <w:r w:rsidRPr="00BF1FE3">
      <w:fldChar w:fldCharType="begin" w:fldLock="1"/>
    </w:r>
    <w:r w:rsidRPr="00BF1FE3">
      <w:instrText xml:space="preserve"> DOCPROPERTY</w:instrText>
    </w:r>
    <w:r w:rsidRPr="00BF1FE3">
      <w:rPr>
        <w:sz w:val="18"/>
      </w:rPr>
      <w:instrText xml:space="preserve"> "Partinummer" *\charformat </w:instrText>
    </w:r>
    <w:r w:rsidRPr="00BF1FE3">
      <w:fldChar w:fldCharType="separate"/>
    </w:r>
    <w:r w:rsidRPr="00BF1FE3">
      <w:t>c401</w:t>
    </w:r>
    <w:r w:rsidRPr="00BF1FE3">
      <w:fldChar w:fldCharType="end"/>
    </w:r>
  </w:p>
  <w:p w:rsidR="004D27D3" w:rsidRPr="00BF1FE3" w:rsidRDefault="004D27D3">
    <w:pPr>
      <w:pStyle w:val="FSHRub1"/>
    </w:pPr>
    <w:r w:rsidRPr="00BF1FE3">
      <w:t>Motion till riksdagen</w:t>
    </w:r>
    <w:r w:rsidRPr="00BF1FE3">
      <w:br/>
    </w:r>
    <w:r w:rsidRPr="00BF1FE3">
      <w:fldChar w:fldCharType="begin" w:fldLock="1"/>
    </w:r>
    <w:r w:rsidRPr="00BF1FE3">
      <w:instrText xml:space="preserve"> DOCPROPERTY "YearUser" *\charformat </w:instrText>
    </w:r>
    <w:r w:rsidRPr="00BF1FE3">
      <w:fldChar w:fldCharType="separate"/>
    </w:r>
    <w:r w:rsidRPr="00BF1FE3">
      <w:t>2008/09</w:t>
    </w:r>
    <w:r w:rsidRPr="00BF1FE3">
      <w:fldChar w:fldCharType="end"/>
    </w:r>
    <w:r w:rsidRPr="00BF1FE3">
      <w:t>:</w:t>
    </w:r>
    <w:r w:rsidRPr="00BF1FE3">
      <w:fldChar w:fldCharType="begin" w:fldLock="1"/>
    </w:r>
    <w:r w:rsidRPr="00BF1FE3">
      <w:instrText xml:space="preserve"> DOCPROPERTY "Motionsnummer" *\charformat </w:instrText>
    </w:r>
    <w:r w:rsidRPr="00BF1FE3">
      <w:fldChar w:fldCharType="separate"/>
    </w:r>
    <w:r w:rsidRPr="00BF1FE3">
      <w:t>Kr268</w:t>
    </w:r>
    <w:r w:rsidRPr="00BF1FE3">
      <w:fldChar w:fldCharType="end"/>
    </w:r>
  </w:p>
  <w:p w:rsidR="004D27D3" w:rsidRPr="00BF1FE3" w:rsidRDefault="004D27D3">
    <w:pPr>
      <w:pStyle w:val="FSHNormalS5"/>
    </w:pPr>
    <w:r w:rsidRPr="00BF1FE3">
      <w:fldChar w:fldCharType="begin" w:fldLock="1"/>
    </w:r>
    <w:r w:rsidRPr="00BF1FE3">
      <w:instrText xml:space="preserve"> DOCPROPERTY "MotionarText" *\charformat </w:instrText>
    </w:r>
    <w:r w:rsidRPr="00BF1FE3">
      <w:fldChar w:fldCharType="separate"/>
    </w:r>
    <w:r w:rsidRPr="00BF1FE3">
      <w:t>av Kenneth Johansson och Sven Bergström (c)</w:t>
    </w:r>
    <w:r w:rsidRPr="00BF1FE3">
      <w:fldChar w:fldCharType="end"/>
    </w:r>
    <w:r w:rsidRPr="00BF1FE3">
      <w:br/>
    </w:r>
    <w:r w:rsidRPr="00BF1FE3">
      <w:fldChar w:fldCharType="begin" w:fldLock="1"/>
    </w:r>
    <w:r w:rsidRPr="00BF1FE3">
      <w:instrText xml:space="preserve"> DOCPROPERTY "SvarFrasKort" *\charformat </w:instrText>
    </w:r>
    <w:r w:rsidRPr="00BF1FE3">
      <w:fldChar w:fldCharType="end"/>
    </w:r>
  </w:p>
  <w:p w:rsidR="004D27D3" w:rsidRPr="00BF1FE3" w:rsidRDefault="004D27D3">
    <w:pPr>
      <w:pStyle w:val="FSHTitel"/>
    </w:pPr>
    <w:r w:rsidRPr="00BF1FE3">
      <w:fldChar w:fldCharType="begin" w:fldLock="1"/>
    </w:r>
    <w:r w:rsidRPr="00BF1FE3">
      <w:instrText xml:space="preserve"> DOCPROPERTY</w:instrText>
    </w:r>
    <w:r w:rsidRPr="00BF1FE3">
      <w:rPr>
        <w:sz w:val="18"/>
      </w:rPr>
      <w:instrText xml:space="preserve"> "RubrikSvar" *\charformat </w:instrText>
    </w:r>
    <w:r w:rsidRPr="00BF1FE3">
      <w:fldChar w:fldCharType="separate"/>
    </w:r>
    <w:r w:rsidRPr="00BF1FE3">
      <w:t>Allmänna samlingslokaler</w:t>
    </w:r>
    <w:r w:rsidRPr="00BF1FE3">
      <w:fldChar w:fldCharType="end"/>
    </w:r>
  </w:p>
  <w:p w:rsidR="004D27D3" w:rsidRPr="00BF1FE3" w:rsidRDefault="004D27D3">
    <w:pPr>
      <w:pStyle w:val="Normal00"/>
    </w:pPr>
  </w:p>
  <w:p w:rsidR="004D27D3" w:rsidRPr="00BF1FE3" w:rsidRDefault="004D27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C6962"/>
    <w:multiLevelType w:val="hybridMultilevel"/>
    <w:tmpl w:val="3E0E110C"/>
    <w:lvl w:ilvl="0" w:tplc="DAF692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871D42"/>
    <w:multiLevelType w:val="hybridMultilevel"/>
    <w:tmpl w:val="EFECC2BE"/>
    <w:lvl w:ilvl="0" w:tplc="43B251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3A10200"/>
    <w:multiLevelType w:val="hybridMultilevel"/>
    <w:tmpl w:val="E8604460"/>
    <w:lvl w:ilvl="0" w:tplc="0D1896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1014087">
    <w:abstractNumId w:val="8"/>
  </w:num>
  <w:num w:numId="2" w16cid:durableId="295793227">
    <w:abstractNumId w:val="9"/>
  </w:num>
  <w:num w:numId="3" w16cid:durableId="69931639">
    <w:abstractNumId w:val="8"/>
  </w:num>
  <w:num w:numId="4" w16cid:durableId="614217725">
    <w:abstractNumId w:val="9"/>
  </w:num>
  <w:num w:numId="5" w16cid:durableId="508372330">
    <w:abstractNumId w:val="16"/>
  </w:num>
  <w:num w:numId="6" w16cid:durableId="508520118">
    <w:abstractNumId w:val="11"/>
  </w:num>
  <w:num w:numId="7" w16cid:durableId="842471302">
    <w:abstractNumId w:val="12"/>
  </w:num>
  <w:num w:numId="8" w16cid:durableId="715588742">
    <w:abstractNumId w:val="13"/>
  </w:num>
  <w:num w:numId="9" w16cid:durableId="714155760">
    <w:abstractNumId w:val="8"/>
  </w:num>
  <w:num w:numId="10" w16cid:durableId="150369224">
    <w:abstractNumId w:val="3"/>
  </w:num>
  <w:num w:numId="11" w16cid:durableId="413937472">
    <w:abstractNumId w:val="2"/>
  </w:num>
  <w:num w:numId="12" w16cid:durableId="1997761280">
    <w:abstractNumId w:val="1"/>
  </w:num>
  <w:num w:numId="13" w16cid:durableId="481894161">
    <w:abstractNumId w:val="0"/>
  </w:num>
  <w:num w:numId="14" w16cid:durableId="2131316970">
    <w:abstractNumId w:val="9"/>
  </w:num>
  <w:num w:numId="15" w16cid:durableId="1663700572">
    <w:abstractNumId w:val="7"/>
  </w:num>
  <w:num w:numId="16" w16cid:durableId="207760084">
    <w:abstractNumId w:val="6"/>
  </w:num>
  <w:num w:numId="17" w16cid:durableId="884564197">
    <w:abstractNumId w:val="5"/>
  </w:num>
  <w:num w:numId="18" w16cid:durableId="1878159211">
    <w:abstractNumId w:val="4"/>
  </w:num>
  <w:num w:numId="19" w16cid:durableId="813521703">
    <w:abstractNumId w:val="15"/>
  </w:num>
  <w:num w:numId="20" w16cid:durableId="1124301868">
    <w:abstractNumId w:val="10"/>
  </w:num>
  <w:num w:numId="21" w16cid:durableId="2098286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9-29"/>
    <w:docVar w:name="PersonGUIDs" w:val="{01D0F59D-D508-4B3F-BC53-FB2BE24A38A4},{702A731C-6BF1-4A07-88F2-23ECBB444940}"/>
  </w:docVars>
  <w:rsids>
    <w:rsidRoot w:val="007014BD"/>
    <w:rsid w:val="004D27D3"/>
    <w:rsid w:val="007014BD"/>
    <w:rsid w:val="00BF1F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BBB206-D8FC-4CB1-83E7-C57DA26B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2510</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c401</vt:lpstr>
    </vt:vector>
  </TitlesOfParts>
  <Company>Riksdagen</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c401</dc:title>
  <dc:subject>c401</dc:subject>
  <dc:creator>Riksdagen</dc:creator>
  <cp:keywords>Riksdagen</cp:keywords>
  <dc:description>TKG-ktrl, MSMQ4mb, PersReg-Distribution mm</dc:description>
  <cp:lastModifiedBy>Lars Brink</cp:lastModifiedBy>
  <cp:revision>2</cp:revision>
  <cp:lastPrinted>2009-01-26T15:44:00Z</cp:lastPrinted>
  <dcterms:created xsi:type="dcterms:W3CDTF">2025-12-17T17:19:00Z</dcterms:created>
  <dcterms:modified xsi:type="dcterms:W3CDTF">2025-12-17T17:19:00Z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mot2000_492_2008-09-29</vt:lpwstr>
  </property>
  <property fmtid="{D5CDD505-2E9C-101B-9397-08002B2CF9AE}" pid="3" name="version">
    <vt:lpwstr>mot2000_492_2008-09-29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Allmänna samlingslokaler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samlingslokaler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Sven Bergström (c)</vt:lpwstr>
  </property>
  <property fmtid="{D5CDD505-2E9C-101B-9397-08002B2CF9AE}" pid="26" name="MotionarLista">
    <vt:lpwstr>Johansson, Kenneth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20082009000000000099000004010069</vt:lpwstr>
  </property>
  <property fmtid="{D5CDD505-2E9C-101B-9397-08002B2CF9AE}" pid="47" name="datum">
    <vt:lpwstr>080929</vt:lpwstr>
  </property>
  <property fmtid="{D5CDD505-2E9C-101B-9397-08002B2CF9AE}" pid="48" name="avsändar-e-post">
    <vt:lpwstr>kennet.ericzon@riksdagen.se</vt:lpwstr>
  </property>
  <property fmtid="{D5CDD505-2E9C-101B-9397-08002B2CF9AE}" pid="49" name="id">
    <vt:lpwstr>20082009000000000099000004010069</vt:lpwstr>
  </property>
  <property fmtid="{D5CDD505-2E9C-101B-9397-08002B2CF9AE}" pid="50" name="nummer">
    <vt:lpwstr>268</vt:lpwstr>
  </property>
  <property fmtid="{D5CDD505-2E9C-101B-9397-08002B2CF9AE}" pid="51" name="utskottsbeteckning">
    <vt:lpwstr>Kr</vt:lpwstr>
  </property>
  <property fmtid="{D5CDD505-2E9C-101B-9397-08002B2CF9AE}" pid="52" name="GlobalUID">
    <vt:lpwstr>{729156F6-86E6-435D-BEEE-860CF76F9DC9}</vt:lpwstr>
  </property>
  <property fmtid="{D5CDD505-2E9C-101B-9397-08002B2CF9AE}" pid="53" name="Överföringar">
    <vt:i4>0</vt:i4>
  </property>
  <property fmtid="{D5CDD505-2E9C-101B-9397-08002B2CF9AE}" pid="54" name="Checksum">
    <vt:lpwstr>*0016443173928*</vt:lpwstr>
  </property>
  <property fmtid="{D5CDD505-2E9C-101B-9397-08002B2CF9AE}" pid="55" name="skuggnummer">
    <vt:lpwstr>1598</vt:lpwstr>
  </property>
  <property fmtid="{D5CDD505-2E9C-101B-9397-08002B2CF9AE}" pid="56" name="urixVersion">
    <vt:lpwstr>3.2.0.8</vt:lpwstr>
  </property>
  <property fmtid="{D5CDD505-2E9C-101B-9397-08002B2CF9AE}" pid="57" name="urixOrigin">
    <vt:lpwstr>090402 08:35:10.671</vt:lpwstr>
  </property>
  <property fmtid="{D5CDD505-2E9C-101B-9397-08002B2CF9AE}" pid="58" name="urixGuid">
    <vt:lpwstr>{C7CA052B-4CBE-4FE8-A455-32CF30F12451}</vt:lpwstr>
  </property>
</Properties>
</file>