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60E1F">
        <w:tblPrEx>
          <w:tblCellMar>
            <w:top w:w="0" w:type="dxa"/>
            <w:left w:w="0" w:type="dxa"/>
            <w:bottom w:w="0" w:type="dxa"/>
            <w:right w:w="0" w:type="dxa"/>
          </w:tblCellMar>
        </w:tblPrEx>
        <w:trPr>
          <w:gridAfter w:val="2"/>
          <w:wAfter w:w="1758" w:type="dxa"/>
          <w:cantSplit/>
          <w:trHeight w:val="1320"/>
        </w:trPr>
        <w:tc>
          <w:tcPr>
            <w:tcW w:w="5897" w:type="dxa"/>
          </w:tcPr>
          <w:p w:rsidR="00012551" w:rsidRPr="00C60E1F" w:rsidRDefault="00012551">
            <w:pPr>
              <w:pStyle w:val="HuvudRubrik"/>
            </w:pPr>
            <w:r w:rsidRPr="00C60E1F">
              <w:t>Regeringskansliet</w:t>
            </w:r>
          </w:p>
          <w:p w:rsidR="00012551" w:rsidRPr="00C60E1F" w:rsidRDefault="00012551">
            <w:pPr>
              <w:pStyle w:val="HuvudRubrik"/>
            </w:pPr>
            <w:r w:rsidRPr="00C60E1F">
              <w:t xml:space="preserve">Faktapromemoria  </w:t>
            </w:r>
            <w:r w:rsidRPr="00C60E1F">
              <w:t>2006/07</w:t>
            </w:r>
            <w:r w:rsidRPr="00C60E1F">
              <w:t>:</w:t>
            </w:r>
            <w:r w:rsidRPr="00C60E1F">
              <w:t>FPM109</w:t>
            </w:r>
          </w:p>
        </w:tc>
      </w:tr>
      <w:tr w:rsidR="00000000" w:rsidRPr="00C60E1F">
        <w:tblPrEx>
          <w:tblCellMar>
            <w:top w:w="0" w:type="dxa"/>
            <w:left w:w="0" w:type="dxa"/>
            <w:bottom w:w="0" w:type="dxa"/>
            <w:right w:w="0" w:type="dxa"/>
          </w:tblCellMar>
        </w:tblPrEx>
        <w:trPr>
          <w:gridAfter w:val="2"/>
          <w:wAfter w:w="1758" w:type="dxa"/>
          <w:cantSplit/>
          <w:trHeight w:val="240"/>
        </w:trPr>
        <w:tc>
          <w:tcPr>
            <w:tcW w:w="5897" w:type="dxa"/>
          </w:tcPr>
          <w:p w:rsidR="00012551" w:rsidRPr="00C60E1F" w:rsidRDefault="00012551">
            <w:pPr>
              <w:pStyle w:val="HuvudRubrik"/>
              <w:rPr>
                <w:sz w:val="28"/>
              </w:rPr>
            </w:pPr>
            <w:r w:rsidRPr="00C60E1F">
              <w:t xml:space="preserve">Rapporter om Bularien och Rumänien efter anslutningen till EU </w:t>
            </w:r>
          </w:p>
        </w:tc>
      </w:tr>
      <w:tr w:rsidR="006D4AA5" w:rsidRPr="00C60E1F">
        <w:tblPrEx>
          <w:tblCellMar>
            <w:top w:w="0" w:type="dxa"/>
            <w:left w:w="0" w:type="dxa"/>
            <w:bottom w:w="0" w:type="dxa"/>
            <w:right w:w="0" w:type="dxa"/>
          </w:tblCellMar>
        </w:tblPrEx>
        <w:trPr>
          <w:cantSplit/>
          <w:trHeight w:val="285"/>
        </w:trPr>
        <w:tc>
          <w:tcPr>
            <w:tcW w:w="7655" w:type="dxa"/>
            <w:gridSpan w:val="3"/>
          </w:tcPr>
          <w:p w:rsidR="006D4AA5" w:rsidRPr="00C60E1F" w:rsidRDefault="00AF227A">
            <w:pPr>
              <w:pStyle w:val="Departement"/>
              <w:rPr>
                <w:sz w:val="28"/>
              </w:rPr>
            </w:pPr>
            <w:r w:rsidRPr="00C60E1F">
              <w:t>Utrikesdepartementet</w:t>
            </w:r>
          </w:p>
        </w:tc>
      </w:tr>
      <w:tr w:rsidR="006D4AA5" w:rsidRPr="00C60E1F">
        <w:tblPrEx>
          <w:tblCellMar>
            <w:top w:w="0" w:type="dxa"/>
            <w:left w:w="0" w:type="dxa"/>
            <w:bottom w:w="0" w:type="dxa"/>
            <w:right w:w="0" w:type="dxa"/>
          </w:tblCellMar>
        </w:tblPrEx>
        <w:trPr>
          <w:cantSplit/>
          <w:trHeight w:val="240"/>
        </w:trPr>
        <w:tc>
          <w:tcPr>
            <w:tcW w:w="7655" w:type="dxa"/>
            <w:gridSpan w:val="3"/>
          </w:tcPr>
          <w:p w:rsidR="006D4AA5" w:rsidRPr="00C60E1F" w:rsidRDefault="00AF227A">
            <w:pPr>
              <w:pStyle w:val="Dokumentdatum"/>
            </w:pPr>
            <w:r w:rsidRPr="00C60E1F">
              <w:t>2007-07-24</w:t>
            </w:r>
          </w:p>
        </w:tc>
      </w:tr>
      <w:tr w:rsidR="006D4AA5" w:rsidRPr="00C60E1F">
        <w:tblPrEx>
          <w:tblCellMar>
            <w:top w:w="0" w:type="dxa"/>
            <w:left w:w="0" w:type="dxa"/>
            <w:bottom w:w="0" w:type="dxa"/>
            <w:right w:w="0" w:type="dxa"/>
          </w:tblCellMar>
        </w:tblPrEx>
        <w:trPr>
          <w:cantSplit/>
          <w:trHeight w:val="726"/>
        </w:trPr>
        <w:tc>
          <w:tcPr>
            <w:tcW w:w="7655" w:type="dxa"/>
            <w:gridSpan w:val="3"/>
            <w:vAlign w:val="bottom"/>
          </w:tcPr>
          <w:p w:rsidR="006D4AA5" w:rsidRPr="00C60E1F" w:rsidRDefault="006D4AA5">
            <w:pPr>
              <w:pStyle w:val="Dokumentbeteckning"/>
            </w:pPr>
            <w:r w:rsidRPr="00C60E1F">
              <w:t>Dokumentbeteckning</w:t>
            </w:r>
          </w:p>
        </w:tc>
      </w:tr>
      <w:tr w:rsidR="00001690" w:rsidRPr="00C60E1F">
        <w:tblPrEx>
          <w:tblCellMar>
            <w:top w:w="0" w:type="dxa"/>
            <w:left w:w="0" w:type="dxa"/>
            <w:bottom w:w="0" w:type="dxa"/>
            <w:right w:w="0" w:type="dxa"/>
          </w:tblCellMar>
        </w:tblPrEx>
        <w:trPr>
          <w:gridAfter w:val="1"/>
          <w:wAfter w:w="1560" w:type="dxa"/>
          <w:trHeight w:val="120"/>
        </w:trPr>
        <w:tc>
          <w:tcPr>
            <w:tcW w:w="6095" w:type="dxa"/>
            <w:gridSpan w:val="2"/>
          </w:tcPr>
          <w:p w:rsidR="00001690" w:rsidRPr="00C60E1F" w:rsidRDefault="00AF227A" w:rsidP="00AF227A">
            <w:bookmarkStart w:id="0" w:name="KomNr"/>
            <w:bookmarkEnd w:id="0"/>
            <w:r w:rsidRPr="00C60E1F">
              <w:t>KOM (2007) 377</w:t>
            </w:r>
          </w:p>
        </w:tc>
      </w:tr>
      <w:tr w:rsidR="00AF227A" w:rsidRPr="00C60E1F">
        <w:tblPrEx>
          <w:tblCellMar>
            <w:top w:w="0" w:type="dxa"/>
            <w:left w:w="0" w:type="dxa"/>
            <w:bottom w:w="0" w:type="dxa"/>
            <w:right w:w="0" w:type="dxa"/>
          </w:tblCellMar>
        </w:tblPrEx>
        <w:trPr>
          <w:gridAfter w:val="1"/>
          <w:wAfter w:w="1560" w:type="dxa"/>
          <w:trHeight w:val="120"/>
        </w:trPr>
        <w:tc>
          <w:tcPr>
            <w:tcW w:w="6095" w:type="dxa"/>
            <w:gridSpan w:val="2"/>
          </w:tcPr>
          <w:p w:rsidR="00AF227A" w:rsidRPr="00C60E1F" w:rsidRDefault="00AF227A" w:rsidP="00AF227A">
            <w:pPr>
              <w:pStyle w:val="Dokumentbeteckning-titel"/>
            </w:pPr>
            <w:r w:rsidRPr="00C60E1F">
              <w:t>Report from the European Commission to the Council and the European Parliament on Bulgaria's progress on accompanying measures following Accession</w:t>
            </w:r>
          </w:p>
        </w:tc>
      </w:tr>
      <w:tr w:rsidR="00AF227A" w:rsidRPr="00C60E1F">
        <w:tblPrEx>
          <w:tblCellMar>
            <w:top w:w="0" w:type="dxa"/>
            <w:left w:w="0" w:type="dxa"/>
            <w:bottom w:w="0" w:type="dxa"/>
            <w:right w:w="0" w:type="dxa"/>
          </w:tblCellMar>
        </w:tblPrEx>
        <w:trPr>
          <w:gridAfter w:val="1"/>
          <w:wAfter w:w="1560" w:type="dxa"/>
          <w:trHeight w:val="120"/>
        </w:trPr>
        <w:tc>
          <w:tcPr>
            <w:tcW w:w="6095" w:type="dxa"/>
            <w:gridSpan w:val="2"/>
          </w:tcPr>
          <w:p w:rsidR="00AF227A" w:rsidRPr="00C60E1F" w:rsidRDefault="00AF227A" w:rsidP="00AF227A">
            <w:r w:rsidRPr="00C60E1F">
              <w:t>KOM (2007) 378</w:t>
            </w:r>
          </w:p>
        </w:tc>
      </w:tr>
      <w:tr w:rsidR="00AF227A" w:rsidRPr="00C60E1F">
        <w:tblPrEx>
          <w:tblCellMar>
            <w:top w:w="0" w:type="dxa"/>
            <w:left w:w="0" w:type="dxa"/>
            <w:bottom w:w="0" w:type="dxa"/>
            <w:right w:w="0" w:type="dxa"/>
          </w:tblCellMar>
        </w:tblPrEx>
        <w:trPr>
          <w:gridAfter w:val="1"/>
          <w:wAfter w:w="1560" w:type="dxa"/>
          <w:trHeight w:val="120"/>
        </w:trPr>
        <w:tc>
          <w:tcPr>
            <w:tcW w:w="6095" w:type="dxa"/>
            <w:gridSpan w:val="2"/>
          </w:tcPr>
          <w:p w:rsidR="00AF227A" w:rsidRPr="00C60E1F" w:rsidRDefault="00AF227A" w:rsidP="00AF227A">
            <w:pPr>
              <w:pStyle w:val="Dokumentbeteckning-titel"/>
            </w:pPr>
            <w:r w:rsidRPr="00C60E1F">
              <w:t>Report from the European Commission to the Council and the European Parliament on Rumania's progress on accompanying measures following Accession</w:t>
            </w:r>
          </w:p>
        </w:tc>
      </w:tr>
    </w:tbl>
    <w:p w:rsidR="006D4AA5" w:rsidRPr="00C60E1F" w:rsidRDefault="006D4AA5"/>
    <w:p w:rsidR="006D4AA5" w:rsidRPr="00C60E1F" w:rsidRDefault="006D4AA5">
      <w:pPr>
        <w:pStyle w:val="Rubrik1"/>
        <w:numPr>
          <w:ilvl w:val="0"/>
          <w:numId w:val="0"/>
        </w:numPr>
      </w:pPr>
      <w:r w:rsidRPr="00C60E1F">
        <w:t>Sammanfattning</w:t>
      </w:r>
    </w:p>
    <w:p w:rsidR="007171E7" w:rsidRPr="00C60E1F" w:rsidRDefault="00BF4AB4" w:rsidP="002306CC">
      <w:r w:rsidRPr="00C60E1F">
        <w:t>Kommissionen</w:t>
      </w:r>
      <w:r w:rsidR="0029630C" w:rsidRPr="00C60E1F">
        <w:t xml:space="preserve"> avser att fortsätta sin granskning av Bulgariens och Rumäniens framsteg inom </w:t>
      </w:r>
      <w:r w:rsidR="007171E7" w:rsidRPr="00C60E1F">
        <w:t xml:space="preserve">de </w:t>
      </w:r>
      <w:r w:rsidR="0029630C" w:rsidRPr="00C60E1F">
        <w:t>områden</w:t>
      </w:r>
      <w:r w:rsidR="007171E7" w:rsidRPr="00C60E1F">
        <w:t xml:space="preserve"> som är</w:t>
      </w:r>
      <w:r w:rsidR="0029630C" w:rsidRPr="00C60E1F">
        <w:t xml:space="preserve"> </w:t>
      </w:r>
      <w:r w:rsidR="00381AD7" w:rsidRPr="00C60E1F">
        <w:t xml:space="preserve">förknippade med </w:t>
      </w:r>
      <w:r w:rsidR="0029630C" w:rsidRPr="00C60E1F">
        <w:t>skyddsåtgärder</w:t>
      </w:r>
      <w:r w:rsidR="007171E7" w:rsidRPr="00C60E1F">
        <w:t xml:space="preserve"> i ländernas anslutningsfördag och i EU:s regelverk</w:t>
      </w:r>
      <w:r w:rsidR="00381AD7" w:rsidRPr="00C60E1F">
        <w:t xml:space="preserve">. </w:t>
      </w:r>
      <w:r w:rsidR="002306CC" w:rsidRPr="00C60E1F">
        <w:t xml:space="preserve">Kommissionens beslut grundar </w:t>
      </w:r>
      <w:r w:rsidR="007B2297" w:rsidRPr="00C60E1F">
        <w:t xml:space="preserve">sig på bedömningen att länderna </w:t>
      </w:r>
      <w:r w:rsidR="006E04A8" w:rsidRPr="00C60E1F">
        <w:t xml:space="preserve">har </w:t>
      </w:r>
      <w:r w:rsidR="007B2297" w:rsidRPr="00C60E1F">
        <w:t xml:space="preserve">gjort </w:t>
      </w:r>
      <w:r w:rsidR="002306CC" w:rsidRPr="00C60E1F">
        <w:t>framsteg</w:t>
      </w:r>
      <w:r w:rsidR="007171E7" w:rsidRPr="00C60E1F">
        <w:t xml:space="preserve"> i sin anpassning </w:t>
      </w:r>
      <w:r w:rsidR="002306CC" w:rsidRPr="00C60E1F">
        <w:t xml:space="preserve">efter anslutningen den 1 januari 2007 </w:t>
      </w:r>
      <w:r w:rsidR="007B2297" w:rsidRPr="00C60E1F">
        <w:t xml:space="preserve">men att dessa </w:t>
      </w:r>
      <w:r w:rsidR="00917AA9" w:rsidRPr="00C60E1F">
        <w:t xml:space="preserve">ännu </w:t>
      </w:r>
      <w:r w:rsidR="002306CC" w:rsidRPr="00C60E1F">
        <w:t>är otillräckliga.</w:t>
      </w:r>
      <w:r w:rsidR="007B2297" w:rsidRPr="00C60E1F">
        <w:t xml:space="preserve"> </w:t>
      </w:r>
    </w:p>
    <w:p w:rsidR="002306CC" w:rsidRPr="00C60E1F" w:rsidRDefault="002306CC" w:rsidP="002306CC">
      <w:r w:rsidRPr="00C60E1F">
        <w:t>Kommissionen anser inte</w:t>
      </w:r>
      <w:r w:rsidR="007171E7" w:rsidRPr="00C60E1F">
        <w:t xml:space="preserve"> att</w:t>
      </w:r>
      <w:r w:rsidRPr="00C60E1F">
        <w:t xml:space="preserve"> </w:t>
      </w:r>
      <w:r w:rsidR="006E04A8" w:rsidRPr="00C60E1F">
        <w:t xml:space="preserve">skyddsklausulen på området rättliga och inrikes frågor </w:t>
      </w:r>
      <w:r w:rsidRPr="00C60E1F">
        <w:t xml:space="preserve">behöver tillämpas i detta skede. </w:t>
      </w:r>
      <w:r w:rsidR="006E04A8" w:rsidRPr="00C60E1F">
        <w:t xml:space="preserve">Beslut om huruvida </w:t>
      </w:r>
      <w:r w:rsidR="007171E7" w:rsidRPr="00C60E1F">
        <w:t xml:space="preserve">den särskilda mekanismen på jordbruksområdet </w:t>
      </w:r>
      <w:r w:rsidR="00494582" w:rsidRPr="00C60E1F">
        <w:t>ska</w:t>
      </w:r>
      <w:r w:rsidR="00152B3E" w:rsidRPr="00C60E1F">
        <w:t xml:space="preserve"> </w:t>
      </w:r>
      <w:r w:rsidR="00494582" w:rsidRPr="00C60E1F">
        <w:t xml:space="preserve">aktiveras </w:t>
      </w:r>
      <w:r w:rsidR="007171E7" w:rsidRPr="00C60E1F">
        <w:t xml:space="preserve">(innebärandes möjlighet att minska stödet med 25% om länderna inte klarar av att upprätta fullvärdiga strukturer för administration av stödet) fattas senare. </w:t>
      </w:r>
    </w:p>
    <w:p w:rsidR="00917AA9" w:rsidRPr="00C60E1F" w:rsidRDefault="00917AA9" w:rsidP="00001690"/>
    <w:p w:rsidR="00917AA9" w:rsidRPr="00C60E1F" w:rsidRDefault="00917AA9" w:rsidP="00001690">
      <w:r w:rsidRPr="00C60E1F">
        <w:t>Regeringen välkomnar kommissionens rapport</w:t>
      </w:r>
      <w:r w:rsidR="007D43EE" w:rsidRPr="00C60E1F">
        <w:t>er</w:t>
      </w:r>
      <w:r w:rsidRPr="00C60E1F">
        <w:t xml:space="preserve"> och instämmer i allt väsentligt i de bedömningar och ställningstaganden som görs </w:t>
      </w:r>
      <w:r w:rsidR="00494582" w:rsidRPr="00C60E1F">
        <w:t>av komm</w:t>
      </w:r>
      <w:r w:rsidR="00642603" w:rsidRPr="00C60E1F">
        <w:t>i</w:t>
      </w:r>
      <w:r w:rsidR="00494582" w:rsidRPr="00C60E1F">
        <w:t>ssionen</w:t>
      </w:r>
      <w:r w:rsidR="00152B3E" w:rsidRPr="00C60E1F">
        <w:t>.</w:t>
      </w:r>
      <w:r w:rsidR="007171E7" w:rsidRPr="00C60E1F">
        <w:t xml:space="preserve"> </w:t>
      </w:r>
    </w:p>
    <w:p w:rsidR="00917AA9" w:rsidRPr="00C60E1F" w:rsidRDefault="00917AA9" w:rsidP="00001690"/>
    <w:p w:rsidR="006D4AA5" w:rsidRPr="00C60E1F" w:rsidRDefault="006D4AA5">
      <w:pPr>
        <w:pStyle w:val="Rubrik1"/>
      </w:pPr>
      <w:r w:rsidRPr="00C60E1F">
        <w:lastRenderedPageBreak/>
        <w:t>Förslaget</w:t>
      </w:r>
    </w:p>
    <w:p w:rsidR="006D4AA5" w:rsidRPr="00C60E1F" w:rsidRDefault="006D4AA5">
      <w:pPr>
        <w:pStyle w:val="Rubrik2"/>
      </w:pPr>
      <w:r w:rsidRPr="00C60E1F">
        <w:t>Innehåll</w:t>
      </w:r>
    </w:p>
    <w:p w:rsidR="00C04CF0" w:rsidRPr="00C60E1F" w:rsidRDefault="007171E7" w:rsidP="00001690">
      <w:r w:rsidRPr="00C60E1F">
        <w:t xml:space="preserve">Den 27 juni 2007 avgav kommissionen rapporter om </w:t>
      </w:r>
      <w:r w:rsidR="005A0E0B" w:rsidRPr="00C60E1F">
        <w:t xml:space="preserve">Bulgariens och Rumäniens </w:t>
      </w:r>
      <w:r w:rsidRPr="00C60E1F">
        <w:t xml:space="preserve">fortsatta </w:t>
      </w:r>
      <w:r w:rsidR="005A0E0B" w:rsidRPr="00C60E1F">
        <w:t xml:space="preserve">anpassning </w:t>
      </w:r>
      <w:r w:rsidR="00494582" w:rsidRPr="00C60E1F">
        <w:t xml:space="preserve"> rörande</w:t>
      </w:r>
      <w:r w:rsidR="005A0E0B" w:rsidRPr="00C60E1F">
        <w:t xml:space="preserve"> bl.a. rättsliga och inrikes frågor samt jordbruksområdet</w:t>
      </w:r>
      <w:r w:rsidRPr="00C60E1F">
        <w:t>. Rapporterna utgör ett led i den fortsatta granskningen av länderna sedan deras inträde i EU den 1 januari i år.</w:t>
      </w:r>
      <w:r w:rsidR="005A0E0B" w:rsidRPr="00C60E1F">
        <w:t xml:space="preserve"> Beslut</w:t>
      </w:r>
      <w:r w:rsidRPr="00C60E1F">
        <w:t xml:space="preserve"> om fortsatt granskning</w:t>
      </w:r>
      <w:r w:rsidR="00B3573A" w:rsidRPr="00C60E1F">
        <w:t xml:space="preserve"> av dessa områden</w:t>
      </w:r>
      <w:r w:rsidRPr="00C60E1F">
        <w:t xml:space="preserve"> fattades av rådet </w:t>
      </w:r>
      <w:r w:rsidR="005A0E0B" w:rsidRPr="00C60E1F">
        <w:t xml:space="preserve">i oktober 2006 på grundval av en s.k. översynsrapport från kommissionen. </w:t>
      </w:r>
      <w:r w:rsidRPr="00C60E1F">
        <w:t>Denna</w:t>
      </w:r>
      <w:r w:rsidR="00C04CF0" w:rsidRPr="00C60E1F">
        <w:t xml:space="preserve"> konstaterade bl.a. att Bulgarien och Rumänien </w:t>
      </w:r>
      <w:r w:rsidR="00B3573A" w:rsidRPr="00C60E1F">
        <w:t xml:space="preserve">hade </w:t>
      </w:r>
      <w:r w:rsidR="00C04CF0" w:rsidRPr="00C60E1F">
        <w:t xml:space="preserve">fortsatt att göra framsteg inom utestående områden, men att vissa ytterligare åtgärder alltjämt krävdes. </w:t>
      </w:r>
      <w:r w:rsidR="00B24823" w:rsidRPr="00C60E1F">
        <w:t xml:space="preserve">Bl.a. </w:t>
      </w:r>
      <w:r w:rsidR="00B3573A" w:rsidRPr="00C60E1F">
        <w:t>behövde båda länderna</w:t>
      </w:r>
      <w:r w:rsidR="00C04CF0" w:rsidRPr="00C60E1F">
        <w:t xml:space="preserve"> genomföra ytterligare rättsreformer och fortsätta kampen mot korruption. P</w:t>
      </w:r>
      <w:r w:rsidR="008C571B" w:rsidRPr="00C60E1F">
        <w:t>å jordbruksområdet framhävdes</w:t>
      </w:r>
      <w:r w:rsidR="00C04CF0" w:rsidRPr="00C60E1F">
        <w:t xml:space="preserve"> vikte</w:t>
      </w:r>
      <w:r w:rsidR="008C571B" w:rsidRPr="00C60E1F">
        <w:t>n av att båda länderna upprättar</w:t>
      </w:r>
      <w:r w:rsidR="00C04CF0" w:rsidRPr="00C60E1F">
        <w:t xml:space="preserve"> ett välfungerande kontroll- och administrationssystem samt geografiskt informationssystem för jordbruksstöd. </w:t>
      </w:r>
    </w:p>
    <w:p w:rsidR="00C04CF0" w:rsidRPr="00C60E1F" w:rsidRDefault="00C04CF0" w:rsidP="00001690"/>
    <w:p w:rsidR="001A0735" w:rsidRPr="00C60E1F" w:rsidRDefault="00C04CF0" w:rsidP="00001690">
      <w:r w:rsidRPr="00C60E1F">
        <w:t>Eventuella fortsatta brister i anpassningen efter anslutningen hantera</w:t>
      </w:r>
      <w:r w:rsidR="008C571B" w:rsidRPr="00C60E1F">
        <w:t>s genom diverse skyddsåtgärder (</w:t>
      </w:r>
      <w:r w:rsidR="00B3573A" w:rsidRPr="00C60E1F">
        <w:t>se detaljerad</w:t>
      </w:r>
      <w:r w:rsidR="008C571B" w:rsidRPr="00C60E1F">
        <w:t xml:space="preserve"> redogörelse </w:t>
      </w:r>
      <w:r w:rsidR="00B3573A" w:rsidRPr="00C60E1F">
        <w:t xml:space="preserve">härom </w:t>
      </w:r>
      <w:r w:rsidR="001A0735" w:rsidRPr="00C60E1F">
        <w:t>i</w:t>
      </w:r>
      <w:r w:rsidR="008C571B" w:rsidRPr="00C60E1F">
        <w:t xml:space="preserve"> Faktapromemoria  2006/07 FPM 6 2006-11-01). De </w:t>
      </w:r>
      <w:r w:rsidRPr="00C60E1F">
        <w:t xml:space="preserve">skyddsklausuler som specificerats i Bulgariens och Rumäniens anslutningsfördrag omfattar </w:t>
      </w:r>
      <w:r w:rsidR="00E56A45" w:rsidRPr="00C60E1F">
        <w:t>bl.a.</w:t>
      </w:r>
      <w:r w:rsidRPr="00C60E1F">
        <w:t xml:space="preserve"> en specifik klausul rörande rättsliga och inrikes frågor, som </w:t>
      </w:r>
      <w:r w:rsidR="00B24823" w:rsidRPr="00C60E1F">
        <w:t xml:space="preserve">vid </w:t>
      </w:r>
      <w:r w:rsidR="00B3573A" w:rsidRPr="00C60E1F">
        <w:t xml:space="preserve">ett eventuellt </w:t>
      </w:r>
      <w:r w:rsidR="00B24823" w:rsidRPr="00C60E1F">
        <w:t xml:space="preserve">utlösande </w:t>
      </w:r>
      <w:r w:rsidRPr="00C60E1F">
        <w:t>medför att</w:t>
      </w:r>
      <w:r w:rsidR="00B3573A" w:rsidRPr="00C60E1F">
        <w:t xml:space="preserve"> principen om</w:t>
      </w:r>
      <w:r w:rsidRPr="00C60E1F">
        <w:t xml:space="preserve"> ömsesidigt erkännande av domar och beslut inte tillämpas. </w:t>
      </w:r>
      <w:r w:rsidR="00E56A45" w:rsidRPr="00C60E1F">
        <w:t xml:space="preserve">I sin rapport från den 27 juni </w:t>
      </w:r>
      <w:r w:rsidR="00B3573A" w:rsidRPr="00C60E1F">
        <w:t xml:space="preserve">2007 </w:t>
      </w:r>
      <w:r w:rsidR="00E56A45" w:rsidRPr="00C60E1F">
        <w:t xml:space="preserve">framhåller kommissionen att man inte anser att denna skyddsåtgärd behöver tillämpas i detta skede. </w:t>
      </w:r>
    </w:p>
    <w:p w:rsidR="00B3573A" w:rsidRPr="00C60E1F" w:rsidRDefault="00B3573A" w:rsidP="00001690"/>
    <w:p w:rsidR="0065429B" w:rsidRPr="00C60E1F" w:rsidRDefault="001A0735" w:rsidP="00001690">
      <w:r w:rsidRPr="00C60E1F">
        <w:t xml:space="preserve">Kommissionen </w:t>
      </w:r>
      <w:r w:rsidR="00B3573A" w:rsidRPr="00C60E1F">
        <w:t>konstaterar</w:t>
      </w:r>
      <w:r w:rsidRPr="00C60E1F">
        <w:t xml:space="preserve"> </w:t>
      </w:r>
      <w:r w:rsidR="00B3573A" w:rsidRPr="00C60E1F">
        <w:t xml:space="preserve">vidare </w:t>
      </w:r>
      <w:r w:rsidRPr="00C60E1F">
        <w:t>att båda länderna har gjort viktiga reformframsteg sedan inträdet i EU</w:t>
      </w:r>
      <w:r w:rsidR="007D43EE" w:rsidRPr="00C60E1F">
        <w:t>. Samtidigt har den</w:t>
      </w:r>
      <w:r w:rsidRPr="00C60E1F">
        <w:t xml:space="preserve"> korta tidsperioden </w:t>
      </w:r>
      <w:r w:rsidR="007D43EE" w:rsidRPr="00C60E1F">
        <w:t xml:space="preserve"> (</w:t>
      </w:r>
      <w:r w:rsidRPr="00C60E1F">
        <w:t xml:space="preserve">under vilken </w:t>
      </w:r>
      <w:r w:rsidR="00B3573A" w:rsidRPr="00C60E1F">
        <w:t>de</w:t>
      </w:r>
      <w:r w:rsidRPr="00C60E1F">
        <w:t xml:space="preserve"> fortsatta </w:t>
      </w:r>
      <w:r w:rsidR="00B3573A" w:rsidRPr="00C60E1F">
        <w:t>ansträngningarna</w:t>
      </w:r>
      <w:r w:rsidRPr="00C60E1F">
        <w:t xml:space="preserve"> har utvärderats</w:t>
      </w:r>
      <w:r w:rsidR="007D43EE" w:rsidRPr="00C60E1F">
        <w:t>)</w:t>
      </w:r>
      <w:r w:rsidRPr="00C60E1F">
        <w:t xml:space="preserve"> </w:t>
      </w:r>
      <w:r w:rsidR="00B3573A" w:rsidRPr="00C60E1F">
        <w:t xml:space="preserve">inte medgett </w:t>
      </w:r>
      <w:r w:rsidRPr="00C60E1F">
        <w:t xml:space="preserve"> uppvisande av övertygande resultat</w:t>
      </w:r>
      <w:r w:rsidR="00B3573A" w:rsidRPr="00C60E1F">
        <w:t xml:space="preserve">. </w:t>
      </w:r>
      <w:r w:rsidR="0065429B" w:rsidRPr="00C60E1F">
        <w:t xml:space="preserve">Vidare understryks vikten av förstärkt implementering av lagar och beslut för att påvisa att reformprocessen är oåterkallelig.  </w:t>
      </w:r>
    </w:p>
    <w:p w:rsidR="0065429B" w:rsidRPr="00C60E1F" w:rsidRDefault="0065429B" w:rsidP="00001690"/>
    <w:p w:rsidR="001A0735" w:rsidRPr="00C60E1F" w:rsidRDefault="00B3573A" w:rsidP="00001690">
      <w:r w:rsidRPr="00C60E1F">
        <w:t xml:space="preserve">Vad avser de specifika kraven på fortsatta rättsreformer noteras att </w:t>
      </w:r>
      <w:r w:rsidR="00721EE6" w:rsidRPr="00C60E1F">
        <w:t xml:space="preserve">Bulgarien och Rumänien </w:t>
      </w:r>
      <w:r w:rsidRPr="00C60E1F">
        <w:t>har gjort vissa</w:t>
      </w:r>
      <w:r w:rsidR="00721EE6" w:rsidRPr="00C60E1F">
        <w:t xml:space="preserve"> framsteg </w:t>
      </w:r>
      <w:r w:rsidRPr="00C60E1F">
        <w:t>härvidlag</w:t>
      </w:r>
      <w:r w:rsidR="00721EE6" w:rsidRPr="00C60E1F">
        <w:t xml:space="preserve">. </w:t>
      </w:r>
      <w:r w:rsidR="007B2297" w:rsidRPr="00C60E1F">
        <w:t xml:space="preserve">Därtill </w:t>
      </w:r>
      <w:r w:rsidR="007D43EE" w:rsidRPr="00C60E1F">
        <w:t xml:space="preserve">anses ländernas </w:t>
      </w:r>
      <w:r w:rsidR="007B2297" w:rsidRPr="00C60E1F">
        <w:t xml:space="preserve">ansträngningar i kampen mot </w:t>
      </w:r>
      <w:r w:rsidR="00721EE6" w:rsidRPr="00C60E1F">
        <w:t>korruption på lägre nivåer</w:t>
      </w:r>
      <w:r w:rsidR="007D43EE" w:rsidRPr="00C60E1F">
        <w:t xml:space="preserve"> ha gett positiva resultat. </w:t>
      </w:r>
      <w:r w:rsidR="007B2297" w:rsidRPr="00C60E1F">
        <w:t xml:space="preserve">Ytterligare krafttag efterlyses dock vad gäller </w:t>
      </w:r>
      <w:r w:rsidR="00721EE6" w:rsidRPr="00C60E1F">
        <w:t>bekämpning av högnivåkorruption</w:t>
      </w:r>
      <w:r w:rsidR="007B2297" w:rsidRPr="00C60E1F">
        <w:t xml:space="preserve"> samt för Bulgariens del även  organiserad brottslighet. </w:t>
      </w:r>
    </w:p>
    <w:p w:rsidR="0065429B" w:rsidRPr="00C60E1F" w:rsidRDefault="0065429B" w:rsidP="00001690"/>
    <w:p w:rsidR="0065429B" w:rsidRPr="00C60E1F" w:rsidRDefault="007B2297" w:rsidP="00001690">
      <w:r w:rsidRPr="00C60E1F">
        <w:t xml:space="preserve">Kommissionen avger </w:t>
      </w:r>
      <w:r w:rsidR="00B3573A" w:rsidRPr="00C60E1F">
        <w:t>även</w:t>
      </w:r>
      <w:r w:rsidRPr="00C60E1F">
        <w:t xml:space="preserve"> ett antal rekommendationer för ländernas fortsatta reformarbete</w:t>
      </w:r>
      <w:r w:rsidR="009426A8" w:rsidRPr="00C60E1F">
        <w:t xml:space="preserve">. </w:t>
      </w:r>
      <w:r w:rsidR="00B3573A" w:rsidRPr="00C60E1F">
        <w:t xml:space="preserve">Bl.a. åläggs </w:t>
      </w:r>
      <w:r w:rsidR="007D43EE" w:rsidRPr="00C60E1F">
        <w:t>de</w:t>
      </w:r>
      <w:r w:rsidR="009426A8" w:rsidRPr="00C60E1F">
        <w:t xml:space="preserve"> att inkomma </w:t>
      </w:r>
      <w:r w:rsidR="00494582" w:rsidRPr="00C60E1F">
        <w:t xml:space="preserve">med </w:t>
      </w:r>
      <w:r w:rsidR="009426A8" w:rsidRPr="00C60E1F">
        <w:t xml:space="preserve">handlingsplaner för sitt fortsatta reformarbete senast den </w:t>
      </w:r>
      <w:r w:rsidR="00494582" w:rsidRPr="00C60E1F">
        <w:t xml:space="preserve"> 31</w:t>
      </w:r>
      <w:r w:rsidR="009426A8" w:rsidRPr="00C60E1F">
        <w:t xml:space="preserve"> oktober 2007. Kommissionen avser</w:t>
      </w:r>
      <w:r w:rsidR="00B3573A" w:rsidRPr="00C60E1F">
        <w:t xml:space="preserve"> därefter avge </w:t>
      </w:r>
      <w:r w:rsidR="001A0735" w:rsidRPr="00C60E1F">
        <w:t>gransknings</w:t>
      </w:r>
      <w:r w:rsidR="009426A8" w:rsidRPr="00C60E1F">
        <w:t>rapport</w:t>
      </w:r>
      <w:r w:rsidR="001A0735" w:rsidRPr="00C60E1F">
        <w:t>er</w:t>
      </w:r>
      <w:r w:rsidR="009426A8" w:rsidRPr="00C60E1F">
        <w:t xml:space="preserve"> i januari </w:t>
      </w:r>
      <w:r w:rsidR="00494582" w:rsidRPr="00C60E1F">
        <w:t xml:space="preserve"> och</w:t>
      </w:r>
      <w:r w:rsidR="001A0735" w:rsidRPr="00C60E1F">
        <w:t xml:space="preserve"> vid </w:t>
      </w:r>
      <w:r w:rsidR="009426A8" w:rsidRPr="00C60E1F">
        <w:t>halvårsskiftet</w:t>
      </w:r>
      <w:r w:rsidR="001A0735" w:rsidRPr="00C60E1F">
        <w:t xml:space="preserve"> </w:t>
      </w:r>
      <w:r w:rsidR="00494582" w:rsidRPr="00C60E1F">
        <w:t>2008.</w:t>
      </w:r>
    </w:p>
    <w:p w:rsidR="00B3573A" w:rsidRPr="00C60E1F" w:rsidRDefault="00B3573A" w:rsidP="00001690"/>
    <w:p w:rsidR="00E56A45" w:rsidRPr="00C60E1F" w:rsidRDefault="00C50C48" w:rsidP="00001690">
      <w:r w:rsidRPr="00C60E1F">
        <w:t>På</w:t>
      </w:r>
      <w:r w:rsidR="00E56A45" w:rsidRPr="00C60E1F">
        <w:t xml:space="preserve"> jordbruksområdet har en särskild mekanism inrättats </w:t>
      </w:r>
      <w:r w:rsidR="00494582" w:rsidRPr="00C60E1F">
        <w:t xml:space="preserve"> efter</w:t>
      </w:r>
      <w:r w:rsidR="0065429B" w:rsidRPr="00C60E1F">
        <w:t xml:space="preserve"> Bulgariens och Rumäniens inträde i EU. Denna</w:t>
      </w:r>
      <w:r w:rsidR="00E56A45" w:rsidRPr="00C60E1F">
        <w:t xml:space="preserve"> innebär att jordbruksstödet</w:t>
      </w:r>
      <w:r w:rsidR="0065429B" w:rsidRPr="00C60E1F">
        <w:t xml:space="preserve"> till länderna</w:t>
      </w:r>
      <w:r w:rsidR="00E56A45" w:rsidRPr="00C60E1F">
        <w:t xml:space="preserve"> kan minskas med 25 procent mellan den 1 december 2007 och 3</w:t>
      </w:r>
      <w:r w:rsidR="0065429B" w:rsidRPr="00C60E1F">
        <w:t>0 november 2008 om de inte klarar</w:t>
      </w:r>
      <w:r w:rsidR="00E56A45" w:rsidRPr="00C60E1F">
        <w:t xml:space="preserve"> av att upprätta fullvärdiga strukturer för administration av </w:t>
      </w:r>
      <w:r w:rsidR="00494582" w:rsidRPr="00C60E1F">
        <w:t xml:space="preserve"> stödet</w:t>
      </w:r>
      <w:r w:rsidR="00E56A45" w:rsidRPr="00C60E1F">
        <w:t xml:space="preserve">. Kommissionen anger i sin rapport att granskningar av ländernas arbete på området pågår under juni och juli 2007 och att beslut om det eventuella behovet av att tillämpa den särskilda mekanismen </w:t>
      </w:r>
      <w:r w:rsidR="0065429B" w:rsidRPr="00C60E1F">
        <w:t xml:space="preserve">kommer att </w:t>
      </w:r>
      <w:r w:rsidR="00E56A45" w:rsidRPr="00C60E1F">
        <w:t>fattas senare.</w:t>
      </w:r>
    </w:p>
    <w:p w:rsidR="00C04CF0" w:rsidRPr="00C60E1F" w:rsidRDefault="00C04CF0" w:rsidP="00001690"/>
    <w:p w:rsidR="0065429B" w:rsidRPr="00C60E1F" w:rsidRDefault="008C571B" w:rsidP="00001690">
      <w:r w:rsidRPr="00C60E1F">
        <w:t xml:space="preserve">Kommissionens rapport innehåller </w:t>
      </w:r>
      <w:r w:rsidR="00C50C48" w:rsidRPr="00C60E1F">
        <w:t xml:space="preserve">därutöver </w:t>
      </w:r>
      <w:r w:rsidRPr="00C60E1F">
        <w:t xml:space="preserve">en </w:t>
      </w:r>
      <w:r w:rsidR="00C50C48" w:rsidRPr="00C60E1F">
        <w:t>förteckning</w:t>
      </w:r>
      <w:r w:rsidRPr="00C60E1F">
        <w:t xml:space="preserve"> över </w:t>
      </w:r>
      <w:r w:rsidR="0065429B" w:rsidRPr="00C60E1F">
        <w:t>de</w:t>
      </w:r>
      <w:r w:rsidRPr="00C60E1F">
        <w:t xml:space="preserve"> s</w:t>
      </w:r>
      <w:r w:rsidR="00C04CF0" w:rsidRPr="00C60E1F">
        <w:t>kyddsmekanismer</w:t>
      </w:r>
      <w:r w:rsidRPr="00C60E1F">
        <w:t xml:space="preserve"> som redan </w:t>
      </w:r>
      <w:r w:rsidR="00C50C48" w:rsidRPr="00C60E1F">
        <w:t xml:space="preserve">har </w:t>
      </w:r>
      <w:r w:rsidRPr="00C60E1F">
        <w:t>utlösts</w:t>
      </w:r>
      <w:r w:rsidR="00C50C48" w:rsidRPr="00C60E1F">
        <w:t xml:space="preserve"> i samband med ländernas EU-inträde</w:t>
      </w:r>
      <w:r w:rsidR="0065429B" w:rsidRPr="00C60E1F">
        <w:t>. Detta gäller</w:t>
      </w:r>
      <w:r w:rsidRPr="00C60E1F">
        <w:t xml:space="preserve"> bl.a. </w:t>
      </w:r>
      <w:r w:rsidR="00C04CF0" w:rsidRPr="00C60E1F">
        <w:t>livsmedelssäkerhet</w:t>
      </w:r>
      <w:r w:rsidR="0065429B" w:rsidRPr="00C60E1F">
        <w:t>. T.ex. råder</w:t>
      </w:r>
      <w:r w:rsidR="00C04CF0" w:rsidRPr="00C60E1F">
        <w:t xml:space="preserve"> exportförbud från Bulgarien och Rumänien av levande grisar, fläskkött, och särskilda fläskprodukter mot bakgrund av förekomsten av svinpest i båda länderna. </w:t>
      </w:r>
      <w:r w:rsidRPr="00C60E1F">
        <w:t xml:space="preserve">Tillämpningen </w:t>
      </w:r>
      <w:r w:rsidR="0065429B" w:rsidRPr="00C60E1F">
        <w:t xml:space="preserve">av bestämmelserna </w:t>
      </w:r>
      <w:r w:rsidRPr="00C60E1F">
        <w:t xml:space="preserve">ses över i september 2007. </w:t>
      </w:r>
    </w:p>
    <w:p w:rsidR="0065429B" w:rsidRPr="00C60E1F" w:rsidRDefault="0065429B" w:rsidP="00001690"/>
    <w:p w:rsidR="00C04CF0" w:rsidRPr="00C60E1F" w:rsidRDefault="0065429B" w:rsidP="00001690">
      <w:r w:rsidRPr="00C60E1F">
        <w:t xml:space="preserve">Gentemot </w:t>
      </w:r>
      <w:r w:rsidR="00C04CF0" w:rsidRPr="00C60E1F">
        <w:t>Bulgarien</w:t>
      </w:r>
      <w:r w:rsidRPr="00C60E1F">
        <w:t xml:space="preserve"> tillämpas därutöver en skyddsklausul avseende luftfartssäkerhet. </w:t>
      </w:r>
      <w:r w:rsidR="00C50C48" w:rsidRPr="00C60E1F">
        <w:t>Åtgärden</w:t>
      </w:r>
      <w:r w:rsidRPr="00C60E1F">
        <w:t xml:space="preserve"> innebär att b</w:t>
      </w:r>
      <w:r w:rsidR="008C571B" w:rsidRPr="00C60E1F">
        <w:t xml:space="preserve">ulgariska flygplan </w:t>
      </w:r>
      <w:r w:rsidRPr="00C60E1F">
        <w:t>betraktas som farkoster</w:t>
      </w:r>
      <w:r w:rsidR="008C571B" w:rsidRPr="00C60E1F">
        <w:t xml:space="preserve"> från tredje land</w:t>
      </w:r>
      <w:r w:rsidR="00C50C48" w:rsidRPr="00C60E1F">
        <w:t xml:space="preserve"> på den inre marknaden</w:t>
      </w:r>
      <w:r w:rsidR="008C571B" w:rsidRPr="00C60E1F">
        <w:t xml:space="preserve">. Därtill erkänns inte </w:t>
      </w:r>
      <w:r w:rsidRPr="00C60E1F">
        <w:t xml:space="preserve">bulgariska </w:t>
      </w:r>
      <w:r w:rsidR="008C571B" w:rsidRPr="00C60E1F">
        <w:t>säkerhetscertifikat</w:t>
      </w:r>
      <w:r w:rsidRPr="00C60E1F">
        <w:t xml:space="preserve"> enligt</w:t>
      </w:r>
      <w:r w:rsidR="00C50C48" w:rsidRPr="00C60E1F">
        <w:t xml:space="preserve"> den rådande</w:t>
      </w:r>
      <w:r w:rsidRPr="00C60E1F">
        <w:t xml:space="preserve"> principen om ömsesidighet. </w:t>
      </w:r>
      <w:r w:rsidR="008C571B" w:rsidRPr="00C60E1F">
        <w:t>Kommissionen noterar att Bulgarien har vidtagit vissa förbättringsåtgärder men att skyddsklausulen alltjämt kvarstår</w:t>
      </w:r>
      <w:r w:rsidR="00C04CF0" w:rsidRPr="00C60E1F">
        <w:t>.</w:t>
      </w:r>
    </w:p>
    <w:p w:rsidR="006D4AA5" w:rsidRPr="00C60E1F" w:rsidRDefault="006D4AA5">
      <w:pPr>
        <w:pStyle w:val="Rubrik2"/>
      </w:pPr>
      <w:r w:rsidRPr="00C60E1F">
        <w:t>Gällande svenska regler och förslagets effekt på dessa</w:t>
      </w:r>
    </w:p>
    <w:p w:rsidR="006D4AA5" w:rsidRPr="00C60E1F" w:rsidRDefault="00500A48">
      <w:r w:rsidRPr="00C60E1F">
        <w:t xml:space="preserve">Förslaget får ingen effekt på gällande svenska regler. </w:t>
      </w:r>
    </w:p>
    <w:p w:rsidR="006D4AA5" w:rsidRPr="00C60E1F" w:rsidRDefault="006D4AA5">
      <w:pPr>
        <w:pStyle w:val="Rubrik2"/>
      </w:pPr>
      <w:r w:rsidRPr="00C60E1F">
        <w:t>Budgetära konsekvenser</w:t>
      </w:r>
    </w:p>
    <w:p w:rsidR="00500A48" w:rsidRPr="00C60E1F" w:rsidRDefault="00500A48" w:rsidP="00500A48">
      <w:r w:rsidRPr="00C60E1F">
        <w:t>Förslaget får inga budgetära konsekvenser.</w:t>
      </w:r>
    </w:p>
    <w:p w:rsidR="006D4AA5" w:rsidRPr="00C60E1F" w:rsidRDefault="006D4AA5">
      <w:pPr>
        <w:pStyle w:val="Rubrik1"/>
      </w:pPr>
      <w:r w:rsidRPr="00C60E1F">
        <w:t>Ståndpunkter</w:t>
      </w:r>
    </w:p>
    <w:p w:rsidR="006D4AA5" w:rsidRPr="00C60E1F" w:rsidRDefault="006D4AA5">
      <w:pPr>
        <w:pStyle w:val="Rubrik2"/>
      </w:pPr>
      <w:r w:rsidRPr="00C60E1F">
        <w:t>Svensk ståndpunkt</w:t>
      </w:r>
    </w:p>
    <w:p w:rsidR="009B3D2E" w:rsidRPr="00C60E1F" w:rsidRDefault="00F91173" w:rsidP="00F91173">
      <w:r w:rsidRPr="00C60E1F">
        <w:t xml:space="preserve">Regeringen välkomnar kommissionens rapporter </w:t>
      </w:r>
      <w:r w:rsidR="007D43EE" w:rsidRPr="00C60E1F">
        <w:t xml:space="preserve">och instämmer i allt väsentligt i de </w:t>
      </w:r>
      <w:r w:rsidRPr="00C60E1F">
        <w:t>bedömningar som</w:t>
      </w:r>
      <w:r w:rsidR="00494582" w:rsidRPr="00C60E1F">
        <w:t xml:space="preserve"> kommissionen</w:t>
      </w:r>
      <w:r w:rsidRPr="00C60E1F">
        <w:t xml:space="preserve"> gör. Kommissionens ställningstaganden är väl motiverade. </w:t>
      </w:r>
      <w:r w:rsidR="00C50C48" w:rsidRPr="00C60E1F">
        <w:t>Den fortsatta g</w:t>
      </w:r>
      <w:r w:rsidRPr="00C60E1F">
        <w:t>ranskningen av länderna</w:t>
      </w:r>
      <w:r w:rsidR="00C50C48" w:rsidRPr="00C60E1F">
        <w:t>s framsteg</w:t>
      </w:r>
      <w:r w:rsidRPr="00C60E1F">
        <w:t xml:space="preserve"> understödjer deras fortsatta reformprocess</w:t>
      </w:r>
      <w:r w:rsidR="00C50C48" w:rsidRPr="00C60E1F">
        <w:t>er</w:t>
      </w:r>
      <w:r w:rsidRPr="00C60E1F">
        <w:t xml:space="preserve"> och bör fortsätta så lä</w:t>
      </w:r>
      <w:r w:rsidR="00C50C48" w:rsidRPr="00C60E1F">
        <w:t>nge som det anses nödvändigt</w:t>
      </w:r>
      <w:r w:rsidRPr="00C60E1F">
        <w:t xml:space="preserve">. Bulgarien och Rumänien har fortsatt att göra betydelsefulla framsteg men ytterligare reformansträngningar är nödvändiga. </w:t>
      </w:r>
    </w:p>
    <w:p w:rsidR="00F91173" w:rsidRPr="00C60E1F" w:rsidRDefault="007D43EE" w:rsidP="00F91173">
      <w:r w:rsidRPr="00C60E1F">
        <w:rPr>
          <w:color w:val="000000"/>
          <w:szCs w:val="24"/>
        </w:rPr>
        <w:t xml:space="preserve">Att medlemsländerna lever upp till de krav som fastställts inom området </w:t>
      </w:r>
      <w:r w:rsidR="00F91173" w:rsidRPr="00C60E1F">
        <w:rPr>
          <w:color w:val="000000"/>
          <w:szCs w:val="24"/>
        </w:rPr>
        <w:t>rättsliga och inrikes frågor är  grundläggande för att rättstatens principer ska kunna upprätthållas</w:t>
      </w:r>
      <w:r w:rsidRPr="00C60E1F">
        <w:rPr>
          <w:color w:val="000000"/>
          <w:szCs w:val="24"/>
        </w:rPr>
        <w:t xml:space="preserve">. </w:t>
      </w:r>
      <w:r w:rsidR="00494582" w:rsidRPr="00C60E1F">
        <w:rPr>
          <w:color w:val="000000"/>
          <w:szCs w:val="24"/>
        </w:rPr>
        <w:t>Kraven</w:t>
      </w:r>
      <w:r w:rsidRPr="00C60E1F">
        <w:rPr>
          <w:color w:val="000000"/>
          <w:szCs w:val="24"/>
        </w:rPr>
        <w:t xml:space="preserve"> är också nödvändiga </w:t>
      </w:r>
      <w:r w:rsidR="00F91173" w:rsidRPr="00C60E1F">
        <w:rPr>
          <w:color w:val="000000"/>
          <w:szCs w:val="24"/>
        </w:rPr>
        <w:t>för att EU och den inre marknaden skall  fungera och vara till nytta för den ekonomiska utvecklingen</w:t>
      </w:r>
      <w:r w:rsidR="00750DC5" w:rsidRPr="00C60E1F">
        <w:rPr>
          <w:color w:val="000000"/>
          <w:szCs w:val="24"/>
        </w:rPr>
        <w:t xml:space="preserve"> och för framgång i reformarbetet i stort.</w:t>
      </w:r>
      <w:r w:rsidR="009B3D2E" w:rsidRPr="00C60E1F">
        <w:t xml:space="preserve"> Det är även viktigt att framsteg förs inom området för luftsäkerhet så att bulgariska flygplan kan betraktas som farkoster på den inre marknaden och så att bulgariska säkerhetscertifikat kan erkännas enligt principen om ömsesidigt erkännande. </w:t>
      </w:r>
    </w:p>
    <w:p w:rsidR="006D4AA5" w:rsidRPr="00C60E1F" w:rsidRDefault="006D4AA5">
      <w:pPr>
        <w:pStyle w:val="Rubrik2"/>
      </w:pPr>
      <w:r w:rsidRPr="00C60E1F">
        <w:t>Medlemsstaternas ståndpunkter</w:t>
      </w:r>
    </w:p>
    <w:p w:rsidR="003D3085" w:rsidRPr="00C60E1F" w:rsidRDefault="003D3085" w:rsidP="003D3085">
      <w:r w:rsidRPr="00C60E1F">
        <w:t>Rådet antog vid sitt möte den 23 juli 2007 slutsatser om kommissionens rapporter. Slutsatserna uttrycker uppskattning för kommissionens arbete samt  för Bulgariens och Rumäniens fortsatta reformarbete. Rådet konstaterar därutöver att granskningsmekanismen fungerar väl och har bidragit till de framsteg som gjorts. Båda länderna uppmuntras att fortsätta sina ansträngningar inom utestående områden.</w:t>
      </w:r>
    </w:p>
    <w:p w:rsidR="006D4AA5" w:rsidRPr="00C60E1F" w:rsidRDefault="006D4AA5">
      <w:pPr>
        <w:pStyle w:val="Rubrik2"/>
      </w:pPr>
      <w:r w:rsidRPr="00C60E1F">
        <w:t>Institutionernas ståndpunkter</w:t>
      </w:r>
    </w:p>
    <w:p w:rsidR="00A1531A" w:rsidRPr="00C60E1F" w:rsidRDefault="00A1531A" w:rsidP="00001690"/>
    <w:p w:rsidR="00A1531A" w:rsidRPr="00C60E1F" w:rsidRDefault="004704AA" w:rsidP="00001690">
      <w:r w:rsidRPr="00C60E1F">
        <w:t xml:space="preserve">Europaparlamentet gav den 30 november 2006 sitt samtycke till Bulgariens och Rumäniens EU-anslutning från den 1 januari 2007 </w:t>
      </w:r>
      <w:r w:rsidR="000B2E3E" w:rsidRPr="00C60E1F">
        <w:t>samt</w:t>
      </w:r>
      <w:r w:rsidRPr="00C60E1F">
        <w:t xml:space="preserve"> inrättande av den särskilda granskningsmekanismen.</w:t>
      </w:r>
    </w:p>
    <w:p w:rsidR="006D4AA5" w:rsidRPr="00C60E1F" w:rsidRDefault="006D4AA5">
      <w:pPr>
        <w:pStyle w:val="Rubrik2"/>
      </w:pPr>
      <w:r w:rsidRPr="00C60E1F">
        <w:t>Remissinstansernas ståndpunkter</w:t>
      </w:r>
    </w:p>
    <w:p w:rsidR="006D4AA5" w:rsidRPr="00C60E1F" w:rsidRDefault="00917AA9">
      <w:r w:rsidRPr="00C60E1F">
        <w:t>Förslaget har inte gått ut på remiss.</w:t>
      </w:r>
    </w:p>
    <w:p w:rsidR="006D4AA5" w:rsidRPr="00C60E1F" w:rsidRDefault="006D4AA5">
      <w:pPr>
        <w:pStyle w:val="Rubrik1"/>
      </w:pPr>
      <w:r w:rsidRPr="00C60E1F">
        <w:t>Övrigt</w:t>
      </w:r>
    </w:p>
    <w:p w:rsidR="006D4AA5" w:rsidRPr="00C60E1F" w:rsidRDefault="006D4AA5">
      <w:pPr>
        <w:pStyle w:val="Rubrik2"/>
      </w:pPr>
      <w:r w:rsidRPr="00C60E1F">
        <w:t>Fortsatt behandling av ärendet</w:t>
      </w:r>
    </w:p>
    <w:p w:rsidR="006D4AA5" w:rsidRPr="00C60E1F" w:rsidRDefault="00917AA9">
      <w:r w:rsidRPr="00C60E1F">
        <w:t xml:space="preserve">Inga </w:t>
      </w:r>
      <w:r w:rsidR="000B2E3E" w:rsidRPr="00C60E1F">
        <w:t>rådsbeslut krävs i formell mening.</w:t>
      </w:r>
    </w:p>
    <w:p w:rsidR="006D4AA5" w:rsidRPr="00C60E1F" w:rsidRDefault="006D4AA5">
      <w:pPr>
        <w:pStyle w:val="Rubrik2"/>
      </w:pPr>
      <w:r w:rsidRPr="00C60E1F">
        <w:t>Rättslig grund och beslutsförfarande</w:t>
      </w:r>
    </w:p>
    <w:p w:rsidR="006D4AA5" w:rsidRPr="00C60E1F" w:rsidRDefault="00231C5A">
      <w:r w:rsidRPr="00C60E1F">
        <w:t xml:space="preserve">Artikel </w:t>
      </w:r>
      <w:r w:rsidR="00917AA9" w:rsidRPr="00C60E1F">
        <w:t>36, 37, 38 i Bulgariens och R</w:t>
      </w:r>
      <w:r w:rsidRPr="00C60E1F">
        <w:t>umäniens anslutningsför</w:t>
      </w:r>
      <w:r w:rsidR="00917AA9" w:rsidRPr="00C60E1F">
        <w:t>drag till den Europeiska Unionen</w:t>
      </w:r>
      <w:r w:rsidRPr="00C60E1F">
        <w:t xml:space="preserve">. </w:t>
      </w:r>
      <w:r w:rsidR="00500A48" w:rsidRPr="00C60E1F">
        <w:t xml:space="preserve">Hur ett eventuellt beslut om att utlösa en viss skyddsklausul fattas regleras i anslutningsfördraget. </w:t>
      </w:r>
    </w:p>
    <w:p w:rsidR="004704AA" w:rsidRPr="00C60E1F" w:rsidRDefault="004704AA" w:rsidP="00001690"/>
    <w:p w:rsidR="004704AA" w:rsidRPr="00C60E1F" w:rsidRDefault="004704AA" w:rsidP="00001690">
      <w:r w:rsidRPr="00C60E1F">
        <w:t xml:space="preserve">För tillämpning av skyddsklausuler </w:t>
      </w:r>
      <w:r w:rsidR="000B2E3E" w:rsidRPr="00C60E1F">
        <w:t>avseende livsmedelssäkerhet utgör a</w:t>
      </w:r>
      <w:r w:rsidRPr="00C60E1F">
        <w:t xml:space="preserve">rtikel </w:t>
      </w:r>
      <w:r w:rsidR="000B2E3E" w:rsidRPr="00C60E1F">
        <w:t xml:space="preserve">30 i fördraget rättslig grund. Därtill finns en rad direktiv </w:t>
      </w:r>
      <w:r w:rsidR="000B2E3E" w:rsidRPr="00C60E1F">
        <w:rPr>
          <w:color w:val="000000"/>
          <w:lang w:eastAsia="en-US"/>
        </w:rPr>
        <w:t>på området, varav de viktigaste utgörs av direktiv</w:t>
      </w:r>
      <w:r w:rsidR="008D34B1" w:rsidRPr="00C60E1F">
        <w:rPr>
          <w:color w:val="000000"/>
          <w:lang w:eastAsia="en-US"/>
        </w:rPr>
        <w:t xml:space="preserve"> </w:t>
      </w:r>
      <w:r w:rsidR="000B2E3E" w:rsidRPr="00C60E1F">
        <w:rPr>
          <w:color w:val="000000"/>
          <w:lang w:eastAsia="en-US"/>
        </w:rPr>
        <w:t>90/425 och 92/65.</w:t>
      </w:r>
    </w:p>
    <w:p w:rsidR="006D4AA5" w:rsidRPr="00C60E1F" w:rsidRDefault="006D4AA5">
      <w:pPr>
        <w:pStyle w:val="Rubrik2"/>
      </w:pPr>
      <w:r w:rsidRPr="00C60E1F">
        <w:t>Fackuttryck/termer</w:t>
      </w:r>
    </w:p>
    <w:p w:rsidR="006D4AA5" w:rsidRPr="00C60E1F" w:rsidRDefault="006D4AA5"/>
    <w:sectPr w:rsidR="006D4AA5" w:rsidRPr="00C60E1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551" w:rsidRPr="00C60E1F" w:rsidRDefault="00012551">
      <w:r w:rsidRPr="00C60E1F">
        <w:separator/>
      </w:r>
    </w:p>
  </w:endnote>
  <w:endnote w:type="continuationSeparator" w:id="0">
    <w:p w:rsidR="00012551" w:rsidRPr="00C60E1F" w:rsidRDefault="00012551">
      <w:r w:rsidRPr="00C60E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27A" w:rsidRPr="00C60E1F" w:rsidRDefault="00AF22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27A" w:rsidRPr="00C60E1F" w:rsidRDefault="00012551">
    <w:pPr>
      <w:pStyle w:val="SidfotH"/>
      <w:framePr w:wrap="around"/>
    </w:pPr>
    <w:r w:rsidRPr="00C60E1F">
      <w:t>2</w:t>
    </w:r>
  </w:p>
  <w:p w:rsidR="00AF227A" w:rsidRPr="00C60E1F" w:rsidRDefault="00AF22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27A" w:rsidRPr="00C60E1F" w:rsidRDefault="00012551">
    <w:pPr>
      <w:pStyle w:val="SidfotH"/>
      <w:framePr w:wrap="around"/>
    </w:pPr>
    <w:r w:rsidRPr="00C60E1F">
      <w:t>1</w:t>
    </w:r>
  </w:p>
  <w:p w:rsidR="00AF227A" w:rsidRPr="00C60E1F" w:rsidRDefault="00AF2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551" w:rsidRPr="00C60E1F" w:rsidRDefault="00012551">
      <w:r w:rsidRPr="00C60E1F">
        <w:separator/>
      </w:r>
    </w:p>
  </w:footnote>
  <w:footnote w:type="continuationSeparator" w:id="0">
    <w:p w:rsidR="00012551" w:rsidRPr="00C60E1F" w:rsidRDefault="00012551">
      <w:r w:rsidRPr="00C60E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27A" w:rsidRPr="00C60E1F" w:rsidRDefault="00AF22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27A" w:rsidRPr="00C60E1F" w:rsidRDefault="00AF227A">
    <w:pPr>
      <w:pStyle w:val="Kantrubrik"/>
      <w:framePr w:h="1157" w:hRule="exact" w:wrap="around" w:y="738"/>
    </w:pPr>
    <w:r w:rsidRPr="00C60E1F">
      <w:t>2006/07:FPM109</w:t>
    </w:r>
  </w:p>
  <w:p w:rsidR="00AF227A" w:rsidRPr="00C60E1F" w:rsidRDefault="00AF22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27A" w:rsidRPr="00C60E1F" w:rsidRDefault="00C60E1F">
    <w:pPr>
      <w:pStyle w:val="Sidhuvud"/>
    </w:pPr>
    <w:r w:rsidRPr="00C60E1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36969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27A" w:rsidRDefault="00AF22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F227A" w:rsidRDefault="00AF227A">
                    <w:pPr>
                      <w:pStyle w:val="Logo"/>
                    </w:pPr>
                    <w:r>
                      <w:object w:dxaOrig="840" w:dyaOrig="1545">
                        <v:shape id="_x0000_i1025" type="#_x0000_t75" style="width:42pt;height:77.15pt" filled="t">
                          <v:imagedata r:id="rId1" o:title=""/>
                        </v:shape>
                        <o:OLEObject Type="Embed" ProgID="Word.Picture.8" ShapeID="_x0000_i1025" DrawAspect="Content" ObjectID="_18274593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C3F579E"/>
    <w:multiLevelType w:val="hybridMultilevel"/>
    <w:tmpl w:val="88B4F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00114686">
    <w:abstractNumId w:val="5"/>
  </w:num>
  <w:num w:numId="2" w16cid:durableId="1339384327">
    <w:abstractNumId w:val="1"/>
  </w:num>
  <w:num w:numId="3" w16cid:durableId="1962685375">
    <w:abstractNumId w:val="3"/>
  </w:num>
  <w:num w:numId="4" w16cid:durableId="1794249159">
    <w:abstractNumId w:val="4"/>
  </w:num>
  <w:num w:numId="5" w16cid:durableId="757601116">
    <w:abstractNumId w:val="6"/>
  </w:num>
  <w:num w:numId="6" w16cid:durableId="1745446787">
    <w:abstractNumId w:val="0"/>
  </w:num>
  <w:num w:numId="7" w16cid:durableId="127116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24"/>
    <w:docVar w:name="Ar" w:val="2006/07"/>
    <w:docVar w:name="Dep" w:val="Utrikesdepartementet"/>
    <w:docVar w:name="DepWeb" w:val="Utrikesdepartementet"/>
    <w:docVar w:name="GDB1" w:val="KOM (2007) 377"/>
    <w:docVar w:name="GDB10" w:val=" "/>
    <w:docVar w:name="GDB11" w:val=" "/>
    <w:docVar w:name="GDB12" w:val=" "/>
    <w:docVar w:name="GDB13" w:val=" "/>
    <w:docVar w:name="GDB2" w:val="KOM (2007) 378"/>
    <w:docVar w:name="GDB3" w:val=" "/>
    <w:docVar w:name="GDB4" w:val=" "/>
    <w:docVar w:name="GDB5" w:val=" "/>
    <w:docVar w:name="GDB6" w:val=" "/>
    <w:docVar w:name="GDB7" w:val=" "/>
    <w:docVar w:name="GDB8" w:val=" "/>
    <w:docVar w:name="GDB9" w:val=" "/>
    <w:docVar w:name="GDT1" w:val="Report from the European Commission to the Council and the European Parliament on Bulgaria's progress on accompanying measures following Accession"/>
    <w:docVar w:name="GDT10" w:val=" "/>
    <w:docVar w:name="GDT11" w:val=" "/>
    <w:docVar w:name="GDT12" w:val=" "/>
    <w:docVar w:name="GDT13" w:val=" "/>
    <w:docVar w:name="GDT2" w:val="Report from the European Commission to the Council and the European Parliament on Rumania's progress on accompanying measures following Accession"/>
    <w:docVar w:name="GDT3" w:val=" "/>
    <w:docVar w:name="GDT4" w:val=" "/>
    <w:docVar w:name="GDT5" w:val=" "/>
    <w:docVar w:name="GDT6" w:val=" "/>
    <w:docVar w:name="GDT7" w:val=" "/>
    <w:docVar w:name="GDT8" w:val=" "/>
    <w:docVar w:name="GDT9" w:val=" "/>
    <w:docVar w:name="GDTWeb" w:val="KOM (2007) 377, KOM (2007) 378"/>
    <w:docVar w:name="Nr" w:val="109"/>
    <w:docVar w:name="RD_APPVERSION" w:val="3.00"/>
    <w:docVar w:name="Rub" w:val="Rapporter om Bularien och Rumänien efter anslutningen till EU"/>
    <w:docVar w:name="UppDat" w:val="2007-07-24"/>
    <w:docVar w:name="Utsk" w:val="Utrikesutskottet"/>
  </w:docVars>
  <w:rsids>
    <w:rsidRoot w:val="00C60E1F"/>
    <w:rsid w:val="00001690"/>
    <w:rsid w:val="00012551"/>
    <w:rsid w:val="000246EE"/>
    <w:rsid w:val="000B2E3E"/>
    <w:rsid w:val="00152B3E"/>
    <w:rsid w:val="00172030"/>
    <w:rsid w:val="001A0735"/>
    <w:rsid w:val="002306CC"/>
    <w:rsid w:val="00231C5A"/>
    <w:rsid w:val="0029630C"/>
    <w:rsid w:val="002C5CEF"/>
    <w:rsid w:val="00381AD7"/>
    <w:rsid w:val="003A0590"/>
    <w:rsid w:val="003C494C"/>
    <w:rsid w:val="003D3085"/>
    <w:rsid w:val="004667CA"/>
    <w:rsid w:val="004704AA"/>
    <w:rsid w:val="00494582"/>
    <w:rsid w:val="00500A48"/>
    <w:rsid w:val="00516155"/>
    <w:rsid w:val="005A0E0B"/>
    <w:rsid w:val="006336D1"/>
    <w:rsid w:val="00642603"/>
    <w:rsid w:val="0065429B"/>
    <w:rsid w:val="00662E67"/>
    <w:rsid w:val="006D4AA5"/>
    <w:rsid w:val="006E04A8"/>
    <w:rsid w:val="007171E7"/>
    <w:rsid w:val="00721EE6"/>
    <w:rsid w:val="00750DC5"/>
    <w:rsid w:val="00794635"/>
    <w:rsid w:val="007B2297"/>
    <w:rsid w:val="007B7877"/>
    <w:rsid w:val="007D43EE"/>
    <w:rsid w:val="008C571B"/>
    <w:rsid w:val="008D34B1"/>
    <w:rsid w:val="00917AA9"/>
    <w:rsid w:val="00931716"/>
    <w:rsid w:val="009426A8"/>
    <w:rsid w:val="009B3D2E"/>
    <w:rsid w:val="009D52B1"/>
    <w:rsid w:val="00A1531A"/>
    <w:rsid w:val="00A96A66"/>
    <w:rsid w:val="00AE5ED6"/>
    <w:rsid w:val="00AF227A"/>
    <w:rsid w:val="00B24823"/>
    <w:rsid w:val="00B3573A"/>
    <w:rsid w:val="00BF4AB4"/>
    <w:rsid w:val="00C04CF0"/>
    <w:rsid w:val="00C50C48"/>
    <w:rsid w:val="00C60E1F"/>
    <w:rsid w:val="00C62862"/>
    <w:rsid w:val="00DC114B"/>
    <w:rsid w:val="00DD22B9"/>
    <w:rsid w:val="00DE7987"/>
    <w:rsid w:val="00E174AE"/>
    <w:rsid w:val="00E56A45"/>
    <w:rsid w:val="00ED6AEB"/>
    <w:rsid w:val="00F25652"/>
    <w:rsid w:val="00F45F5A"/>
    <w:rsid w:val="00F91173"/>
    <w:rsid w:val="00FB2B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0A989B-4CA0-433C-8892-A057EE5D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normal1">
    <w:name w:val="normal_1"/>
    <w:basedOn w:val="Normal"/>
    <w:rsid w:val="00C04CF0"/>
    <w:pPr>
      <w:spacing w:before="100" w:beforeAutospacing="1" w:after="100" w:afterAutospacing="1" w:line="240" w:lineRule="auto"/>
      <w:jc w:val="left"/>
    </w:pPr>
    <w:rPr>
      <w:rFonts w:ascii="Verdana" w:hAnsi="Verdana"/>
      <w:sz w:val="24"/>
      <w:szCs w:val="24"/>
      <w:lang w:val="en-US" w:eastAsia="en-US"/>
    </w:rPr>
  </w:style>
  <w:style w:type="paragraph" w:customStyle="1" w:styleId="Brdtext1">
    <w:name w:val="Brödtext1"/>
    <w:basedOn w:val="Normal"/>
    <w:rsid w:val="00F91173"/>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0753">
      <w:bodyDiv w:val="1"/>
      <w:marLeft w:val="0"/>
      <w:marRight w:val="0"/>
      <w:marTop w:val="0"/>
      <w:marBottom w:val="0"/>
      <w:divBdr>
        <w:top w:val="none" w:sz="0" w:space="0" w:color="auto"/>
        <w:left w:val="none" w:sz="0" w:space="0" w:color="auto"/>
        <w:bottom w:val="none" w:sz="0" w:space="0" w:color="auto"/>
        <w:right w:val="none" w:sz="0" w:space="0" w:color="auto"/>
      </w:divBdr>
      <w:divsChild>
        <w:div w:id="1613126770">
          <w:marLeft w:val="-15"/>
          <w:marRight w:val="-15"/>
          <w:marTop w:val="0"/>
          <w:marBottom w:val="0"/>
          <w:divBdr>
            <w:top w:val="none" w:sz="0" w:space="0" w:color="auto"/>
            <w:left w:val="single" w:sz="6" w:space="0" w:color="DADADA"/>
            <w:bottom w:val="none" w:sz="0" w:space="0" w:color="auto"/>
            <w:right w:val="single" w:sz="6" w:space="0" w:color="DADADA"/>
          </w:divBdr>
          <w:divsChild>
            <w:div w:id="244189033">
              <w:marLeft w:val="0"/>
              <w:marRight w:val="0"/>
              <w:marTop w:val="0"/>
              <w:marBottom w:val="0"/>
              <w:divBdr>
                <w:top w:val="none" w:sz="0" w:space="0" w:color="auto"/>
                <w:left w:val="single" w:sz="48" w:space="0" w:color="FFFFFF"/>
                <w:bottom w:val="none" w:sz="0" w:space="0" w:color="auto"/>
                <w:right w:val="none" w:sz="0" w:space="0" w:color="auto"/>
              </w:divBdr>
              <w:divsChild>
                <w:div w:id="949706392">
                  <w:marLeft w:val="-15"/>
                  <w:marRight w:val="-15"/>
                  <w:marTop w:val="0"/>
                  <w:marBottom w:val="0"/>
                  <w:divBdr>
                    <w:top w:val="none" w:sz="0" w:space="0" w:color="auto"/>
                    <w:left w:val="single" w:sz="6" w:space="0" w:color="F9C661"/>
                    <w:bottom w:val="none" w:sz="0" w:space="0" w:color="auto"/>
                    <w:right w:val="single" w:sz="6" w:space="0" w:color="DADADA"/>
                  </w:divBdr>
                  <w:divsChild>
                    <w:div w:id="1678313661">
                      <w:marLeft w:val="-30"/>
                      <w:marRight w:val="-45"/>
                      <w:marTop w:val="0"/>
                      <w:marBottom w:val="0"/>
                      <w:divBdr>
                        <w:top w:val="none" w:sz="0" w:space="0" w:color="auto"/>
                        <w:left w:val="none" w:sz="0" w:space="0" w:color="auto"/>
                        <w:bottom w:val="none" w:sz="0" w:space="0" w:color="auto"/>
                        <w:right w:val="none" w:sz="0" w:space="0" w:color="auto"/>
                      </w:divBdr>
                      <w:divsChild>
                        <w:div w:id="443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1033</Words>
  <Characters>6684</Characters>
  <Application>Microsoft Office Word</Application>
  <DocSecurity>4</DocSecurity>
  <Lines>139</Lines>
  <Paragraphs>51</Paragraphs>
  <ScaleCrop>false</ScaleCrop>
  <HeadingPairs>
    <vt:vector size="2" baseType="variant">
      <vt:variant>
        <vt:lpstr>Rubrik</vt:lpstr>
      </vt:variant>
      <vt:variant>
        <vt:i4>1</vt:i4>
      </vt:variant>
    </vt:vector>
  </HeadingPairs>
  <TitlesOfParts>
    <vt:vector size="1" baseType="lpstr">
      <vt:lpstr>FPM_200607__109</vt:lpstr>
    </vt:vector>
  </TitlesOfParts>
  <Company>RD-DTSL</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FPM_200607__109</dc:title>
  <dc:subject>FPM_200607__109</dc:subject>
  <dc:creator>Riksdagen</dc:creator>
  <cp:keywords>Riksdagen</cp:keywords>
  <dc:description>KP2004-version.  Ändringarna påverkar enbart användningen inom Riksdagen. 050429 nya departement DTSL.</dc:description>
  <cp:lastModifiedBy>Lars Brink</cp:lastModifiedBy>
  <cp:revision>2</cp:revision>
  <cp:lastPrinted>2007-07-25T07:01:00Z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109</vt:lpwstr>
  </property>
  <property fmtid="{D5CDD505-2E9C-101B-9397-08002B2CF9AE}" pid="4" name="GDB1">
    <vt:lpwstr>KOM (2007) 377</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Rapporter om Bularien och Rumänien efter anslutningen till EU</vt:lpwstr>
  </property>
  <property fmtid="{D5CDD505-2E9C-101B-9397-08002B2CF9AE}" pid="8" name="UppDat">
    <vt:lpwstr>2007-07-24</vt:lpwstr>
  </property>
  <property fmtid="{D5CDD505-2E9C-101B-9397-08002B2CF9AE}" pid="9" name="AnkDat">
    <vt:lpwstr>2007-07-24</vt:lpwstr>
  </property>
  <property fmtid="{D5CDD505-2E9C-101B-9397-08002B2CF9AE}" pid="10" name="Utsk">
    <vt:lpwstr>Utrikesutskottet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KOM (2007) 378</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3;0;0;218</vt:lpwstr>
  </property>
  <property fmtid="{D5CDD505-2E9C-101B-9397-08002B2CF9AE}" pid="41" name="Sprak">
    <vt:lpwstr>Svenska</vt:lpwstr>
  </property>
  <property fmtid="{D5CDD505-2E9C-101B-9397-08002B2CF9AE}" pid="42" name="DokID">
    <vt:i4>80</vt:i4>
  </property>
</Properties>
</file>