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070" w:rsidRPr="006779ED" w:rsidRDefault="00566070" w:rsidP="00566070">
      <w:pPr>
        <w:framePr w:w="4400" w:h="1644" w:wrap="notBeside" w:vAnchor="page" w:hAnchor="page" w:x="6573" w:y="721"/>
        <w:rPr>
          <w:rFonts w:ascii="OrigGarmnd BT" w:hAnsi="OrigGarmnd BT"/>
        </w:rPr>
      </w:pPr>
      <w:r w:rsidRPr="006779ED">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66070" w:rsidRPr="006779ED" w:rsidTr="00566070">
        <w:tblPrEx>
          <w:tblCellMar>
            <w:top w:w="0" w:type="dxa"/>
            <w:bottom w:w="0" w:type="dxa"/>
          </w:tblCellMar>
        </w:tblPrEx>
        <w:tc>
          <w:tcPr>
            <w:tcW w:w="2268" w:type="dxa"/>
          </w:tcPr>
          <w:p w:rsidR="00566070" w:rsidRPr="006779ED" w:rsidRDefault="00566070" w:rsidP="00566070">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566070" w:rsidRPr="006779ED" w:rsidRDefault="00566070" w:rsidP="00566070">
            <w:pPr>
              <w:framePr w:w="4400" w:h="1644" w:wrap="notBeside" w:vAnchor="page" w:hAnchor="page" w:x="6573" w:y="721"/>
              <w:rPr>
                <w:rFonts w:ascii="OrigGarmnd BT" w:hAnsi="OrigGarmnd BT"/>
                <w:i/>
                <w:sz w:val="18"/>
              </w:rPr>
            </w:pPr>
          </w:p>
        </w:tc>
      </w:tr>
      <w:tr w:rsidR="00566070" w:rsidRPr="006779ED" w:rsidTr="00566070">
        <w:tblPrEx>
          <w:tblCellMar>
            <w:top w:w="0" w:type="dxa"/>
            <w:bottom w:w="0" w:type="dxa"/>
          </w:tblCellMar>
        </w:tblPrEx>
        <w:tc>
          <w:tcPr>
            <w:tcW w:w="2268" w:type="dxa"/>
          </w:tcPr>
          <w:p w:rsidR="00566070" w:rsidRPr="006779ED" w:rsidRDefault="00566070" w:rsidP="00566070">
            <w:pPr>
              <w:framePr w:w="4400" w:h="1644" w:wrap="notBeside" w:vAnchor="page" w:hAnchor="page" w:x="6573" w:y="721"/>
              <w:rPr>
                <w:rFonts w:ascii="OrigGarmnd BT" w:hAnsi="OrigGarmnd BT"/>
                <w:b/>
                <w:sz w:val="22"/>
              </w:rPr>
            </w:pPr>
            <w:r w:rsidRPr="006779ED">
              <w:rPr>
                <w:rFonts w:ascii="OrigGarmnd BT" w:hAnsi="OrigGarmnd BT"/>
                <w:b/>
                <w:sz w:val="22"/>
              </w:rPr>
              <w:t>Kommenterad</w:t>
            </w:r>
          </w:p>
          <w:p w:rsidR="00566070" w:rsidRPr="006779ED" w:rsidRDefault="00566070" w:rsidP="00566070">
            <w:pPr>
              <w:framePr w:w="4400" w:h="1644" w:wrap="notBeside" w:vAnchor="page" w:hAnchor="page" w:x="6573" w:y="721"/>
              <w:rPr>
                <w:rFonts w:ascii="OrigGarmnd BT" w:hAnsi="OrigGarmnd BT"/>
                <w:b/>
                <w:sz w:val="22"/>
              </w:rPr>
            </w:pPr>
            <w:r w:rsidRPr="006779ED">
              <w:rPr>
                <w:rFonts w:ascii="OrigGarmnd BT" w:hAnsi="OrigGarmnd BT"/>
                <w:b/>
                <w:sz w:val="22"/>
              </w:rPr>
              <w:t>dagordning</w:t>
            </w:r>
          </w:p>
        </w:tc>
        <w:tc>
          <w:tcPr>
            <w:tcW w:w="2347" w:type="dxa"/>
            <w:gridSpan w:val="2"/>
          </w:tcPr>
          <w:p w:rsidR="00566070" w:rsidRPr="006779ED" w:rsidRDefault="00566070" w:rsidP="00566070">
            <w:pPr>
              <w:framePr w:w="4400" w:h="1644" w:wrap="notBeside" w:vAnchor="page" w:hAnchor="page" w:x="6573" w:y="721"/>
              <w:rPr>
                <w:rFonts w:ascii="OrigGarmnd BT" w:hAnsi="OrigGarmnd BT"/>
                <w:sz w:val="22"/>
              </w:rPr>
            </w:pPr>
            <w:r w:rsidRPr="006779ED">
              <w:rPr>
                <w:rFonts w:ascii="Helv" w:hAnsi="Helv" w:cs="Helv"/>
                <w:bCs/>
                <w:sz w:val="20"/>
              </w:rPr>
              <w:t>Ju2010/672/EU</w:t>
            </w:r>
          </w:p>
        </w:tc>
      </w:tr>
      <w:tr w:rsidR="00566070" w:rsidRPr="006779ED" w:rsidTr="00566070">
        <w:tblPrEx>
          <w:tblCellMar>
            <w:top w:w="0" w:type="dxa"/>
            <w:bottom w:w="0" w:type="dxa"/>
          </w:tblCellMar>
        </w:tblPrEx>
        <w:tc>
          <w:tcPr>
            <w:tcW w:w="3402" w:type="dxa"/>
            <w:gridSpan w:val="2"/>
          </w:tcPr>
          <w:p w:rsidR="00566070" w:rsidRPr="006779ED" w:rsidRDefault="00566070" w:rsidP="00566070">
            <w:pPr>
              <w:framePr w:w="4400" w:h="1644" w:wrap="notBeside" w:vAnchor="page" w:hAnchor="page" w:x="6573" w:y="721"/>
              <w:rPr>
                <w:rFonts w:ascii="OrigGarmnd BT" w:hAnsi="OrigGarmnd BT"/>
              </w:rPr>
            </w:pPr>
          </w:p>
        </w:tc>
        <w:tc>
          <w:tcPr>
            <w:tcW w:w="1213" w:type="dxa"/>
          </w:tcPr>
          <w:p w:rsidR="00566070" w:rsidRPr="006779ED" w:rsidRDefault="00566070" w:rsidP="00566070">
            <w:pPr>
              <w:framePr w:w="4400" w:h="1644" w:wrap="notBeside" w:vAnchor="page" w:hAnchor="page" w:x="6573" w:y="721"/>
              <w:rPr>
                <w:rFonts w:ascii="OrigGarmnd BT" w:hAnsi="OrigGarmnd BT"/>
              </w:rPr>
            </w:pPr>
          </w:p>
        </w:tc>
      </w:tr>
      <w:tr w:rsidR="00566070" w:rsidRPr="006779ED" w:rsidTr="00566070">
        <w:tblPrEx>
          <w:tblCellMar>
            <w:top w:w="0" w:type="dxa"/>
            <w:bottom w:w="0" w:type="dxa"/>
          </w:tblCellMar>
        </w:tblPrEx>
        <w:tc>
          <w:tcPr>
            <w:tcW w:w="2268" w:type="dxa"/>
          </w:tcPr>
          <w:p w:rsidR="00566070" w:rsidRPr="006779ED" w:rsidRDefault="00566070" w:rsidP="00566070">
            <w:pPr>
              <w:framePr w:w="4400" w:h="1644" w:wrap="notBeside" w:vAnchor="page" w:hAnchor="page" w:x="6573" w:y="721"/>
              <w:rPr>
                <w:rFonts w:ascii="OrigGarmnd BT" w:hAnsi="OrigGarmnd BT"/>
              </w:rPr>
            </w:pPr>
            <w:r w:rsidRPr="006779ED">
              <w:rPr>
                <w:rFonts w:ascii="OrigGarmnd BT" w:hAnsi="OrigGarmnd BT"/>
              </w:rPr>
              <w:t>2010-</w:t>
            </w:r>
            <w:r w:rsidR="005D57C1" w:rsidRPr="006779ED">
              <w:rPr>
                <w:rFonts w:ascii="OrigGarmnd BT" w:hAnsi="OrigGarmnd BT"/>
              </w:rPr>
              <w:t>11-01</w:t>
            </w:r>
          </w:p>
        </w:tc>
        <w:tc>
          <w:tcPr>
            <w:tcW w:w="2347" w:type="dxa"/>
            <w:gridSpan w:val="2"/>
          </w:tcPr>
          <w:p w:rsidR="00566070" w:rsidRPr="006779ED" w:rsidRDefault="00566070" w:rsidP="00566070">
            <w:pPr>
              <w:framePr w:w="4400" w:h="1644" w:wrap="notBeside" w:vAnchor="page" w:hAnchor="page" w:x="6573" w:y="721"/>
              <w:rPr>
                <w:rFonts w:ascii="OrigGarmnd BT" w:hAnsi="OrigGarmnd BT"/>
              </w:rPr>
            </w:pPr>
          </w:p>
        </w:tc>
      </w:tr>
      <w:tr w:rsidR="00566070" w:rsidRPr="006779ED" w:rsidTr="00566070">
        <w:tblPrEx>
          <w:tblCellMar>
            <w:top w:w="0" w:type="dxa"/>
            <w:bottom w:w="0" w:type="dxa"/>
          </w:tblCellMar>
        </w:tblPrEx>
        <w:tc>
          <w:tcPr>
            <w:tcW w:w="2268" w:type="dxa"/>
          </w:tcPr>
          <w:p w:rsidR="00566070" w:rsidRPr="006779ED" w:rsidRDefault="00566070" w:rsidP="00566070">
            <w:pPr>
              <w:framePr w:w="4400" w:h="1644" w:wrap="notBeside" w:vAnchor="page" w:hAnchor="page" w:x="6573" w:y="721"/>
              <w:rPr>
                <w:rFonts w:ascii="OrigGarmnd BT" w:hAnsi="OrigGarmnd BT"/>
              </w:rPr>
            </w:pPr>
          </w:p>
        </w:tc>
        <w:tc>
          <w:tcPr>
            <w:tcW w:w="2347" w:type="dxa"/>
            <w:gridSpan w:val="2"/>
          </w:tcPr>
          <w:p w:rsidR="00566070" w:rsidRPr="006779ED" w:rsidRDefault="00566070" w:rsidP="00566070">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566070" w:rsidRPr="006779ED" w:rsidTr="00566070">
        <w:tblPrEx>
          <w:tblCellMar>
            <w:top w:w="0" w:type="dxa"/>
            <w:bottom w:w="0" w:type="dxa"/>
          </w:tblCellMar>
        </w:tblPrEx>
        <w:trPr>
          <w:trHeight w:val="2400"/>
        </w:trPr>
        <w:tc>
          <w:tcPr>
            <w:tcW w:w="4911" w:type="dxa"/>
          </w:tcPr>
          <w:p w:rsidR="00566070" w:rsidRPr="006779ED" w:rsidRDefault="00566070" w:rsidP="00566070">
            <w:pPr>
              <w:pStyle w:val="Avsndare"/>
              <w:framePr w:h="2483" w:wrap="notBeside" w:x="1504"/>
              <w:rPr>
                <w:rFonts w:ascii="OrigGarmnd BT" w:hAnsi="OrigGarmnd BT"/>
                <w:b/>
                <w:i w:val="0"/>
                <w:sz w:val="22"/>
              </w:rPr>
            </w:pPr>
            <w:r w:rsidRPr="006779ED">
              <w:rPr>
                <w:rFonts w:ascii="OrigGarmnd BT" w:hAnsi="OrigGarmnd BT"/>
                <w:b/>
                <w:i w:val="0"/>
                <w:sz w:val="22"/>
              </w:rPr>
              <w:t>Justitiedepartementet</w:t>
            </w:r>
          </w:p>
          <w:p w:rsidR="00566070" w:rsidRPr="006779ED" w:rsidRDefault="00566070" w:rsidP="00566070">
            <w:pPr>
              <w:pStyle w:val="Avsndare"/>
              <w:framePr w:h="2483" w:wrap="notBeside" w:x="1504"/>
              <w:rPr>
                <w:rFonts w:ascii="OrigGarmnd BT" w:hAnsi="OrigGarmnd BT"/>
              </w:rPr>
            </w:pPr>
          </w:p>
          <w:p w:rsidR="00566070" w:rsidRPr="006779ED" w:rsidRDefault="00566070" w:rsidP="00566070">
            <w:pPr>
              <w:pStyle w:val="Avsndare"/>
              <w:framePr w:h="2483" w:wrap="notBeside" w:x="1504"/>
              <w:rPr>
                <w:rFonts w:ascii="OrigGarmnd BT" w:hAnsi="OrigGarmnd BT"/>
              </w:rPr>
            </w:pPr>
          </w:p>
          <w:p w:rsidR="00566070" w:rsidRPr="006779ED" w:rsidRDefault="00566070" w:rsidP="00566070">
            <w:pPr>
              <w:pStyle w:val="Avsndare"/>
              <w:framePr w:h="2483" w:wrap="notBeside" w:x="1504"/>
              <w:rPr>
                <w:rFonts w:ascii="OrigGarmnd BT" w:hAnsi="OrigGarmnd BT"/>
                <w:b/>
                <w:i w:val="0"/>
                <w:sz w:val="22"/>
              </w:rPr>
            </w:pPr>
          </w:p>
        </w:tc>
      </w:tr>
    </w:tbl>
    <w:p w:rsidR="00566070" w:rsidRPr="006779ED" w:rsidRDefault="00566070" w:rsidP="00566070">
      <w:pPr>
        <w:framePr w:w="4400" w:h="2523" w:wrap="notBeside" w:vAnchor="page" w:hAnchor="page" w:x="6453" w:y="2445"/>
        <w:ind w:left="142"/>
        <w:rPr>
          <w:rFonts w:ascii="OrigGarmnd BT" w:hAnsi="OrigGarmnd BT"/>
        </w:rPr>
      </w:pPr>
    </w:p>
    <w:p w:rsidR="00566070" w:rsidRPr="006779ED" w:rsidRDefault="00566070" w:rsidP="00566070">
      <w:pPr>
        <w:framePr w:w="4400" w:h="2523" w:wrap="notBeside" w:vAnchor="page" w:hAnchor="page" w:x="6453" w:y="2445"/>
        <w:ind w:left="142"/>
        <w:rPr>
          <w:rFonts w:ascii="OrigGarmnd BT" w:hAnsi="OrigGarmnd BT"/>
        </w:rPr>
      </w:pPr>
      <w:r w:rsidRPr="006779ED">
        <w:rPr>
          <w:rFonts w:ascii="OrigGarmnd BT" w:hAnsi="OrigGarmnd BT"/>
        </w:rPr>
        <w:t>EU-nämndens kansli</w:t>
      </w:r>
    </w:p>
    <w:p w:rsidR="00566070" w:rsidRPr="006779ED" w:rsidRDefault="00566070" w:rsidP="00566070">
      <w:pPr>
        <w:framePr w:w="4400" w:h="2523" w:wrap="notBeside" w:vAnchor="page" w:hAnchor="page" w:x="6453" w:y="2445"/>
        <w:ind w:left="142"/>
        <w:rPr>
          <w:rFonts w:ascii="OrigGarmnd BT" w:hAnsi="OrigGarmnd BT"/>
        </w:rPr>
      </w:pPr>
      <w:r w:rsidRPr="006779ED">
        <w:rPr>
          <w:rFonts w:ascii="OrigGarmnd BT" w:hAnsi="OrigGarmnd BT"/>
        </w:rPr>
        <w:t>Riksdagen</w:t>
      </w:r>
    </w:p>
    <w:p w:rsidR="00566070" w:rsidRPr="006779ED" w:rsidRDefault="00566070" w:rsidP="00566070">
      <w:pPr>
        <w:framePr w:w="4400" w:h="2523" w:wrap="notBeside" w:vAnchor="page" w:hAnchor="page" w:x="6453" w:y="2445"/>
        <w:ind w:left="142"/>
        <w:rPr>
          <w:rFonts w:ascii="OrigGarmnd BT" w:hAnsi="OrigGarmnd BT"/>
        </w:rPr>
      </w:pPr>
    </w:p>
    <w:p w:rsidR="00566070" w:rsidRPr="006779ED" w:rsidRDefault="00566070" w:rsidP="00566070">
      <w:pPr>
        <w:framePr w:w="4400" w:h="2523" w:wrap="notBeside" w:vAnchor="page" w:hAnchor="page" w:x="6453" w:y="2445"/>
        <w:ind w:left="142"/>
        <w:rPr>
          <w:rFonts w:ascii="OrigGarmnd BT" w:hAnsi="OrigGarmnd BT"/>
        </w:rPr>
      </w:pPr>
      <w:r w:rsidRPr="006779ED">
        <w:rPr>
          <w:rFonts w:ascii="OrigGarmnd BT" w:hAnsi="OrigGarmnd BT"/>
        </w:rPr>
        <w:t>Kopia: Justitieutskottets kansli</w:t>
      </w:r>
    </w:p>
    <w:p w:rsidR="00566070" w:rsidRPr="006779ED" w:rsidRDefault="00566070" w:rsidP="00566070">
      <w:pPr>
        <w:framePr w:w="4400" w:h="2523" w:wrap="notBeside" w:vAnchor="page" w:hAnchor="page" w:x="6453" w:y="2445"/>
        <w:ind w:left="142"/>
        <w:rPr>
          <w:rFonts w:ascii="OrigGarmnd BT" w:hAnsi="OrigGarmnd BT"/>
        </w:rPr>
      </w:pPr>
      <w:r w:rsidRPr="006779ED">
        <w:rPr>
          <w:rFonts w:ascii="OrigGarmnd BT" w:hAnsi="OrigGarmnd BT"/>
        </w:rPr>
        <w:t>Kopia: Socialförsäkringsutskottets kansli</w:t>
      </w:r>
    </w:p>
    <w:p w:rsidR="00566070" w:rsidRPr="006779ED" w:rsidRDefault="00566070" w:rsidP="00566070">
      <w:pPr>
        <w:pStyle w:val="RKrubrik"/>
        <w:pBdr>
          <w:bottom w:val="single" w:sz="6" w:space="1" w:color="auto"/>
        </w:pBdr>
        <w:spacing w:before="0" w:after="0"/>
        <w:rPr>
          <w:rFonts w:ascii="OrigGarmnd BT" w:hAnsi="OrigGarmnd BT"/>
          <w:sz w:val="24"/>
        </w:rPr>
      </w:pPr>
      <w:r w:rsidRPr="006779ED">
        <w:rPr>
          <w:rFonts w:ascii="OrigGarmnd BT" w:hAnsi="OrigGarmnd BT"/>
          <w:sz w:val="24"/>
        </w:rPr>
        <w:t xml:space="preserve">Kommenterad dagordning för ministerrådsmötet för rättsliga och inrikes frågor samt räddningstjänsten (RIF-rådet) i </w:t>
      </w:r>
      <w:r w:rsidR="005D57C1" w:rsidRPr="006779ED">
        <w:rPr>
          <w:rFonts w:ascii="OrigGarmnd BT" w:hAnsi="OrigGarmnd BT"/>
          <w:sz w:val="24"/>
        </w:rPr>
        <w:t>Bryssel</w:t>
      </w:r>
      <w:r w:rsidRPr="006779ED">
        <w:rPr>
          <w:rFonts w:ascii="OrigGarmnd BT" w:hAnsi="OrigGarmnd BT"/>
          <w:sz w:val="24"/>
        </w:rPr>
        <w:t xml:space="preserve"> den </w:t>
      </w:r>
      <w:r w:rsidR="005D57C1" w:rsidRPr="006779ED">
        <w:rPr>
          <w:rFonts w:ascii="OrigGarmnd BT" w:hAnsi="OrigGarmnd BT"/>
          <w:sz w:val="24"/>
        </w:rPr>
        <w:t>8-9 november</w:t>
      </w:r>
      <w:r w:rsidRPr="006779ED">
        <w:rPr>
          <w:rFonts w:ascii="OrigGarmnd BT" w:hAnsi="OrigGarmnd BT"/>
          <w:sz w:val="24"/>
        </w:rPr>
        <w:t xml:space="preserve"> 2010</w:t>
      </w:r>
    </w:p>
    <w:p w:rsidR="00566070" w:rsidRPr="006779ED" w:rsidRDefault="00566070" w:rsidP="00566070">
      <w:pPr>
        <w:pStyle w:val="RKnormal"/>
      </w:pPr>
    </w:p>
    <w:p w:rsidR="00566070" w:rsidRPr="006779ED" w:rsidRDefault="00566070" w:rsidP="00566070">
      <w:pPr>
        <w:pStyle w:val="RKnormal"/>
      </w:pPr>
    </w:p>
    <w:p w:rsidR="00566070" w:rsidRPr="006779ED" w:rsidRDefault="00566070" w:rsidP="00566070">
      <w:pPr>
        <w:pStyle w:val="RKnormal"/>
        <w:rPr>
          <w:b/>
        </w:rPr>
      </w:pPr>
      <w:r w:rsidRPr="006779ED">
        <w:rPr>
          <w:b/>
        </w:rPr>
        <w:t>1. Godkännande av den preliminära dagordningen</w:t>
      </w:r>
    </w:p>
    <w:p w:rsidR="00566070" w:rsidRPr="006779ED" w:rsidRDefault="00566070" w:rsidP="00566070">
      <w:pPr>
        <w:pStyle w:val="RKnormal"/>
      </w:pPr>
    </w:p>
    <w:p w:rsidR="00566070" w:rsidRPr="006779ED" w:rsidRDefault="00566070" w:rsidP="00566070">
      <w:pPr>
        <w:pStyle w:val="RKnormal"/>
      </w:pPr>
      <w:r w:rsidRPr="006779ED">
        <w:t>Se bifogad preliminär dagordning.</w:t>
      </w:r>
    </w:p>
    <w:p w:rsidR="00566070" w:rsidRPr="006779ED" w:rsidRDefault="00566070" w:rsidP="00566070">
      <w:pPr>
        <w:pStyle w:val="RKnormal"/>
        <w:rPr>
          <w:b/>
        </w:rPr>
      </w:pPr>
    </w:p>
    <w:p w:rsidR="00566070" w:rsidRPr="006779ED" w:rsidRDefault="00566070" w:rsidP="00566070">
      <w:pPr>
        <w:pStyle w:val="RKnormal"/>
        <w:rPr>
          <w:b/>
        </w:rPr>
      </w:pPr>
    </w:p>
    <w:p w:rsidR="00566070" w:rsidRPr="006779ED" w:rsidRDefault="00566070" w:rsidP="00566070">
      <w:pPr>
        <w:pStyle w:val="RKnormal"/>
        <w:rPr>
          <w:b/>
          <w:u w:val="single"/>
        </w:rPr>
      </w:pPr>
      <w:r w:rsidRPr="006779ED">
        <w:rPr>
          <w:b/>
          <w:u w:val="single"/>
        </w:rPr>
        <w:t>Lagstiftningsöverläggningar</w:t>
      </w:r>
      <w:r w:rsidRPr="006779ED">
        <w:rPr>
          <w:rStyle w:val="Fotnotsreferens"/>
          <w:b/>
          <w:u w:val="single"/>
        </w:rPr>
        <w:footnoteReference w:id="1"/>
      </w:r>
    </w:p>
    <w:p w:rsidR="00566070" w:rsidRPr="006779ED" w:rsidRDefault="00566070" w:rsidP="00566070">
      <w:pPr>
        <w:pStyle w:val="RKnormal"/>
        <w:rPr>
          <w:b/>
        </w:rPr>
      </w:pPr>
    </w:p>
    <w:p w:rsidR="00566070" w:rsidRPr="006779ED" w:rsidRDefault="00566070" w:rsidP="00566070">
      <w:pPr>
        <w:pStyle w:val="RKnormal"/>
        <w:rPr>
          <w:b/>
        </w:rPr>
      </w:pPr>
      <w:r w:rsidRPr="006779ED">
        <w:rPr>
          <w:b/>
        </w:rPr>
        <w:t>2. Godkännande av A-punktslistan</w:t>
      </w:r>
    </w:p>
    <w:p w:rsidR="00566070" w:rsidRPr="006779ED" w:rsidRDefault="00566070" w:rsidP="00566070">
      <w:pPr>
        <w:pStyle w:val="RKnormal"/>
        <w:rPr>
          <w:b/>
        </w:rPr>
      </w:pPr>
    </w:p>
    <w:p w:rsidR="00566070" w:rsidRPr="006779ED" w:rsidRDefault="00566070" w:rsidP="00566070">
      <w:pPr>
        <w:pStyle w:val="RKnormal"/>
      </w:pPr>
      <w:r w:rsidRPr="006779ED">
        <w:t>Någon A-punktslista har ännu inte presenterats.</w:t>
      </w:r>
    </w:p>
    <w:p w:rsidR="00566070" w:rsidRPr="006779ED" w:rsidRDefault="00566070" w:rsidP="00566070">
      <w:pPr>
        <w:pStyle w:val="RKnormal"/>
      </w:pPr>
    </w:p>
    <w:p w:rsidR="00226967" w:rsidRPr="006779ED" w:rsidRDefault="00226967" w:rsidP="005D57C1">
      <w:pPr>
        <w:tabs>
          <w:tab w:val="left" w:pos="567"/>
        </w:tabs>
        <w:ind w:left="600" w:hanging="600"/>
        <w:rPr>
          <w:rFonts w:ascii="OrigGarmnd BT" w:hAnsi="OrigGarmnd BT"/>
          <w:b/>
          <w:bCs/>
        </w:rPr>
      </w:pPr>
    </w:p>
    <w:p w:rsidR="005D57C1" w:rsidRPr="006779ED" w:rsidRDefault="005D57C1" w:rsidP="005D57C1">
      <w:pPr>
        <w:tabs>
          <w:tab w:val="left" w:pos="567"/>
        </w:tabs>
        <w:ind w:left="600" w:hanging="600"/>
        <w:rPr>
          <w:rFonts w:ascii="OrigGarmnd BT" w:hAnsi="OrigGarmnd BT"/>
          <w:b/>
          <w:bCs/>
        </w:rPr>
      </w:pPr>
      <w:r w:rsidRPr="006779ED">
        <w:rPr>
          <w:rFonts w:ascii="OrigGarmnd BT" w:hAnsi="OrigGarmnd BT"/>
          <w:b/>
          <w:bCs/>
        </w:rPr>
        <w:t>3. Utkast till Europaparlamentets och rådets förordning om ändring</w:t>
      </w:r>
    </w:p>
    <w:p w:rsidR="005D57C1" w:rsidRPr="006779ED" w:rsidRDefault="005D57C1" w:rsidP="005D57C1">
      <w:pPr>
        <w:tabs>
          <w:tab w:val="left" w:pos="567"/>
        </w:tabs>
        <w:ind w:left="600" w:hanging="600"/>
        <w:rPr>
          <w:rFonts w:ascii="OrigGarmnd BT" w:hAnsi="OrigGarmnd BT"/>
          <w:b/>
          <w:bCs/>
        </w:rPr>
      </w:pPr>
      <w:r w:rsidRPr="006779ED">
        <w:rPr>
          <w:rFonts w:ascii="OrigGarmnd BT" w:hAnsi="OrigGarmnd BT"/>
          <w:b/>
          <w:bCs/>
        </w:rPr>
        <w:t>av förordning (EG) nr 539/2001 om fastställande av förteckningen</w:t>
      </w:r>
    </w:p>
    <w:p w:rsidR="005D57C1" w:rsidRPr="006779ED" w:rsidRDefault="005D57C1" w:rsidP="005D57C1">
      <w:pPr>
        <w:tabs>
          <w:tab w:val="left" w:pos="567"/>
        </w:tabs>
        <w:ind w:left="600" w:hanging="600"/>
        <w:rPr>
          <w:rFonts w:ascii="OrigGarmnd BT" w:hAnsi="OrigGarmnd BT"/>
          <w:b/>
          <w:bCs/>
        </w:rPr>
      </w:pPr>
      <w:r w:rsidRPr="006779ED">
        <w:rPr>
          <w:rFonts w:ascii="OrigGarmnd BT" w:hAnsi="OrigGarmnd BT"/>
          <w:b/>
          <w:bCs/>
        </w:rPr>
        <w:t>över tredjeländer vars medborgare är skyldiga att inneha visering när</w:t>
      </w:r>
    </w:p>
    <w:p w:rsidR="005D57C1" w:rsidRPr="006779ED" w:rsidRDefault="005D57C1" w:rsidP="005D57C1">
      <w:pPr>
        <w:tabs>
          <w:tab w:val="left" w:pos="567"/>
        </w:tabs>
        <w:ind w:left="600" w:hanging="600"/>
        <w:rPr>
          <w:rFonts w:ascii="OrigGarmnd BT" w:hAnsi="OrigGarmnd BT"/>
          <w:b/>
          <w:bCs/>
        </w:rPr>
      </w:pPr>
      <w:r w:rsidRPr="006779ED">
        <w:rPr>
          <w:rFonts w:ascii="OrigGarmnd BT" w:hAnsi="OrigGarmnd BT"/>
          <w:b/>
          <w:bCs/>
        </w:rPr>
        <w:t xml:space="preserve">de passerar de yttre gränserna och av förteckningen </w:t>
      </w:r>
    </w:p>
    <w:p w:rsidR="005D57C1" w:rsidRPr="006779ED" w:rsidRDefault="005D57C1" w:rsidP="005D57C1">
      <w:pPr>
        <w:tabs>
          <w:tab w:val="left" w:pos="567"/>
        </w:tabs>
        <w:ind w:left="600" w:hanging="600"/>
        <w:rPr>
          <w:rFonts w:ascii="OrigGarmnd BT" w:hAnsi="OrigGarmnd BT"/>
          <w:b/>
          <w:bCs/>
        </w:rPr>
      </w:pPr>
      <w:r w:rsidRPr="006779ED">
        <w:rPr>
          <w:rFonts w:ascii="OrigGarmnd BT" w:hAnsi="OrigGarmnd BT"/>
          <w:b/>
          <w:bCs/>
        </w:rPr>
        <w:t>över de tredjeländer vars medborgare är undantagna från detta krav</w:t>
      </w:r>
    </w:p>
    <w:p w:rsidR="005D57C1" w:rsidRPr="006779ED" w:rsidRDefault="005D57C1" w:rsidP="005D57C1">
      <w:pPr>
        <w:tabs>
          <w:tab w:val="left" w:pos="567"/>
        </w:tabs>
        <w:ind w:left="600" w:hanging="600"/>
        <w:rPr>
          <w:rFonts w:ascii="OrigGarmnd BT" w:hAnsi="OrigGarmnd BT"/>
          <w:b/>
          <w:bCs/>
        </w:rPr>
      </w:pPr>
      <w:r w:rsidRPr="006779ED">
        <w:rPr>
          <w:rFonts w:ascii="OrigGarmnd BT" w:hAnsi="OrigGarmnd BT"/>
          <w:b/>
          <w:bCs/>
        </w:rPr>
        <w:t>–</w:t>
      </w:r>
      <w:r w:rsidRPr="006779ED">
        <w:rPr>
          <w:rFonts w:ascii="OrigGarmnd BT" w:hAnsi="OrigGarmnd BT"/>
          <w:b/>
          <w:bCs/>
        </w:rPr>
        <w:tab/>
        <w:t>Antagande</w:t>
      </w:r>
      <w:r w:rsidR="00226967" w:rsidRPr="006779ED">
        <w:rPr>
          <w:rFonts w:ascii="OrigGarmnd BT" w:hAnsi="OrigGarmnd BT"/>
          <w:b/>
          <w:bCs/>
        </w:rPr>
        <w:t xml:space="preserve"> (Sr Billström)</w:t>
      </w:r>
    </w:p>
    <w:p w:rsidR="005D57C1" w:rsidRPr="006779ED" w:rsidRDefault="005D57C1" w:rsidP="005D57C1">
      <w:pPr>
        <w:tabs>
          <w:tab w:val="left" w:pos="567"/>
        </w:tabs>
        <w:rPr>
          <w:rFonts w:ascii="OrigGarmnd BT" w:hAnsi="OrigGarmnd BT"/>
          <w:b/>
          <w:bCs/>
        </w:rPr>
      </w:pPr>
    </w:p>
    <w:p w:rsidR="001A3B14" w:rsidRPr="006779ED" w:rsidRDefault="001A3B14" w:rsidP="001A3B14">
      <w:pPr>
        <w:outlineLvl w:val="0"/>
        <w:rPr>
          <w:rFonts w:ascii="OrigGarmnd BT" w:hAnsi="OrigGarmnd BT"/>
          <w:i/>
          <w:iCs/>
        </w:rPr>
      </w:pPr>
      <w:r w:rsidRPr="006779ED">
        <w:rPr>
          <w:rFonts w:ascii="OrigGarmnd BT" w:hAnsi="OrigGarmnd BT"/>
          <w:i/>
          <w:iCs/>
        </w:rPr>
        <w:t>Avsikten med behandlingen i rådet</w:t>
      </w:r>
    </w:p>
    <w:p w:rsidR="001A3B14" w:rsidRPr="006779ED" w:rsidRDefault="001A3B14" w:rsidP="001A3B14">
      <w:pPr>
        <w:rPr>
          <w:rFonts w:ascii="OrigGarmnd BT" w:hAnsi="OrigGarmnd BT" w:cs="Courier New"/>
          <w:color w:val="000000"/>
        </w:rPr>
      </w:pPr>
      <w:r w:rsidRPr="006779ED">
        <w:rPr>
          <w:rFonts w:ascii="OrigGarmnd BT" w:hAnsi="OrigGarmnd BT" w:cs="Courier New"/>
          <w:color w:val="000000"/>
        </w:rPr>
        <w:t>Antagande av ändringsförslaget till förordning 539/2001 som gör medborgare i Albanien och Bosnien och Hercegovina viseringsfria vid inresa i Schengen.</w:t>
      </w:r>
    </w:p>
    <w:p w:rsidR="001A3B14" w:rsidRPr="006779ED" w:rsidRDefault="001A3B14" w:rsidP="001A3B14">
      <w:pPr>
        <w:rPr>
          <w:rFonts w:ascii="OrigGarmnd BT" w:hAnsi="OrigGarmnd BT" w:cs="Courier New"/>
          <w:b/>
          <w:bCs/>
          <w:color w:val="000000"/>
        </w:rPr>
      </w:pPr>
    </w:p>
    <w:p w:rsidR="00F61375" w:rsidRPr="006779ED" w:rsidRDefault="00F61375" w:rsidP="001A3B14">
      <w:pPr>
        <w:outlineLvl w:val="0"/>
        <w:rPr>
          <w:rFonts w:ascii="OrigGarmnd BT" w:hAnsi="OrigGarmnd BT"/>
          <w:bCs/>
          <w:i/>
          <w:iCs/>
        </w:rPr>
      </w:pPr>
    </w:p>
    <w:p w:rsidR="00F61375" w:rsidRPr="006779ED" w:rsidRDefault="00F61375" w:rsidP="001A3B14">
      <w:pPr>
        <w:outlineLvl w:val="0"/>
        <w:rPr>
          <w:rFonts w:ascii="OrigGarmnd BT" w:hAnsi="OrigGarmnd BT"/>
          <w:bCs/>
          <w:i/>
          <w:iCs/>
        </w:rPr>
      </w:pPr>
    </w:p>
    <w:p w:rsidR="001A3B14" w:rsidRPr="006779ED" w:rsidRDefault="001A3B14" w:rsidP="001A3B14">
      <w:pPr>
        <w:outlineLvl w:val="0"/>
        <w:rPr>
          <w:rFonts w:ascii="OrigGarmnd BT" w:hAnsi="OrigGarmnd BT"/>
          <w:bCs/>
          <w:i/>
          <w:iCs/>
        </w:rPr>
      </w:pPr>
      <w:r w:rsidRPr="006779ED">
        <w:rPr>
          <w:rFonts w:ascii="OrigGarmnd BT" w:hAnsi="OrigGarmnd BT"/>
          <w:bCs/>
          <w:i/>
          <w:iCs/>
        </w:rPr>
        <w:t>Bakgrund</w:t>
      </w:r>
    </w:p>
    <w:p w:rsidR="001A3B14" w:rsidRPr="006779ED" w:rsidRDefault="001A3B14" w:rsidP="001A3B14">
      <w:pPr>
        <w:rPr>
          <w:rFonts w:ascii="OrigGarmnd BT" w:hAnsi="OrigGarmnd BT"/>
        </w:rPr>
      </w:pPr>
      <w:r w:rsidRPr="006779ED">
        <w:rPr>
          <w:rFonts w:ascii="OrigGarmnd BT" w:hAnsi="OrigGarmnd BT"/>
        </w:rPr>
        <w:t>Under våren 2008 lanserade KOM så kallade viseringsfrihetsdialoger med länderna på Västra Balkan. Individuellt utarbetade färdplaner antogs med kriterier för länderna att uppfylla för att komma i fråga för viseringsfrihet. När länderna uppfyller kriterierna är syftet att KOM ska presentera ett förslag med ändring av rådets förordning (EG) nr. 539/2001, vilken reglerar vilka länders medborgare som ska vara viseringsskyldiga respektive viseringsbefriade vid inresa i Schengen.</w:t>
      </w:r>
    </w:p>
    <w:p w:rsidR="001A3B14" w:rsidRPr="006779ED" w:rsidRDefault="001A3B14" w:rsidP="001A3B14">
      <w:pPr>
        <w:rPr>
          <w:rFonts w:ascii="OrigGarmnd BT" w:hAnsi="OrigGarmnd BT"/>
        </w:rPr>
      </w:pPr>
    </w:p>
    <w:p w:rsidR="001A3B14" w:rsidRPr="006779ED" w:rsidRDefault="001A3B14" w:rsidP="001A3B14">
      <w:pPr>
        <w:pStyle w:val="RKnormal"/>
        <w:outlineLvl w:val="0"/>
        <w:rPr>
          <w:i/>
        </w:rPr>
      </w:pPr>
      <w:r w:rsidRPr="006779ED">
        <w:rPr>
          <w:i/>
        </w:rPr>
        <w:t>Svensk ståndpunkt</w:t>
      </w:r>
    </w:p>
    <w:p w:rsidR="001A3B14" w:rsidRPr="006779ED" w:rsidRDefault="001A3B14" w:rsidP="001A3B14">
      <w:pPr>
        <w:pStyle w:val="RKnormal"/>
        <w:outlineLvl w:val="0"/>
      </w:pPr>
      <w:r w:rsidRPr="006779ED">
        <w:t xml:space="preserve">Regeringen stödjer föreslagna ändringar i rådets förordning (EG) 539/2001, eftersom länderna nu uppfyller uppställda kriterier för viseringsfrihet. Förslaget ligger i linje med svenska strävanden att stärka de mellanfolkliga kontakterna mellan länderna på Västra Balkan och EU. Viseringsfrihet är också en konkret och kännbar effekt av EU-närmandeprocessen med stark inverkan på den allmänna opinionen i berörda länder. Viseringsfrihet utgör ett betydelsefullt incitament för fortsatta reformer och för att stärka EU-perspektivet. </w:t>
      </w:r>
    </w:p>
    <w:p w:rsidR="001A3B14" w:rsidRPr="006779ED" w:rsidRDefault="001A3B14" w:rsidP="001A3B14">
      <w:pPr>
        <w:pStyle w:val="RKnormal"/>
        <w:outlineLvl w:val="0"/>
      </w:pPr>
    </w:p>
    <w:p w:rsidR="001A3B14" w:rsidRPr="006779ED" w:rsidRDefault="001A3B14" w:rsidP="001A3B14">
      <w:pPr>
        <w:pStyle w:val="RKnormal"/>
        <w:outlineLvl w:val="0"/>
      </w:pPr>
      <w:r w:rsidRPr="006779ED">
        <w:rPr>
          <w:bCs/>
          <w:color w:val="000000"/>
          <w:szCs w:val="24"/>
          <w:lang w:eastAsia="sv-SE"/>
        </w:rPr>
        <w:t xml:space="preserve">Samtidigt är det viktigt att kommissionen efter att viseringsfrihet införts, inom ramen för EU-närmandeprocessen, </w:t>
      </w:r>
      <w:r w:rsidRPr="006779ED">
        <w:rPr>
          <w:bCs/>
          <w:iCs/>
          <w:color w:val="000000"/>
          <w:szCs w:val="24"/>
          <w:lang w:eastAsia="sv-SE"/>
        </w:rPr>
        <w:t xml:space="preserve">fortsätter att arbeta </w:t>
      </w:r>
      <w:r w:rsidRPr="006779ED">
        <w:rPr>
          <w:bCs/>
          <w:color w:val="000000"/>
          <w:szCs w:val="24"/>
          <w:lang w:eastAsia="sv-SE"/>
        </w:rPr>
        <w:t xml:space="preserve">med myndigheterna i Albanien och Bosnien och Hercegovina på de områden som omfattas av färdplanerna, till exempel gällande minoritetsskydd. Regeringen ser därför det förslag till uppföljningsmekanism som kommissionen planerar att presentera som en väsentlig komponent i samband med att beslut om viseringsfrihet fattas.  </w:t>
      </w:r>
    </w:p>
    <w:p w:rsidR="001A3B14" w:rsidRPr="006779ED" w:rsidRDefault="001A3B14" w:rsidP="005D57C1">
      <w:pPr>
        <w:tabs>
          <w:tab w:val="left" w:pos="567"/>
        </w:tabs>
        <w:rPr>
          <w:rFonts w:ascii="OrigGarmnd BT" w:hAnsi="OrigGarmnd BT"/>
          <w:b/>
          <w:bCs/>
        </w:rPr>
      </w:pPr>
    </w:p>
    <w:p w:rsidR="001A3B14" w:rsidRPr="006779ED" w:rsidRDefault="001A3B14" w:rsidP="001A3B14">
      <w:pPr>
        <w:pStyle w:val="RKnormal"/>
      </w:pPr>
      <w:r w:rsidRPr="006779ED">
        <w:t xml:space="preserve">Se vidare i </w:t>
      </w:r>
      <w:r w:rsidRPr="006779ED">
        <w:rPr>
          <w:u w:val="single"/>
        </w:rPr>
        <w:t>bifogad promemoria</w:t>
      </w:r>
      <w:r w:rsidRPr="006779ED">
        <w:t>.</w:t>
      </w:r>
    </w:p>
    <w:p w:rsidR="001A3B14" w:rsidRPr="006779ED" w:rsidRDefault="001A3B14" w:rsidP="005D57C1">
      <w:pPr>
        <w:tabs>
          <w:tab w:val="left" w:pos="567"/>
        </w:tabs>
        <w:rPr>
          <w:rFonts w:ascii="OrigGarmnd BT" w:hAnsi="OrigGarmnd BT"/>
          <w:b/>
          <w:bCs/>
        </w:rPr>
      </w:pPr>
    </w:p>
    <w:p w:rsidR="00226967" w:rsidRPr="006779ED" w:rsidRDefault="00226967" w:rsidP="005D57C1">
      <w:pPr>
        <w:tabs>
          <w:tab w:val="left" w:pos="567"/>
        </w:tabs>
        <w:rPr>
          <w:rFonts w:ascii="OrigGarmnd BT" w:hAnsi="OrigGarmnd BT"/>
          <w:b/>
          <w:bCs/>
        </w:rPr>
      </w:pPr>
    </w:p>
    <w:p w:rsidR="005D57C1" w:rsidRPr="006779ED" w:rsidRDefault="005D57C1" w:rsidP="005D57C1">
      <w:pPr>
        <w:tabs>
          <w:tab w:val="left" w:pos="567"/>
        </w:tabs>
        <w:rPr>
          <w:rFonts w:ascii="OrigGarmnd BT" w:hAnsi="OrigGarmnd BT"/>
          <w:b/>
        </w:rPr>
      </w:pPr>
      <w:r w:rsidRPr="006779ED">
        <w:rPr>
          <w:rFonts w:ascii="OrigGarmnd BT" w:hAnsi="OrigGarmnd BT"/>
          <w:b/>
          <w:bCs/>
        </w:rPr>
        <w:t xml:space="preserve">4. </w:t>
      </w:r>
      <w:r w:rsidRPr="006779ED">
        <w:rPr>
          <w:rFonts w:ascii="OrigGarmnd BT" w:hAnsi="OrigGarmnd BT"/>
          <w:b/>
        </w:rPr>
        <w:t>Det gemensamma europeiska asylsystemet (CEAS)</w:t>
      </w:r>
      <w:r w:rsidR="00226967" w:rsidRPr="006779ED">
        <w:rPr>
          <w:rFonts w:ascii="OrigGarmnd BT" w:hAnsi="OrigGarmnd BT"/>
          <w:b/>
        </w:rPr>
        <w:t xml:space="preserve"> (Sr Billström)</w:t>
      </w:r>
    </w:p>
    <w:p w:rsidR="005D57C1" w:rsidRPr="006779ED" w:rsidRDefault="005D57C1" w:rsidP="005D57C1">
      <w:pPr>
        <w:tabs>
          <w:tab w:val="left" w:pos="567"/>
        </w:tabs>
        <w:rPr>
          <w:rFonts w:ascii="OrigGarmnd BT" w:hAnsi="OrigGarmnd BT"/>
          <w:b/>
        </w:rPr>
      </w:pPr>
      <w:r w:rsidRPr="006779ED">
        <w:rPr>
          <w:rFonts w:ascii="OrigGarmnd BT" w:hAnsi="OrigGarmnd BT"/>
          <w:b/>
          <w:bCs/>
        </w:rPr>
        <w:t>–</w:t>
      </w:r>
      <w:r w:rsidRPr="006779ED">
        <w:rPr>
          <w:rFonts w:ascii="OrigGarmnd BT" w:hAnsi="OrigGarmnd BT"/>
          <w:b/>
          <w:bCs/>
        </w:rPr>
        <w:tab/>
        <w:t>Lägesrapport</w:t>
      </w:r>
    </w:p>
    <w:p w:rsidR="005D57C1" w:rsidRPr="006779ED" w:rsidRDefault="005D57C1" w:rsidP="005D57C1">
      <w:pPr>
        <w:ind w:left="567" w:hanging="425"/>
        <w:rPr>
          <w:rFonts w:ascii="OrigGarmnd BT" w:hAnsi="OrigGarmnd BT"/>
          <w:b/>
        </w:rPr>
      </w:pPr>
    </w:p>
    <w:p w:rsidR="00DD3CD6" w:rsidRPr="006779ED" w:rsidRDefault="00DD3CD6" w:rsidP="00DD3CD6">
      <w:pPr>
        <w:rPr>
          <w:rFonts w:ascii="OrigGarmnd BT" w:hAnsi="OrigGarmnd BT"/>
          <w:i/>
          <w:iCs/>
        </w:rPr>
      </w:pPr>
      <w:r w:rsidRPr="006779ED">
        <w:rPr>
          <w:rFonts w:ascii="OrigGarmnd BT" w:hAnsi="OrigGarmnd BT"/>
          <w:i/>
          <w:iCs/>
        </w:rPr>
        <w:t>Avsikten med behandlingen i rådet</w:t>
      </w:r>
    </w:p>
    <w:p w:rsidR="00DD3CD6" w:rsidRPr="006779ED" w:rsidRDefault="00DD3CD6" w:rsidP="00DD3CD6">
      <w:pPr>
        <w:pStyle w:val="RKnormal"/>
      </w:pPr>
      <w:r w:rsidRPr="006779ED">
        <w:t>Information från ordförandeskapet.</w:t>
      </w:r>
    </w:p>
    <w:p w:rsidR="003708FA" w:rsidRPr="006779ED" w:rsidRDefault="003708FA" w:rsidP="00DD3CD6">
      <w:pPr>
        <w:pStyle w:val="RKnormal"/>
      </w:pPr>
    </w:p>
    <w:p w:rsidR="00DD3CD6" w:rsidRPr="006779ED" w:rsidRDefault="00DD3CD6" w:rsidP="00DD3CD6">
      <w:pPr>
        <w:pStyle w:val="RKnormal"/>
      </w:pPr>
      <w:r w:rsidRPr="006779ED">
        <w:rPr>
          <w:i/>
        </w:rPr>
        <w:t>Tidigare behandlad vid samråd med EU-nämnden</w:t>
      </w:r>
      <w:r w:rsidRPr="006779ED">
        <w:t>: 1 okt 2010, inför RIF-rådet 7-8 okt 2010</w:t>
      </w:r>
    </w:p>
    <w:p w:rsidR="00DD3CD6" w:rsidRPr="006779ED" w:rsidRDefault="00DD3CD6" w:rsidP="00DD3CD6">
      <w:pPr>
        <w:pStyle w:val="RKnormal"/>
      </w:pPr>
    </w:p>
    <w:p w:rsidR="00DD3CD6" w:rsidRPr="006779ED" w:rsidRDefault="00DD3CD6" w:rsidP="00DD3CD6">
      <w:pPr>
        <w:pStyle w:val="RKnormal"/>
        <w:rPr>
          <w:i/>
        </w:rPr>
      </w:pPr>
      <w:r w:rsidRPr="006779ED">
        <w:rPr>
          <w:i/>
        </w:rPr>
        <w:t>Bakgrund</w:t>
      </w:r>
    </w:p>
    <w:p w:rsidR="00DD3CD6" w:rsidRPr="006779ED" w:rsidRDefault="00DD3CD6" w:rsidP="00DD3CD6">
      <w:pPr>
        <w:pStyle w:val="RKnormal"/>
      </w:pPr>
      <w:r w:rsidRPr="006779ED">
        <w:t xml:space="preserve">Vid det informella RIF ministermötet i Bryssel den 15-16 juli 2010 diskuterade medlemsstaterna det gemensamma </w:t>
      </w:r>
      <w:r w:rsidR="00027A00" w:rsidRPr="006779ED">
        <w:t xml:space="preserve">europeiska </w:t>
      </w:r>
      <w:r w:rsidRPr="006779ED">
        <w:t>asylsystemet. Medlemsstaterna ställde sig bakom förslaget att under det belgiska ordförandeskapet i första hand koncentrera förhandlingarna i rådet på direktivet om varaktigt bosatta, Dublin- och Eurodacförordningarna samt skyddsgrundsdirektivet. Majoriteten ansåg att det behövs mer tid för att diskutera mottagandedirektivet och asylprocedurdirektivet. Den 13-14 september 2010 hölls även en ministerkonferens på temat asyl i syfte att försöka enas kring möjliga åtgärder som skulle kunna underlätta det fortsatta förhandlingarna om det s.k. asylpaketet. Medlemsstaterna bekräftade vid konferensen inställningen från informella RIF och ordförandeskapet sammanfattade konferensen med att det fortfarande kvarstår en hel del arbete för att uppnå ett gemensamt europeiskt asylsystem. Representanter från Europaparlamentet uppgav vid ministerkonferensen att parlamentet kan ställa sig bakom medlemsstaternas gemensamma ståndpunkt om att inrikta arbetet främst på vissa delar av asylpaketet. De vill dock försäkra sig om att även arbetet med asylprocedurdirektivet och mottagandedirektivet fortsätter. Under hösten har förhandlingarna fortsatt på rådsarbetsgruppsnivå, framför allt avseende direktivet om varaktigt bosatta, Dublinförordningen och skyddsgrundsdirektivet.</w:t>
      </w:r>
    </w:p>
    <w:p w:rsidR="00226967" w:rsidRPr="006779ED" w:rsidRDefault="00226967" w:rsidP="005D57C1">
      <w:pPr>
        <w:ind w:left="567" w:hanging="567"/>
        <w:rPr>
          <w:rFonts w:ascii="OrigGarmnd BT" w:hAnsi="OrigGarmnd BT"/>
          <w:b/>
        </w:rPr>
      </w:pPr>
    </w:p>
    <w:p w:rsidR="00226967" w:rsidRPr="006779ED" w:rsidRDefault="00226967" w:rsidP="005D57C1">
      <w:pPr>
        <w:ind w:left="567" w:hanging="567"/>
        <w:rPr>
          <w:rFonts w:ascii="OrigGarmnd BT" w:hAnsi="OrigGarmnd BT"/>
          <w:b/>
        </w:rPr>
      </w:pPr>
    </w:p>
    <w:p w:rsidR="005D57C1" w:rsidRPr="006779ED" w:rsidRDefault="005D57C1" w:rsidP="005D57C1">
      <w:pPr>
        <w:ind w:left="567" w:hanging="567"/>
        <w:rPr>
          <w:rFonts w:ascii="OrigGarmnd BT" w:hAnsi="OrigGarmnd BT"/>
          <w:b/>
        </w:rPr>
      </w:pPr>
      <w:r w:rsidRPr="006779ED">
        <w:rPr>
          <w:rFonts w:ascii="OrigGarmnd BT" w:hAnsi="OrigGarmnd BT"/>
          <w:b/>
        </w:rPr>
        <w:t xml:space="preserve">5. (ev.) Förslag till Europaparlamentets och rådets förordning om </w:t>
      </w:r>
    </w:p>
    <w:p w:rsidR="005D57C1" w:rsidRPr="006779ED" w:rsidRDefault="005D57C1" w:rsidP="005D57C1">
      <w:pPr>
        <w:ind w:left="567" w:hanging="567"/>
        <w:rPr>
          <w:rFonts w:ascii="OrigGarmnd BT" w:hAnsi="OrigGarmnd BT"/>
          <w:b/>
        </w:rPr>
      </w:pPr>
      <w:r w:rsidRPr="006779ED">
        <w:rPr>
          <w:rFonts w:ascii="OrigGarmnd BT" w:hAnsi="OrigGarmnd BT"/>
          <w:b/>
        </w:rPr>
        <w:t>ändring av förordning (EG) nr 2007/2004 om inrättande av en</w:t>
      </w:r>
    </w:p>
    <w:p w:rsidR="005D57C1" w:rsidRPr="006779ED" w:rsidRDefault="005D57C1" w:rsidP="005D57C1">
      <w:pPr>
        <w:ind w:left="567" w:hanging="567"/>
        <w:rPr>
          <w:rFonts w:ascii="OrigGarmnd BT" w:hAnsi="OrigGarmnd BT"/>
          <w:b/>
        </w:rPr>
      </w:pPr>
      <w:r w:rsidRPr="006779ED">
        <w:rPr>
          <w:rFonts w:ascii="OrigGarmnd BT" w:hAnsi="OrigGarmnd BT"/>
          <w:b/>
        </w:rPr>
        <w:t>europeisk byrå för förvaltningen av det operativa samarbetet vid</w:t>
      </w:r>
    </w:p>
    <w:p w:rsidR="005D57C1" w:rsidRPr="006779ED" w:rsidRDefault="005D57C1" w:rsidP="005D57C1">
      <w:pPr>
        <w:ind w:left="567" w:hanging="567"/>
        <w:rPr>
          <w:rFonts w:ascii="OrigGarmnd BT" w:hAnsi="OrigGarmnd BT"/>
          <w:b/>
        </w:rPr>
      </w:pPr>
      <w:r w:rsidRPr="006779ED">
        <w:rPr>
          <w:rFonts w:ascii="OrigGarmnd BT" w:hAnsi="OrigGarmnd BT"/>
          <w:b/>
        </w:rPr>
        <w:t>Europeiska unionens medlemsstaters yttre gränser (Frontex)</w:t>
      </w:r>
      <w:r w:rsidR="00DA6B22" w:rsidRPr="006779ED">
        <w:rPr>
          <w:rFonts w:ascii="OrigGarmnd BT" w:hAnsi="OrigGarmnd BT"/>
          <w:b/>
        </w:rPr>
        <w:t xml:space="preserve"> (Sr Ask)</w:t>
      </w:r>
    </w:p>
    <w:p w:rsidR="005D57C1" w:rsidRPr="006779ED" w:rsidRDefault="00905E57" w:rsidP="005D57C1">
      <w:pPr>
        <w:rPr>
          <w:rFonts w:ascii="OrigGarmnd BT" w:hAnsi="OrigGarmnd BT"/>
          <w:b/>
          <w:bCs/>
        </w:rPr>
      </w:pPr>
      <w:r w:rsidRPr="006779ED">
        <w:rPr>
          <w:rFonts w:ascii="OrigGarmnd BT" w:hAnsi="OrigGarmnd BT"/>
          <w:b/>
        </w:rPr>
        <w:t xml:space="preserve">– </w:t>
      </w:r>
      <w:r w:rsidR="005D57C1" w:rsidRPr="006779ED">
        <w:rPr>
          <w:rFonts w:ascii="OrigGarmnd BT" w:hAnsi="OrigGarmnd BT"/>
          <w:b/>
          <w:bCs/>
        </w:rPr>
        <w:t>Lägesrapport</w:t>
      </w:r>
    </w:p>
    <w:p w:rsidR="00DA6B22" w:rsidRPr="006779ED" w:rsidRDefault="00DA6B22" w:rsidP="005D57C1">
      <w:pPr>
        <w:rPr>
          <w:rFonts w:ascii="OrigGarmnd BT" w:hAnsi="OrigGarmnd BT"/>
          <w:b/>
          <w:bCs/>
        </w:rPr>
      </w:pPr>
    </w:p>
    <w:p w:rsidR="00DA6B22" w:rsidRPr="006779ED" w:rsidRDefault="00DA6B22" w:rsidP="00DA6B22">
      <w:pPr>
        <w:pStyle w:val="RKnormal"/>
        <w:rPr>
          <w:i/>
        </w:rPr>
      </w:pPr>
      <w:r w:rsidRPr="006779ED">
        <w:rPr>
          <w:i/>
        </w:rPr>
        <w:t>Syftet med behandlingen i rådet</w:t>
      </w:r>
    </w:p>
    <w:p w:rsidR="00DA6B22" w:rsidRPr="006779ED" w:rsidRDefault="00DA6B22" w:rsidP="00DA6B22">
      <w:pPr>
        <w:pStyle w:val="RKnormal"/>
      </w:pPr>
      <w:r w:rsidRPr="006779ED">
        <w:t xml:space="preserve">Information om </w:t>
      </w:r>
      <w:r w:rsidR="009760D4" w:rsidRPr="006779ED">
        <w:t>läget i förhandlingarna om rådet</w:t>
      </w:r>
      <w:r w:rsidR="00177F46" w:rsidRPr="006779ED">
        <w:t>s</w:t>
      </w:r>
      <w:r w:rsidR="009760D4" w:rsidRPr="006779ED">
        <w:t xml:space="preserve"> förordning om ändring av förordningen om Frontex.</w:t>
      </w:r>
    </w:p>
    <w:p w:rsidR="00DA6B22" w:rsidRPr="006779ED" w:rsidRDefault="00DA6B22" w:rsidP="00DA6B22">
      <w:pPr>
        <w:pStyle w:val="RKnormal"/>
        <w:rPr>
          <w:i/>
        </w:rPr>
      </w:pPr>
    </w:p>
    <w:p w:rsidR="00DA6B22" w:rsidRPr="006779ED" w:rsidRDefault="00DA6B22" w:rsidP="00DA6B22">
      <w:pPr>
        <w:pStyle w:val="RKnormal"/>
        <w:rPr>
          <w:i/>
        </w:rPr>
      </w:pPr>
      <w:r w:rsidRPr="006779ED">
        <w:rPr>
          <w:i/>
        </w:rPr>
        <w:t xml:space="preserve">Dokument: </w:t>
      </w:r>
      <w:r w:rsidRPr="006779ED">
        <w:t>det</w:t>
      </w:r>
      <w:r w:rsidRPr="006779ED">
        <w:rPr>
          <w:i/>
        </w:rPr>
        <w:t xml:space="preserve"> </w:t>
      </w:r>
      <w:r w:rsidRPr="006779ED">
        <w:t>har ännu inte presenterats något dokument för rådsmötet.</w:t>
      </w:r>
    </w:p>
    <w:p w:rsidR="00DA6B22" w:rsidRPr="006779ED" w:rsidRDefault="00DA6B22" w:rsidP="00DA6B22">
      <w:pPr>
        <w:pStyle w:val="RKnormal"/>
        <w:rPr>
          <w:i/>
        </w:rPr>
      </w:pPr>
    </w:p>
    <w:p w:rsidR="00226967" w:rsidRPr="006779ED" w:rsidRDefault="00226967" w:rsidP="00DA6B22">
      <w:pPr>
        <w:pStyle w:val="RKnormal"/>
      </w:pPr>
      <w:r w:rsidRPr="006779ED">
        <w:rPr>
          <w:i/>
        </w:rPr>
        <w:t xml:space="preserve">Tidigare dokument: </w:t>
      </w:r>
      <w:r w:rsidR="00EF0F9D" w:rsidRPr="006779ED">
        <w:t xml:space="preserve">12744/10 FRONT 118 CODEC 741 COMIX 543(bifogas), </w:t>
      </w:r>
      <w:r w:rsidRPr="006779ED">
        <w:t>KOM (2010) 61, Faktapromemoria 2009/10:FPM60</w:t>
      </w:r>
    </w:p>
    <w:p w:rsidR="00226967" w:rsidRPr="006779ED" w:rsidRDefault="00226967" w:rsidP="00DA6B22">
      <w:pPr>
        <w:pStyle w:val="RKnormal"/>
        <w:rPr>
          <w:i/>
        </w:rPr>
      </w:pPr>
    </w:p>
    <w:p w:rsidR="00DA6B22" w:rsidRPr="006779ED" w:rsidRDefault="00DA6B22" w:rsidP="00DA6B22">
      <w:pPr>
        <w:pStyle w:val="RKnormal"/>
      </w:pPr>
      <w:r w:rsidRPr="006779ED">
        <w:rPr>
          <w:i/>
        </w:rPr>
        <w:t>Tidigare behandlad vid samråd med EU-nämnden</w:t>
      </w:r>
      <w:r w:rsidRPr="006779ED">
        <w:t>: -</w:t>
      </w:r>
    </w:p>
    <w:p w:rsidR="00DA6B22" w:rsidRPr="006779ED" w:rsidRDefault="00DA6B22" w:rsidP="00DA6B22">
      <w:pPr>
        <w:pStyle w:val="RKnormal"/>
        <w:rPr>
          <w:i/>
        </w:rPr>
      </w:pPr>
    </w:p>
    <w:p w:rsidR="00DA6B22" w:rsidRPr="006779ED" w:rsidRDefault="00DA6B22" w:rsidP="00DA6B22">
      <w:pPr>
        <w:pStyle w:val="RKnormal"/>
        <w:rPr>
          <w:i/>
        </w:rPr>
      </w:pPr>
      <w:r w:rsidRPr="006779ED">
        <w:rPr>
          <w:i/>
        </w:rPr>
        <w:t>Bakgrund</w:t>
      </w:r>
    </w:p>
    <w:p w:rsidR="00DA6B22" w:rsidRPr="006779ED" w:rsidRDefault="00DA6B22" w:rsidP="00DA6B22">
      <w:pPr>
        <w:pStyle w:val="RKnormal"/>
      </w:pPr>
      <w:r w:rsidRPr="006779ED">
        <w:t xml:space="preserve">Kommissionen antog i februari 2008 ett meddelande om Frontex framtida utveckling, vilket välkomnades av både rådet och Europaparlamentet. I januari 2009 redovisades dessutom en oberoende utvärdering av Frontex verksamhet, vilken bl.a. resulterade i att Frontex styrelse till kommissionen lämnade ett antal rekommendationer om ändringar i Frontexförordningen. Även Stockholmsprogrammet innehåller en begäran </w:t>
      </w:r>
      <w:r w:rsidR="009760D4" w:rsidRPr="006779ED">
        <w:t xml:space="preserve">om </w:t>
      </w:r>
      <w:r w:rsidRPr="006779ED">
        <w:t>att kommissionen ska lägga fram ett förslag för att klargöra Frontex mandat och stärka byråns roll. Kommissionen presenterade därför den 24 februari 2010 ett förslag till ändring av Frontexförordningen. Förslaget har sedan dess förhandl</w:t>
      </w:r>
      <w:r w:rsidR="009760D4" w:rsidRPr="006779ED">
        <w:t>ats av behörig rådsarbetsgrupp</w:t>
      </w:r>
      <w:r w:rsidRPr="006779ED">
        <w:t xml:space="preserve">, men flera frågor är ännu utestående. Europaparlamentet har utsett en rapportör, men ett utkast till betänkande förväntas inte förrän till slutet av november. </w:t>
      </w:r>
    </w:p>
    <w:p w:rsidR="00DA6B22" w:rsidRPr="006779ED" w:rsidRDefault="00DA6B22" w:rsidP="00DA6B22">
      <w:pPr>
        <w:pStyle w:val="RKnormal"/>
      </w:pPr>
    </w:p>
    <w:p w:rsidR="00DA6B22" w:rsidRPr="006779ED" w:rsidRDefault="00DA6B22" w:rsidP="00DA6B22">
      <w:pPr>
        <w:pStyle w:val="RKnormal"/>
      </w:pPr>
      <w:r w:rsidRPr="006779ED">
        <w:t xml:space="preserve">Enligt förslaget bör Frontex få vissa nya möjligheter, såsom att utvärdera medlemsstaternas kapacitet att kontrollera den yttre gränsen, inrätta en pool av gränskontrollanter för deltagande i gemensamma operationer, köpa och/eller hyra gränskontrollutrustning, utveckla en uppförandekodex för gemensamma återsändandeoperationer och utplacera sambandsmän i tredje land. Kommissionen föreslår vidare att den regelbundna utvärderingen av Frontex verksamhet ska omfatta en analys av behovet för byrån att anställa oberoende gränskontrolltjänstemän, som ska agera på order av Frontex. Många medlemsstater har påtalat Frontex behov av att få behandla personuppgifter, t.ex. för samordning av återsändandeoperationer eller för överförande av uppgifter om misstänkta människosmugglare till Europol för fortsatt utredning, och diskussioner pågår om att föra in en sådan möjlighet i förordningen. </w:t>
      </w:r>
    </w:p>
    <w:p w:rsidR="001A3B14" w:rsidRPr="006779ED" w:rsidRDefault="001A3B14" w:rsidP="00226967">
      <w:pPr>
        <w:pStyle w:val="RKnormal"/>
      </w:pPr>
    </w:p>
    <w:p w:rsidR="001A3B14" w:rsidRPr="006779ED" w:rsidRDefault="001A3B14" w:rsidP="00226967">
      <w:pPr>
        <w:pStyle w:val="RKnormal"/>
      </w:pPr>
    </w:p>
    <w:p w:rsidR="005D57C1" w:rsidRPr="006779ED" w:rsidRDefault="005D57C1" w:rsidP="00226967">
      <w:pPr>
        <w:pStyle w:val="RKnormal"/>
      </w:pPr>
      <w:r w:rsidRPr="006779ED">
        <w:rPr>
          <w:b/>
        </w:rPr>
        <w:t>6. (ev.) Förslag till Europaparlamentets och rådets förordning om</w:t>
      </w:r>
    </w:p>
    <w:p w:rsidR="005D57C1" w:rsidRPr="006779ED" w:rsidRDefault="005D57C1" w:rsidP="005D57C1">
      <w:pPr>
        <w:ind w:left="567" w:hanging="567"/>
        <w:rPr>
          <w:rFonts w:ascii="OrigGarmnd BT" w:hAnsi="OrigGarmnd BT"/>
          <w:b/>
        </w:rPr>
      </w:pPr>
      <w:r w:rsidRPr="006779ED">
        <w:rPr>
          <w:rFonts w:ascii="OrigGarmnd BT" w:hAnsi="OrigGarmnd BT"/>
          <w:b/>
        </w:rPr>
        <w:t>ändring av förordning (EG) nr 377/2004 om inrättande av ett nätverk</w:t>
      </w:r>
    </w:p>
    <w:p w:rsidR="005D57C1" w:rsidRPr="006779ED" w:rsidRDefault="005D57C1" w:rsidP="005D57C1">
      <w:pPr>
        <w:ind w:left="567" w:hanging="567"/>
        <w:rPr>
          <w:rFonts w:ascii="OrigGarmnd BT" w:hAnsi="OrigGarmnd BT"/>
          <w:b/>
        </w:rPr>
      </w:pPr>
      <w:r w:rsidRPr="006779ED">
        <w:rPr>
          <w:rFonts w:ascii="OrigGarmnd BT" w:hAnsi="OrigGarmnd BT"/>
          <w:b/>
        </w:rPr>
        <w:t>av sambandsmän för invandring</w:t>
      </w:r>
      <w:r w:rsidR="009760D4" w:rsidRPr="006779ED">
        <w:rPr>
          <w:rFonts w:ascii="OrigGarmnd BT" w:hAnsi="OrigGarmnd BT"/>
          <w:b/>
        </w:rPr>
        <w:t xml:space="preserve"> (Sr Billström)</w:t>
      </w:r>
    </w:p>
    <w:p w:rsidR="005D57C1" w:rsidRPr="006779ED" w:rsidRDefault="005D57C1" w:rsidP="00587385">
      <w:pPr>
        <w:rPr>
          <w:rFonts w:ascii="OrigGarmnd BT" w:hAnsi="OrigGarmnd BT"/>
          <w:b/>
        </w:rPr>
      </w:pPr>
      <w:r w:rsidRPr="006779ED">
        <w:rPr>
          <w:rFonts w:ascii="OrigGarmnd BT" w:hAnsi="OrigGarmnd BT"/>
          <w:b/>
        </w:rPr>
        <w:t>–</w:t>
      </w:r>
      <w:r w:rsidRPr="006779ED">
        <w:rPr>
          <w:rFonts w:ascii="OrigGarmnd BT" w:hAnsi="OrigGarmnd BT"/>
          <w:b/>
        </w:rPr>
        <w:tab/>
      </w:r>
      <w:r w:rsidRPr="006779ED">
        <w:rPr>
          <w:rFonts w:ascii="OrigGarmnd BT" w:hAnsi="OrigGarmnd BT"/>
          <w:b/>
          <w:bCs/>
        </w:rPr>
        <w:t>Lägesrapport</w:t>
      </w:r>
    </w:p>
    <w:p w:rsidR="00587385" w:rsidRPr="006779ED" w:rsidRDefault="00587385" w:rsidP="00587385">
      <w:pPr>
        <w:rPr>
          <w:rFonts w:ascii="OrigGarmnd BT" w:hAnsi="OrigGarmnd BT"/>
          <w:b/>
        </w:rPr>
      </w:pPr>
    </w:p>
    <w:p w:rsidR="00587385" w:rsidRPr="006779ED" w:rsidRDefault="00587385" w:rsidP="00587385">
      <w:pPr>
        <w:pStyle w:val="RKnormal"/>
        <w:rPr>
          <w:i/>
        </w:rPr>
      </w:pPr>
      <w:r w:rsidRPr="006779ED">
        <w:rPr>
          <w:i/>
        </w:rPr>
        <w:t>Syftet med behandlingen i rådet</w:t>
      </w:r>
    </w:p>
    <w:p w:rsidR="00587385" w:rsidRPr="006779ED" w:rsidRDefault="00587385" w:rsidP="00587385">
      <w:pPr>
        <w:pStyle w:val="RKnormal"/>
      </w:pPr>
      <w:r w:rsidRPr="006779ED">
        <w:t>Information om läget i förhandlingarna om rådets förordning om ändring av förordningen om inrättandet av ett nätverk av sambandsmän för invandring.</w:t>
      </w:r>
    </w:p>
    <w:p w:rsidR="00587385" w:rsidRPr="006779ED" w:rsidRDefault="00587385" w:rsidP="00587385">
      <w:pPr>
        <w:pStyle w:val="RKnormal"/>
      </w:pPr>
    </w:p>
    <w:p w:rsidR="00587385" w:rsidRPr="006779ED" w:rsidRDefault="00587385" w:rsidP="00587385">
      <w:pPr>
        <w:pStyle w:val="RKnormal"/>
        <w:rPr>
          <w:i/>
        </w:rPr>
      </w:pPr>
      <w:r w:rsidRPr="006779ED">
        <w:rPr>
          <w:i/>
        </w:rPr>
        <w:t>Bakgrund</w:t>
      </w:r>
    </w:p>
    <w:p w:rsidR="00587385" w:rsidRPr="006779ED" w:rsidRDefault="00587385" w:rsidP="00587385">
      <w:pPr>
        <w:pStyle w:val="RKnormal"/>
        <w:rPr>
          <w:szCs w:val="24"/>
          <w:lang w:eastAsia="sv-SE"/>
        </w:rPr>
      </w:pPr>
      <w:r w:rsidRPr="006779ED">
        <w:t xml:space="preserve">Kommissionen presenterade 2009 ett förslag till vissa ändringar i </w:t>
      </w:r>
      <w:r w:rsidRPr="006779ED">
        <w:rPr>
          <w:szCs w:val="24"/>
          <w:lang w:eastAsia="sv-SE"/>
        </w:rPr>
        <w:t>förordning (EG) 377/2004 om inrättande av ett nätverk</w:t>
      </w:r>
    </w:p>
    <w:p w:rsidR="00587385" w:rsidRPr="006779ED" w:rsidRDefault="00587385" w:rsidP="00587385">
      <w:pPr>
        <w:pStyle w:val="RKnormal"/>
        <w:rPr>
          <w:szCs w:val="24"/>
          <w:lang w:eastAsia="sv-SE"/>
        </w:rPr>
      </w:pPr>
      <w:r w:rsidRPr="006779ED">
        <w:rPr>
          <w:szCs w:val="24"/>
          <w:lang w:eastAsia="sv-SE"/>
        </w:rPr>
        <w:t>av sambandsmän för invandring. Förslaget syftar till att anpassa</w:t>
      </w:r>
    </w:p>
    <w:p w:rsidR="00587385" w:rsidRPr="006779ED" w:rsidRDefault="00587385" w:rsidP="00587385">
      <w:pPr>
        <w:pStyle w:val="RKnormal"/>
        <w:rPr>
          <w:lang w:eastAsia="sv-SE"/>
        </w:rPr>
      </w:pPr>
      <w:r w:rsidRPr="006779ED">
        <w:rPr>
          <w:lang w:eastAsia="sv-SE"/>
        </w:rPr>
        <w:t xml:space="preserve">förordningen till sådana förändringar av gemenskapsrätten som har trätt i kraft sedan förordningen antogs, tex. inrättandet av Frontex och ICONet (ett </w:t>
      </w:r>
      <w:r w:rsidRPr="006779ED">
        <w:rPr>
          <w:szCs w:val="24"/>
          <w:lang w:eastAsia="sv-SE"/>
        </w:rPr>
        <w:t>webbaserat informations- och samordningsnätverk för de myndigheter som hanterar migrationsfrågor i medlemsstaterna)</w:t>
      </w:r>
      <w:r w:rsidRPr="006779ED">
        <w:rPr>
          <w:lang w:eastAsia="sv-SE"/>
        </w:rPr>
        <w:t>.</w:t>
      </w:r>
    </w:p>
    <w:p w:rsidR="00587385" w:rsidRPr="006779ED" w:rsidRDefault="00587385" w:rsidP="00587385">
      <w:pPr>
        <w:pStyle w:val="RKnormal"/>
        <w:rPr>
          <w:lang w:eastAsia="sv-SE"/>
        </w:rPr>
      </w:pPr>
    </w:p>
    <w:p w:rsidR="00587385" w:rsidRPr="006779ED" w:rsidRDefault="00587385" w:rsidP="00587385">
      <w:pPr>
        <w:pStyle w:val="RKnormal"/>
        <w:rPr>
          <w:lang w:eastAsia="sv-SE"/>
        </w:rPr>
      </w:pPr>
      <w:r w:rsidRPr="006779ED">
        <w:rPr>
          <w:lang w:eastAsia="sv-SE"/>
        </w:rPr>
        <w:t>Ändringsförslaget medför i huvudsak följande:</w:t>
      </w:r>
    </w:p>
    <w:p w:rsidR="00587385" w:rsidRPr="006779ED" w:rsidRDefault="00587385" w:rsidP="00587385">
      <w:pPr>
        <w:pStyle w:val="RKnormal"/>
        <w:rPr>
          <w:szCs w:val="24"/>
          <w:lang w:eastAsia="sv-SE"/>
        </w:rPr>
      </w:pPr>
      <w:r w:rsidRPr="006779ED">
        <w:rPr>
          <w:lang w:eastAsia="sv-SE"/>
        </w:rPr>
        <w:t>- Information om medlemsstaternas sambandsmän ska göras tillgänglig i ICONet</w:t>
      </w:r>
      <w:r w:rsidRPr="006779ED">
        <w:rPr>
          <w:szCs w:val="24"/>
          <w:lang w:eastAsia="sv-SE"/>
        </w:rPr>
        <w:t>.</w:t>
      </w:r>
    </w:p>
    <w:p w:rsidR="00587385" w:rsidRPr="006779ED" w:rsidRDefault="00587385" w:rsidP="00587385">
      <w:pPr>
        <w:pStyle w:val="RKnormal"/>
        <w:rPr>
          <w:szCs w:val="24"/>
          <w:lang w:eastAsia="sv-SE"/>
        </w:rPr>
      </w:pPr>
      <w:r w:rsidRPr="006779ED">
        <w:rPr>
          <w:szCs w:val="24"/>
          <w:lang w:eastAsia="sv-SE"/>
        </w:rPr>
        <w:t>- Frontex ges rätt att delta vid möten som genomförs i nätverken av sambandsmän.</w:t>
      </w:r>
    </w:p>
    <w:p w:rsidR="00587385" w:rsidRPr="006779ED" w:rsidRDefault="00587385" w:rsidP="00587385">
      <w:pPr>
        <w:pStyle w:val="RKnormal"/>
        <w:rPr>
          <w:szCs w:val="24"/>
          <w:lang w:eastAsia="sv-SE"/>
        </w:rPr>
      </w:pPr>
      <w:r w:rsidRPr="006779ED">
        <w:rPr>
          <w:szCs w:val="24"/>
          <w:lang w:eastAsia="sv-SE"/>
        </w:rPr>
        <w:t>- Möjligheterna för medlemsstaterna att ta initiativ till möten för sambandsmännen ökar.</w:t>
      </w:r>
    </w:p>
    <w:p w:rsidR="00587385" w:rsidRPr="006779ED" w:rsidRDefault="00587385" w:rsidP="00587385">
      <w:pPr>
        <w:pStyle w:val="RKnormal"/>
        <w:rPr>
          <w:szCs w:val="24"/>
          <w:lang w:eastAsia="sv-SE"/>
        </w:rPr>
      </w:pPr>
      <w:r w:rsidRPr="006779ED">
        <w:rPr>
          <w:szCs w:val="24"/>
          <w:lang w:eastAsia="sv-SE"/>
        </w:rPr>
        <w:t>- Rapporteringskraven förenklas.</w:t>
      </w:r>
    </w:p>
    <w:p w:rsidR="00587385" w:rsidRPr="006779ED" w:rsidRDefault="00587385" w:rsidP="00587385">
      <w:pPr>
        <w:pStyle w:val="RKnormal"/>
        <w:rPr>
          <w:lang w:eastAsia="sv-SE"/>
        </w:rPr>
      </w:pPr>
      <w:r w:rsidRPr="006779ED">
        <w:rPr>
          <w:szCs w:val="24"/>
          <w:lang w:eastAsia="sv-SE"/>
        </w:rPr>
        <w:t>- Berörda EU-institutioner ska regelbundet underrättas om verksamheten i nätverken.</w:t>
      </w:r>
    </w:p>
    <w:p w:rsidR="00587385" w:rsidRPr="006779ED" w:rsidRDefault="00587385" w:rsidP="00587385"/>
    <w:p w:rsidR="00587385" w:rsidRPr="006779ED" w:rsidRDefault="00587385" w:rsidP="00587385">
      <w:pPr>
        <w:pStyle w:val="RKnormal"/>
      </w:pPr>
      <w:r w:rsidRPr="006779ED">
        <w:t>Förslaget har behandlats på rådsarbetsgruppsnivå. Diskussion har därutöver förts mellan rådet och Europaparlamentet. Enligt ordförandeskapet i rådet finns goda förutsättningar att nå en överenskommelse om förslaget.</w:t>
      </w:r>
    </w:p>
    <w:p w:rsidR="00587385" w:rsidRPr="006779ED" w:rsidRDefault="00587385" w:rsidP="00587385">
      <w:pPr>
        <w:rPr>
          <w:rFonts w:ascii="OrigGarmnd BT" w:hAnsi="OrigGarmnd BT"/>
          <w:b/>
        </w:rPr>
      </w:pPr>
    </w:p>
    <w:p w:rsidR="002E7F71" w:rsidRPr="006779ED" w:rsidRDefault="002E7F71" w:rsidP="005D57C1">
      <w:pPr>
        <w:pStyle w:val="Par-number1"/>
        <w:numPr>
          <w:ilvl w:val="0"/>
          <w:numId w:val="0"/>
        </w:numPr>
        <w:spacing w:line="240" w:lineRule="auto"/>
        <w:ind w:left="567" w:hanging="567"/>
        <w:rPr>
          <w:rFonts w:ascii="OrigGarmnd BT" w:hAnsi="OrigGarmnd BT"/>
          <w:b/>
          <w:szCs w:val="24"/>
        </w:rPr>
      </w:pPr>
    </w:p>
    <w:p w:rsidR="005D57C1" w:rsidRPr="006779ED" w:rsidRDefault="005D57C1" w:rsidP="005D57C1">
      <w:pPr>
        <w:pStyle w:val="Par-number1"/>
        <w:numPr>
          <w:ilvl w:val="0"/>
          <w:numId w:val="0"/>
        </w:numPr>
        <w:spacing w:line="240" w:lineRule="auto"/>
        <w:ind w:left="567" w:hanging="567"/>
        <w:rPr>
          <w:rFonts w:ascii="OrigGarmnd BT" w:hAnsi="OrigGarmnd BT"/>
          <w:b/>
          <w:szCs w:val="24"/>
        </w:rPr>
      </w:pPr>
      <w:r w:rsidRPr="006779ED">
        <w:rPr>
          <w:rFonts w:ascii="OrigGarmnd BT" w:hAnsi="OrigGarmnd BT"/>
          <w:b/>
          <w:szCs w:val="24"/>
        </w:rPr>
        <w:t xml:space="preserve">7. Förslag till direktiv om åtgärder mot de nya formerna av </w:t>
      </w:r>
      <w:r w:rsidR="0052449B" w:rsidRPr="006779ED">
        <w:rPr>
          <w:rFonts w:ascii="OrigGarmnd BT" w:hAnsi="OrigGarmnd BT"/>
          <w:b/>
          <w:szCs w:val="24"/>
        </w:rPr>
        <w:t>IT</w:t>
      </w:r>
      <w:r w:rsidRPr="006779ED">
        <w:rPr>
          <w:rFonts w:ascii="OrigGarmnd BT" w:hAnsi="OrigGarmnd BT"/>
          <w:b/>
          <w:szCs w:val="24"/>
        </w:rPr>
        <w:t>-</w:t>
      </w:r>
    </w:p>
    <w:p w:rsidR="005D57C1" w:rsidRPr="006779ED" w:rsidRDefault="005D57C1" w:rsidP="005D57C1">
      <w:pPr>
        <w:pStyle w:val="Par-number1"/>
        <w:numPr>
          <w:ilvl w:val="0"/>
          <w:numId w:val="0"/>
        </w:numPr>
        <w:spacing w:line="240" w:lineRule="auto"/>
        <w:ind w:left="567" w:hanging="567"/>
        <w:rPr>
          <w:rFonts w:ascii="OrigGarmnd BT" w:hAnsi="OrigGarmnd BT"/>
          <w:b/>
        </w:rPr>
      </w:pPr>
      <w:r w:rsidRPr="006779ED">
        <w:rPr>
          <w:rFonts w:ascii="OrigGarmnd BT" w:hAnsi="OrigGarmnd BT"/>
          <w:b/>
        </w:rPr>
        <w:t xml:space="preserve">brottslighet, särskilt </w:t>
      </w:r>
      <w:r w:rsidR="0052449B" w:rsidRPr="006779ED">
        <w:rPr>
          <w:rFonts w:ascii="OrigGarmnd BT" w:hAnsi="OrigGarmnd BT"/>
          <w:b/>
        </w:rPr>
        <w:t>IT</w:t>
      </w:r>
      <w:r w:rsidRPr="006779ED">
        <w:rPr>
          <w:rFonts w:ascii="OrigGarmnd BT" w:hAnsi="OrigGarmnd BT"/>
          <w:b/>
        </w:rPr>
        <w:t>-angrepp i stor skala</w:t>
      </w:r>
      <w:r w:rsidR="0052449B" w:rsidRPr="006779ED">
        <w:rPr>
          <w:rFonts w:ascii="OrigGarmnd BT" w:hAnsi="OrigGarmnd BT"/>
          <w:b/>
        </w:rPr>
        <w:t xml:space="preserve"> (Sr Ask)</w:t>
      </w:r>
    </w:p>
    <w:p w:rsidR="005D57C1" w:rsidRPr="006779ED" w:rsidRDefault="005D57C1" w:rsidP="005D57C1">
      <w:pPr>
        <w:pStyle w:val="Par-number1"/>
        <w:numPr>
          <w:ilvl w:val="0"/>
          <w:numId w:val="0"/>
        </w:numPr>
        <w:spacing w:line="240" w:lineRule="auto"/>
        <w:ind w:left="567" w:hanging="567"/>
        <w:rPr>
          <w:rFonts w:ascii="OrigGarmnd BT" w:hAnsi="OrigGarmnd BT"/>
          <w:b/>
          <w:szCs w:val="24"/>
        </w:rPr>
      </w:pPr>
      <w:r w:rsidRPr="006779ED">
        <w:rPr>
          <w:rFonts w:ascii="OrigGarmnd BT" w:hAnsi="OrigGarmnd BT"/>
          <w:b/>
          <w:bCs/>
        </w:rPr>
        <w:t>–</w:t>
      </w:r>
      <w:r w:rsidRPr="006779ED">
        <w:rPr>
          <w:rFonts w:ascii="OrigGarmnd BT" w:hAnsi="OrigGarmnd BT"/>
          <w:b/>
          <w:bCs/>
        </w:rPr>
        <w:tab/>
        <w:t>Föredragning av kommissionen</w:t>
      </w:r>
    </w:p>
    <w:p w:rsidR="005D57C1" w:rsidRPr="006779ED" w:rsidRDefault="005D57C1" w:rsidP="005D57C1">
      <w:pPr>
        <w:tabs>
          <w:tab w:val="left" w:pos="567"/>
        </w:tabs>
        <w:rPr>
          <w:rFonts w:ascii="OrigGarmnd BT" w:hAnsi="OrigGarmnd BT"/>
          <w:b/>
          <w:bCs/>
        </w:rPr>
      </w:pPr>
    </w:p>
    <w:p w:rsidR="0052449B" w:rsidRPr="006779ED" w:rsidRDefault="0052449B" w:rsidP="0052449B">
      <w:pPr>
        <w:pStyle w:val="RKnormal"/>
        <w:rPr>
          <w:i/>
        </w:rPr>
      </w:pPr>
      <w:r w:rsidRPr="006779ED">
        <w:rPr>
          <w:i/>
        </w:rPr>
        <w:t>Avsikten med behandlingen i rådet</w:t>
      </w:r>
    </w:p>
    <w:p w:rsidR="0052449B" w:rsidRPr="006779ED" w:rsidRDefault="00F61375" w:rsidP="0052449B">
      <w:pPr>
        <w:pStyle w:val="RKnormal"/>
      </w:pPr>
      <w:r w:rsidRPr="006779ED">
        <w:t xml:space="preserve">Presentation av </w:t>
      </w:r>
      <w:r w:rsidR="0052449B" w:rsidRPr="006779ED">
        <w:t>förslag</w:t>
      </w:r>
      <w:r w:rsidRPr="006779ED">
        <w:t>et</w:t>
      </w:r>
      <w:r w:rsidR="0052449B" w:rsidRPr="006779ED">
        <w:t xml:space="preserve"> till direktiv om angrepp mot informationssystem och om upphävande av rådets rambeslut 2005/222/RIF.</w:t>
      </w:r>
    </w:p>
    <w:p w:rsidR="0052449B" w:rsidRPr="006779ED" w:rsidRDefault="0052449B" w:rsidP="0052449B">
      <w:pPr>
        <w:pStyle w:val="RKnormal"/>
      </w:pPr>
    </w:p>
    <w:p w:rsidR="0052449B" w:rsidRPr="006779ED" w:rsidRDefault="0052449B" w:rsidP="0052449B">
      <w:pPr>
        <w:pStyle w:val="RKnormal"/>
      </w:pPr>
      <w:r w:rsidRPr="006779ED">
        <w:rPr>
          <w:i/>
        </w:rPr>
        <w:t xml:space="preserve">Dokument: </w:t>
      </w:r>
      <w:r w:rsidR="00DA6B22" w:rsidRPr="006779ED">
        <w:t>det har ännu inte presenterats något dokument för rådsmötet</w:t>
      </w:r>
      <w:r w:rsidRPr="006779ED">
        <w:t>.</w:t>
      </w:r>
    </w:p>
    <w:p w:rsidR="00226967" w:rsidRPr="006779ED" w:rsidRDefault="00226967" w:rsidP="0052449B">
      <w:pPr>
        <w:pStyle w:val="RKnormal"/>
      </w:pPr>
    </w:p>
    <w:p w:rsidR="00226967" w:rsidRPr="006779ED" w:rsidRDefault="00F61375" w:rsidP="0052449B">
      <w:pPr>
        <w:pStyle w:val="RKnormal"/>
      </w:pPr>
      <w:r w:rsidRPr="006779ED">
        <w:t>Tidigare dokument: KOM (2010) 517</w:t>
      </w:r>
    </w:p>
    <w:p w:rsidR="0052449B" w:rsidRPr="006779ED" w:rsidRDefault="0052449B" w:rsidP="0052449B">
      <w:pPr>
        <w:pStyle w:val="RKnormal"/>
        <w:rPr>
          <w:i/>
        </w:rPr>
      </w:pPr>
    </w:p>
    <w:p w:rsidR="0052449B" w:rsidRPr="006779ED" w:rsidRDefault="0052449B" w:rsidP="0052449B">
      <w:pPr>
        <w:pStyle w:val="RKnormal"/>
      </w:pPr>
      <w:r w:rsidRPr="006779ED">
        <w:rPr>
          <w:i/>
        </w:rPr>
        <w:t>Tidigare behandlad vid samråd med EU-nämnden</w:t>
      </w:r>
      <w:r w:rsidRPr="006779ED">
        <w:t>: -</w:t>
      </w:r>
    </w:p>
    <w:p w:rsidR="0052449B" w:rsidRPr="006779ED" w:rsidRDefault="0052449B" w:rsidP="0052449B">
      <w:pPr>
        <w:pStyle w:val="RKnormal"/>
        <w:rPr>
          <w:i/>
        </w:rPr>
      </w:pPr>
    </w:p>
    <w:p w:rsidR="0052449B" w:rsidRPr="006779ED" w:rsidRDefault="0052449B" w:rsidP="0052449B">
      <w:pPr>
        <w:pStyle w:val="RKnormal"/>
        <w:rPr>
          <w:i/>
        </w:rPr>
      </w:pPr>
      <w:r w:rsidRPr="006779ED">
        <w:rPr>
          <w:i/>
        </w:rPr>
        <w:t>Bakgrund</w:t>
      </w:r>
    </w:p>
    <w:p w:rsidR="0052449B" w:rsidRPr="006779ED" w:rsidRDefault="0052449B" w:rsidP="0052449B">
      <w:pPr>
        <w:pStyle w:val="RKnormal"/>
      </w:pPr>
      <w:r w:rsidRPr="006779ED">
        <w:t>Direktivförslaget</w:t>
      </w:r>
      <w:r w:rsidR="00F61375" w:rsidRPr="006779ED">
        <w:t xml:space="preserve"> ska</w:t>
      </w:r>
      <w:r w:rsidRPr="006779ED">
        <w:t xml:space="preserve"> ersätta rambeslutet om angrepp mot in</w:t>
      </w:r>
      <w:r w:rsidR="00F61375" w:rsidRPr="006779ED">
        <w:t>formationssystem (2005/222/RIF) och</w:t>
      </w:r>
      <w:r w:rsidRPr="006779ED">
        <w:t xml:space="preserve"> syftar till att ytterligare tillnärma medlemsstaternas strafflagstiftning på området för angrepp mot informationssystem. Vidare är avsikten att förbättra samarbetet mellan rättsliga och andra myndigheter, inbegripet polismyndigheter och andra specialiserade brottsbekämpande organ i medlemsstaterna.</w:t>
      </w:r>
    </w:p>
    <w:p w:rsidR="0052449B" w:rsidRPr="006779ED" w:rsidRDefault="0052449B" w:rsidP="0052449B">
      <w:pPr>
        <w:pStyle w:val="RKnormal"/>
      </w:pPr>
    </w:p>
    <w:p w:rsidR="0052449B" w:rsidRPr="006779ED" w:rsidRDefault="0052449B" w:rsidP="0052449B">
      <w:pPr>
        <w:pStyle w:val="RKnormal"/>
      </w:pPr>
      <w:r w:rsidRPr="006779ED">
        <w:t xml:space="preserve">Förslaget bygger i stora delar på rambeslutet från 2005 men innehåller också bestämmelser om utvidgad kriminalisering av angrepp mot informationssystem, liksom av anstiftan, medhjälp och försök till sådana brott. Vidare föreslås skärpta lägsta maximistraff och utvidgade regler om försvårande omständigheter. I övrigt innehåller initiativet regler om ansvar och sanktioner för juridiska personer, utvidgad jurisdiktion, utbyte av uppgifter samt statistik.  </w:t>
      </w:r>
    </w:p>
    <w:p w:rsidR="0052449B" w:rsidRPr="006779ED" w:rsidRDefault="0052449B" w:rsidP="0052449B">
      <w:pPr>
        <w:pStyle w:val="RKnormal"/>
      </w:pPr>
    </w:p>
    <w:p w:rsidR="0052449B" w:rsidRPr="006779ED" w:rsidRDefault="0052449B" w:rsidP="0052449B">
      <w:pPr>
        <w:pStyle w:val="RKnormal"/>
      </w:pPr>
      <w:r w:rsidRPr="006779ED">
        <w:t>En faktapromemoria kommer att överlämnas till riksdagen senast den 4 november 2010.</w:t>
      </w:r>
    </w:p>
    <w:p w:rsidR="00226967" w:rsidRPr="006779ED" w:rsidRDefault="00226967" w:rsidP="005D57C1">
      <w:pPr>
        <w:tabs>
          <w:tab w:val="left" w:pos="567"/>
        </w:tabs>
        <w:ind w:left="567" w:hanging="567"/>
        <w:rPr>
          <w:rFonts w:ascii="OrigGarmnd BT" w:hAnsi="OrigGarmnd BT"/>
          <w:b/>
          <w:bCs/>
        </w:rPr>
      </w:pPr>
    </w:p>
    <w:p w:rsidR="001A3B14" w:rsidRPr="006779ED" w:rsidRDefault="001A3B14" w:rsidP="005D57C1">
      <w:pPr>
        <w:tabs>
          <w:tab w:val="left" w:pos="567"/>
        </w:tabs>
        <w:ind w:left="567" w:hanging="567"/>
        <w:rPr>
          <w:rFonts w:ascii="OrigGarmnd BT" w:hAnsi="OrigGarmnd BT"/>
          <w:b/>
          <w:bCs/>
        </w:rPr>
      </w:pPr>
    </w:p>
    <w:p w:rsidR="005D57C1" w:rsidRPr="006779ED" w:rsidRDefault="005D57C1" w:rsidP="005D57C1">
      <w:pPr>
        <w:tabs>
          <w:tab w:val="left" w:pos="567"/>
        </w:tabs>
        <w:ind w:left="567" w:hanging="567"/>
        <w:rPr>
          <w:rFonts w:ascii="OrigGarmnd BT" w:hAnsi="OrigGarmnd BT"/>
          <w:b/>
        </w:rPr>
      </w:pPr>
      <w:r w:rsidRPr="006779ED">
        <w:rPr>
          <w:rFonts w:ascii="OrigGarmnd BT" w:hAnsi="OrigGarmnd BT"/>
          <w:b/>
          <w:bCs/>
        </w:rPr>
        <w:t xml:space="preserve">8. </w:t>
      </w:r>
      <w:r w:rsidRPr="006779ED">
        <w:rPr>
          <w:rFonts w:ascii="OrigGarmnd BT" w:hAnsi="OrigGarmnd BT"/>
          <w:b/>
        </w:rPr>
        <w:t>Initiativ till Europaparlamentets och rådets direktiv om en</w:t>
      </w:r>
    </w:p>
    <w:p w:rsidR="005D57C1" w:rsidRPr="006779ED" w:rsidRDefault="005D57C1" w:rsidP="005D57C1">
      <w:pPr>
        <w:tabs>
          <w:tab w:val="left" w:pos="567"/>
        </w:tabs>
        <w:ind w:left="567" w:hanging="567"/>
        <w:rPr>
          <w:rFonts w:ascii="OrigGarmnd BT" w:hAnsi="OrigGarmnd BT"/>
          <w:b/>
        </w:rPr>
      </w:pPr>
      <w:r w:rsidRPr="006779ED">
        <w:rPr>
          <w:rFonts w:ascii="OrigGarmnd BT" w:hAnsi="OrigGarmnd BT"/>
          <w:b/>
        </w:rPr>
        <w:t>europeisk utredningsorder på det straffrättsliga området</w:t>
      </w:r>
      <w:r w:rsidR="002E7F71" w:rsidRPr="006779ED">
        <w:rPr>
          <w:rFonts w:ascii="OrigGarmnd BT" w:hAnsi="OrigGarmnd BT"/>
          <w:b/>
        </w:rPr>
        <w:t xml:space="preserve"> (Sr Ask)</w:t>
      </w:r>
    </w:p>
    <w:p w:rsidR="005D57C1" w:rsidRPr="006779ED" w:rsidRDefault="005D57C1" w:rsidP="005D57C1">
      <w:pPr>
        <w:tabs>
          <w:tab w:val="left" w:pos="567"/>
        </w:tabs>
        <w:ind w:left="567" w:hanging="567"/>
        <w:rPr>
          <w:rFonts w:ascii="OrigGarmnd BT" w:hAnsi="OrigGarmnd BT"/>
          <w:b/>
        </w:rPr>
      </w:pPr>
      <w:r w:rsidRPr="006779ED">
        <w:rPr>
          <w:rFonts w:ascii="OrigGarmnd BT" w:hAnsi="OrigGarmnd BT"/>
          <w:b/>
        </w:rPr>
        <w:t>–</w:t>
      </w:r>
      <w:r w:rsidRPr="006779ED">
        <w:rPr>
          <w:rFonts w:ascii="OrigGarmnd BT" w:hAnsi="OrigGarmnd BT"/>
          <w:b/>
        </w:rPr>
        <w:tab/>
        <w:t>Riktlinjedebatt</w:t>
      </w:r>
    </w:p>
    <w:p w:rsidR="005D57C1" w:rsidRPr="006779ED" w:rsidRDefault="005D57C1" w:rsidP="005D57C1">
      <w:pPr>
        <w:ind w:left="425" w:hanging="425"/>
        <w:rPr>
          <w:rFonts w:ascii="OrigGarmnd BT" w:hAnsi="OrigGarmnd BT"/>
          <w:b/>
        </w:rPr>
      </w:pPr>
    </w:p>
    <w:p w:rsidR="00905E57" w:rsidRPr="006779ED" w:rsidRDefault="00905E57" w:rsidP="00905E57">
      <w:pPr>
        <w:pStyle w:val="RKnormal"/>
        <w:rPr>
          <w:i/>
        </w:rPr>
      </w:pPr>
      <w:r w:rsidRPr="006779ED">
        <w:rPr>
          <w:i/>
        </w:rPr>
        <w:t>Avsikten med behandlingen i rådet</w:t>
      </w:r>
    </w:p>
    <w:p w:rsidR="00905E57" w:rsidRPr="006779ED" w:rsidRDefault="00905E57" w:rsidP="00905E57">
      <w:pPr>
        <w:pStyle w:val="RKnormal"/>
      </w:pPr>
      <w:r w:rsidRPr="006779ED">
        <w:t>Rikt</w:t>
      </w:r>
      <w:r w:rsidRPr="006779ED">
        <w:softHyphen/>
        <w:t xml:space="preserve">linjedebatt beträffande viktiga frågor som rör vägransgrunder. </w:t>
      </w:r>
    </w:p>
    <w:p w:rsidR="00905E57" w:rsidRPr="006779ED" w:rsidRDefault="00905E57" w:rsidP="00905E57">
      <w:pPr>
        <w:pStyle w:val="RKnormal"/>
      </w:pPr>
    </w:p>
    <w:p w:rsidR="00905E57" w:rsidRPr="006779ED" w:rsidRDefault="00905E57" w:rsidP="00905E57">
      <w:pPr>
        <w:pStyle w:val="RKnormal"/>
        <w:rPr>
          <w:i/>
        </w:rPr>
      </w:pPr>
    </w:p>
    <w:p w:rsidR="00905E57" w:rsidRPr="006779ED" w:rsidRDefault="00905E57" w:rsidP="00905E57">
      <w:pPr>
        <w:pStyle w:val="RKnormal"/>
        <w:rPr>
          <w:i/>
        </w:rPr>
      </w:pPr>
      <w:r w:rsidRPr="006779ED">
        <w:rPr>
          <w:i/>
        </w:rPr>
        <w:t>Bakgrund</w:t>
      </w:r>
    </w:p>
    <w:p w:rsidR="00905E57" w:rsidRPr="006779ED" w:rsidRDefault="00905E57" w:rsidP="00905E57">
      <w:pPr>
        <w:pStyle w:val="RKnormal"/>
      </w:pPr>
      <w:r w:rsidRPr="006779ED">
        <w:t>Belgien har tillsammans med Sverige och fem andra medlemsstater lagt fram ett förslag till nytt direktiv inom ramen för det straffrättsliga sam</w:t>
      </w:r>
      <w:r w:rsidRPr="006779ED">
        <w:softHyphen/>
        <w:t>arbetet inom Europeiska unionen (EU). Direktivet syftar till att förbätt</w:t>
      </w:r>
      <w:r w:rsidRPr="006779ED">
        <w:softHyphen/>
        <w:t>ra samarbetet om bevisinhämtning mellan medlemsstaterna. Det straff</w:t>
      </w:r>
      <w:r w:rsidRPr="006779ED">
        <w:softHyphen/>
        <w:t>rättsliga samarbetet om bevisinhämtning inom EU är i dag baserat på både traditionell ömsesidig rättslig hjälp och principen om ömsesidigt erkännande. Direktivet avser att ersätta rambeslutet om en europeisk bevisinhämtningsorder (2008/978/RIF) samt rambeslutet om frysning av egendom eller bevismaterial (2003/577/RIF) och de olika instrument som avser ömsesidig rättslig hjälp i brottmål i den mån de behandlar inhämtande av bevis som ska användas i straffrättsliga för</w:t>
      </w:r>
      <w:r w:rsidRPr="006779ED">
        <w:softHyphen/>
        <w:t>faranden. Direktivet syftar alltså till att åstadkomma en heltäckande reg</w:t>
      </w:r>
      <w:r w:rsidRPr="006779ED">
        <w:softHyphen/>
        <w:t>lering baserad på principen om ömsesidigt erkännande, vilket är en av målsättningarna i Stockholmsprogrammet. Sverige är som medförslags</w:t>
      </w:r>
      <w:r w:rsidRPr="006779ED">
        <w:softHyphen/>
        <w:t xml:space="preserve">ställare positivt till direktivets syfte och innehåll. </w:t>
      </w:r>
    </w:p>
    <w:p w:rsidR="00905E57" w:rsidRPr="006779ED" w:rsidRDefault="00905E57" w:rsidP="00905E57">
      <w:pPr>
        <w:pStyle w:val="RKnormal"/>
      </w:pPr>
    </w:p>
    <w:p w:rsidR="00905E57" w:rsidRPr="006779ED" w:rsidRDefault="00905E57" w:rsidP="00905E57">
      <w:pPr>
        <w:pStyle w:val="RKnormal"/>
      </w:pPr>
      <w:r w:rsidRPr="006779ED">
        <w:t>Förhandlingar om förslaget inleddes i juli i år på rådsarbetsgruppsnivå och ett flertal möten har hållits. Medlemsstaterna har uttalat stöd för förslagets syfte.</w:t>
      </w:r>
    </w:p>
    <w:p w:rsidR="00905E57" w:rsidRPr="006779ED" w:rsidRDefault="00905E57" w:rsidP="00905E57">
      <w:pPr>
        <w:pStyle w:val="RKnormal"/>
        <w:rPr>
          <w:i/>
        </w:rPr>
      </w:pPr>
    </w:p>
    <w:p w:rsidR="00905E57" w:rsidRPr="006779ED" w:rsidRDefault="00905E57" w:rsidP="00905E57">
      <w:pPr>
        <w:pStyle w:val="RKnormal"/>
        <w:rPr>
          <w:i/>
        </w:rPr>
      </w:pPr>
      <w:r w:rsidRPr="006779ED">
        <w:rPr>
          <w:i/>
        </w:rPr>
        <w:t>Svensk ståndpunkt</w:t>
      </w:r>
    </w:p>
    <w:p w:rsidR="00905E57" w:rsidRPr="006779ED" w:rsidRDefault="00905E57" w:rsidP="00905E57">
      <w:pPr>
        <w:pStyle w:val="RKnormal"/>
      </w:pPr>
      <w:r w:rsidRPr="006779ED">
        <w:t>Sverige är positivt till direktivets syfte, dvs. att effektivisera och förbättra det rättsliga samarbetet inom EU när det gäller bevisinhämtning i straff</w:t>
      </w:r>
      <w:r w:rsidRPr="006779ED">
        <w:softHyphen/>
        <w:t>rättsliga förfaranden. Förbättrade möjligheter för de brottsutredande myndigheterna bidrar till en förbättrad brottsbekämpning. Sverige är vidare positivt till ett enhetligt instrument med en heltäckande reglering som bygger på principen om ömsesidigt erkännande men även tar hän</w:t>
      </w:r>
      <w:r w:rsidRPr="006779ED">
        <w:softHyphen/>
        <w:t>syn till den flexibilitet som finns i samarbetet som sker med stöd av traditionell rättslig hjälp. Förslaget har många fördelar jämfört med vad som gäller i dag, med bl.a. tidsfrister för verkställighet. De olika typerna av inhämtande av bevis, dvs. de olika straffprocessuella tvångsmedel som används, kräver dock en reglering som tar hänsyn till deras olika karaktär och skilda förutsättningar. Det är också av stor vikt att regleringen ut</w:t>
      </w:r>
      <w:r w:rsidRPr="006779ED">
        <w:softHyphen/>
        <w:t>formas på ett flexibelt och ändamålsenligt sätt, som skapar förutsättning</w:t>
      </w:r>
      <w:r w:rsidRPr="006779ED">
        <w:softHyphen/>
        <w:t xml:space="preserve">ar för att den ska kunna tillämpas effektivt. </w:t>
      </w:r>
    </w:p>
    <w:p w:rsidR="00905E57" w:rsidRPr="006779ED" w:rsidRDefault="00905E57" w:rsidP="00905E57">
      <w:pPr>
        <w:pStyle w:val="RKnormal"/>
      </w:pPr>
    </w:p>
    <w:p w:rsidR="00905E57" w:rsidRPr="006779ED" w:rsidRDefault="00905E57" w:rsidP="00905E57">
      <w:pPr>
        <w:pStyle w:val="RKnormal"/>
      </w:pPr>
      <w:r w:rsidRPr="006779ED">
        <w:t>Sverige kan stödja ordförandeskapet och majoriteten av medlemsstaterna vad gäller samtliga nu upptagna frågeställningar (fråga 1–5).</w:t>
      </w:r>
    </w:p>
    <w:p w:rsidR="00905E57" w:rsidRPr="006779ED" w:rsidRDefault="00905E57" w:rsidP="00905E57">
      <w:pPr>
        <w:pStyle w:val="RKnormal"/>
      </w:pPr>
    </w:p>
    <w:p w:rsidR="00905E57" w:rsidRPr="006779ED" w:rsidRDefault="00905E57" w:rsidP="00905E57">
      <w:pPr>
        <w:pStyle w:val="RKnormal"/>
      </w:pPr>
      <w:r w:rsidRPr="006779ED">
        <w:t xml:space="preserve">Se vidare i </w:t>
      </w:r>
      <w:r w:rsidRPr="006779ED">
        <w:rPr>
          <w:u w:val="single"/>
        </w:rPr>
        <w:t>bifogad promemoria</w:t>
      </w:r>
      <w:r w:rsidRPr="006779ED">
        <w:t>.</w:t>
      </w:r>
    </w:p>
    <w:p w:rsidR="00905E57" w:rsidRPr="006779ED" w:rsidRDefault="00905E57" w:rsidP="00905E57">
      <w:pPr>
        <w:pStyle w:val="RKnormal"/>
        <w:rPr>
          <w:i/>
        </w:rPr>
      </w:pPr>
    </w:p>
    <w:p w:rsidR="00905E57" w:rsidRPr="006779ED" w:rsidRDefault="00905E57" w:rsidP="00905E57">
      <w:pPr>
        <w:pStyle w:val="RKnormal"/>
        <w:rPr>
          <w:i/>
        </w:rPr>
      </w:pPr>
    </w:p>
    <w:p w:rsidR="00905E57" w:rsidRPr="006779ED" w:rsidRDefault="00905E57" w:rsidP="00905E57">
      <w:pPr>
        <w:pStyle w:val="RKnormal"/>
        <w:rPr>
          <w:i/>
        </w:rPr>
      </w:pPr>
    </w:p>
    <w:p w:rsidR="00905E57" w:rsidRPr="006779ED" w:rsidRDefault="00905E57" w:rsidP="00905E57">
      <w:pPr>
        <w:pStyle w:val="RKnormal"/>
      </w:pPr>
    </w:p>
    <w:p w:rsidR="009760D4" w:rsidRPr="006779ED" w:rsidRDefault="009760D4" w:rsidP="005D57C1">
      <w:pPr>
        <w:tabs>
          <w:tab w:val="left" w:pos="567"/>
        </w:tabs>
        <w:ind w:left="600" w:hanging="600"/>
        <w:rPr>
          <w:rFonts w:ascii="OrigGarmnd BT" w:hAnsi="OrigGarmnd BT"/>
          <w:b/>
          <w:bCs/>
        </w:rPr>
      </w:pPr>
    </w:p>
    <w:p w:rsidR="009760D4" w:rsidRPr="006779ED" w:rsidRDefault="009760D4" w:rsidP="005D57C1">
      <w:pPr>
        <w:tabs>
          <w:tab w:val="left" w:pos="567"/>
        </w:tabs>
        <w:ind w:left="600" w:hanging="600"/>
        <w:rPr>
          <w:rFonts w:ascii="OrigGarmnd BT" w:hAnsi="OrigGarmnd BT"/>
          <w:b/>
          <w:bCs/>
        </w:rPr>
      </w:pPr>
    </w:p>
    <w:p w:rsidR="00905E57" w:rsidRPr="006779ED" w:rsidRDefault="00905E57" w:rsidP="005D57C1">
      <w:pPr>
        <w:tabs>
          <w:tab w:val="left" w:pos="567"/>
        </w:tabs>
        <w:ind w:left="600" w:hanging="600"/>
        <w:rPr>
          <w:rFonts w:ascii="OrigGarmnd BT" w:hAnsi="OrigGarmnd BT"/>
          <w:b/>
          <w:bCs/>
        </w:rPr>
      </w:pPr>
    </w:p>
    <w:p w:rsidR="005D57C1" w:rsidRPr="006779ED" w:rsidRDefault="005D57C1" w:rsidP="005D57C1">
      <w:pPr>
        <w:tabs>
          <w:tab w:val="left" w:pos="567"/>
        </w:tabs>
        <w:ind w:left="600" w:hanging="600"/>
        <w:rPr>
          <w:rFonts w:ascii="OrigGarmnd BT" w:hAnsi="OrigGarmnd BT"/>
          <w:b/>
          <w:bCs/>
        </w:rPr>
      </w:pPr>
      <w:r w:rsidRPr="006779ED">
        <w:rPr>
          <w:rFonts w:ascii="OrigGarmnd BT" w:hAnsi="OrigGarmnd BT"/>
          <w:b/>
          <w:bCs/>
        </w:rPr>
        <w:t>9. Förslag till Europaparlamentets och rådets direktiv om rätten till</w:t>
      </w:r>
    </w:p>
    <w:p w:rsidR="005D57C1" w:rsidRPr="006779ED" w:rsidRDefault="005D57C1" w:rsidP="005D57C1">
      <w:pPr>
        <w:tabs>
          <w:tab w:val="left" w:pos="567"/>
        </w:tabs>
        <w:ind w:left="600" w:hanging="600"/>
        <w:rPr>
          <w:rFonts w:ascii="OrigGarmnd BT" w:hAnsi="OrigGarmnd BT"/>
          <w:b/>
          <w:bCs/>
        </w:rPr>
      </w:pPr>
      <w:r w:rsidRPr="006779ED">
        <w:rPr>
          <w:rFonts w:ascii="OrigGarmnd BT" w:hAnsi="OrigGarmnd BT"/>
          <w:b/>
          <w:bCs/>
        </w:rPr>
        <w:t>information i brottmål</w:t>
      </w:r>
      <w:r w:rsidR="002E7F71" w:rsidRPr="006779ED">
        <w:rPr>
          <w:rFonts w:ascii="OrigGarmnd BT" w:hAnsi="OrigGarmnd BT"/>
          <w:b/>
          <w:bCs/>
        </w:rPr>
        <w:t xml:space="preserve"> (Sr Ask)</w:t>
      </w:r>
    </w:p>
    <w:p w:rsidR="002E7F71" w:rsidRPr="006779ED" w:rsidRDefault="002E7F71" w:rsidP="005D57C1">
      <w:pPr>
        <w:tabs>
          <w:tab w:val="left" w:pos="567"/>
        </w:tabs>
        <w:ind w:left="600" w:hanging="600"/>
        <w:rPr>
          <w:rFonts w:ascii="OrigGarmnd BT" w:hAnsi="OrigGarmnd BT"/>
          <w:b/>
          <w:bCs/>
        </w:rPr>
      </w:pPr>
    </w:p>
    <w:p w:rsidR="00F61375" w:rsidRPr="006779ED" w:rsidRDefault="00F61375" w:rsidP="00F61375">
      <w:pPr>
        <w:pStyle w:val="RKnormal"/>
        <w:rPr>
          <w:i/>
        </w:rPr>
      </w:pPr>
      <w:r w:rsidRPr="006779ED">
        <w:rPr>
          <w:i/>
        </w:rPr>
        <w:t>Avsikten med behandlingen i rådet</w:t>
      </w:r>
    </w:p>
    <w:p w:rsidR="00F61375" w:rsidRPr="006779ED" w:rsidRDefault="00F61375" w:rsidP="00F61375">
      <w:pPr>
        <w:pStyle w:val="RKnormal"/>
      </w:pPr>
      <w:r w:rsidRPr="006779ED">
        <w:t xml:space="preserve">Information om läget i förhandlingarna. </w:t>
      </w:r>
    </w:p>
    <w:p w:rsidR="00F61375" w:rsidRPr="006779ED" w:rsidRDefault="00F61375" w:rsidP="00F61375">
      <w:pPr>
        <w:pStyle w:val="RKnormal"/>
      </w:pPr>
    </w:p>
    <w:p w:rsidR="00F61375" w:rsidRPr="006779ED" w:rsidRDefault="00F61375" w:rsidP="00F61375">
      <w:pPr>
        <w:pStyle w:val="RKnormal"/>
      </w:pPr>
      <w:r w:rsidRPr="006779ED">
        <w:rPr>
          <w:i/>
        </w:rPr>
        <w:t>Dokument</w:t>
      </w:r>
      <w:r w:rsidRPr="006779ED">
        <w:t>: det har ännu inte presenterats något dokument för rådsmötet.</w:t>
      </w:r>
    </w:p>
    <w:p w:rsidR="00F61375" w:rsidRPr="006779ED" w:rsidRDefault="00F61375" w:rsidP="00F61375">
      <w:pPr>
        <w:pStyle w:val="RKnormal"/>
      </w:pPr>
    </w:p>
    <w:p w:rsidR="00F61375" w:rsidRPr="006779ED" w:rsidRDefault="00F61375" w:rsidP="00F61375">
      <w:pPr>
        <w:pStyle w:val="RKnormal"/>
      </w:pPr>
      <w:r w:rsidRPr="006779ED">
        <w:rPr>
          <w:i/>
        </w:rPr>
        <w:t>Tidigare dokument</w:t>
      </w:r>
      <w:r w:rsidRPr="006779ED">
        <w:t>: Faktapromemoria 2010/11:FPM117</w:t>
      </w:r>
    </w:p>
    <w:p w:rsidR="00F61375" w:rsidRPr="006779ED" w:rsidRDefault="00F61375" w:rsidP="00F61375">
      <w:pPr>
        <w:pStyle w:val="RKnormal"/>
      </w:pPr>
    </w:p>
    <w:p w:rsidR="00F61375" w:rsidRPr="006779ED" w:rsidRDefault="00F61375" w:rsidP="00F61375">
      <w:pPr>
        <w:pStyle w:val="RKnormal"/>
      </w:pPr>
      <w:r w:rsidRPr="006779ED">
        <w:rPr>
          <w:i/>
        </w:rPr>
        <w:t>Tidigare behandlad vid samråd med EU-nämnden</w:t>
      </w:r>
      <w:r w:rsidRPr="006779ED">
        <w:t>: 2010-10-01</w:t>
      </w:r>
    </w:p>
    <w:p w:rsidR="00F61375" w:rsidRPr="006779ED" w:rsidRDefault="00F61375" w:rsidP="00F61375">
      <w:pPr>
        <w:pStyle w:val="RKnormal"/>
      </w:pPr>
    </w:p>
    <w:p w:rsidR="00F61375" w:rsidRPr="006779ED" w:rsidRDefault="00F61375" w:rsidP="00F61375">
      <w:pPr>
        <w:pStyle w:val="RKnormal"/>
        <w:rPr>
          <w:i/>
        </w:rPr>
      </w:pPr>
      <w:r w:rsidRPr="006779ED">
        <w:rPr>
          <w:i/>
        </w:rPr>
        <w:t>Bakgrund</w:t>
      </w:r>
    </w:p>
    <w:p w:rsidR="00F61375" w:rsidRPr="006779ED" w:rsidRDefault="00F61375" w:rsidP="00F61375">
      <w:pPr>
        <w:pStyle w:val="RKnormal"/>
      </w:pPr>
      <w:r w:rsidRPr="006779ED">
        <w:t xml:space="preserve">Den 20 juli 2010 lade KOM fram ett förslag till direktiv om rätten till information i straffrättsliga förfaranden. Direktivet behandlar misstänktas och tilltalades rätt till information i straffrättsliga förfaranden. </w:t>
      </w:r>
    </w:p>
    <w:p w:rsidR="00F61375" w:rsidRPr="006779ED" w:rsidRDefault="00F61375" w:rsidP="00F61375">
      <w:pPr>
        <w:pStyle w:val="RKnormal"/>
      </w:pPr>
    </w:p>
    <w:p w:rsidR="00F61375" w:rsidRPr="006779ED" w:rsidRDefault="00F61375" w:rsidP="00F61375">
      <w:pPr>
        <w:pStyle w:val="RKnormal"/>
      </w:pPr>
      <w:r w:rsidRPr="006779ED">
        <w:t>Detta förslag utgör det andra steget enligt färdplanen för processuella rättigheter i brottmål som antogs under det svenska ordförandeskapet i EU. Ett första förslag, direktivet om rätten till tolkning och översättning i brottmål, har antagits.</w:t>
      </w:r>
    </w:p>
    <w:p w:rsidR="00F61375" w:rsidRPr="006779ED" w:rsidRDefault="00F61375" w:rsidP="00F61375">
      <w:pPr>
        <w:pStyle w:val="RKnormal"/>
      </w:pPr>
    </w:p>
    <w:p w:rsidR="00F61375" w:rsidRPr="006779ED" w:rsidRDefault="00F61375" w:rsidP="00F61375">
      <w:pPr>
        <w:pStyle w:val="RKnormal"/>
      </w:pPr>
      <w:r w:rsidRPr="006779ED">
        <w:t>Förslaget förhandlas f.n. i rådsarbetsgrupp. Det belgiska ordförandeskapets målsättning är att nå en politisk överenskommelse om förslaget till direktiv vid rådets möte (rättsliga och inrikes frågor) den 2-3 december i år för att därefter kunna inleda förhandlingar med Europaparlamentet.</w:t>
      </w:r>
    </w:p>
    <w:p w:rsidR="00F61375" w:rsidRPr="006779ED" w:rsidRDefault="00F61375" w:rsidP="00F61375">
      <w:pPr>
        <w:pStyle w:val="RKnormal"/>
      </w:pPr>
    </w:p>
    <w:p w:rsidR="009760D4" w:rsidRPr="006779ED" w:rsidRDefault="009760D4" w:rsidP="005D57C1">
      <w:pPr>
        <w:tabs>
          <w:tab w:val="left" w:pos="567"/>
        </w:tabs>
        <w:ind w:left="600" w:hanging="600"/>
        <w:rPr>
          <w:rFonts w:ascii="OrigGarmnd BT" w:hAnsi="OrigGarmnd BT"/>
          <w:b/>
          <w:u w:val="single"/>
        </w:rPr>
      </w:pPr>
    </w:p>
    <w:p w:rsidR="005D57C1" w:rsidRPr="006779ED" w:rsidRDefault="005D57C1" w:rsidP="005D57C1">
      <w:pPr>
        <w:tabs>
          <w:tab w:val="left" w:pos="567"/>
        </w:tabs>
        <w:ind w:left="600" w:hanging="600"/>
        <w:rPr>
          <w:rFonts w:ascii="OrigGarmnd BT" w:hAnsi="OrigGarmnd BT"/>
          <w:b/>
          <w:bCs/>
        </w:rPr>
      </w:pPr>
      <w:r w:rsidRPr="006779ED">
        <w:rPr>
          <w:rFonts w:ascii="OrigGarmnd BT" w:hAnsi="OrigGarmnd BT"/>
          <w:b/>
          <w:u w:val="single"/>
        </w:rPr>
        <w:t>Icke lagstiftande verksamhet</w:t>
      </w:r>
    </w:p>
    <w:p w:rsidR="005D57C1" w:rsidRPr="006779ED" w:rsidRDefault="005D57C1" w:rsidP="005D57C1">
      <w:pPr>
        <w:rPr>
          <w:rFonts w:ascii="OrigGarmnd BT" w:hAnsi="OrigGarmnd BT"/>
          <w:b/>
        </w:rPr>
      </w:pPr>
    </w:p>
    <w:p w:rsidR="005D57C1" w:rsidRPr="006779ED" w:rsidRDefault="005D57C1" w:rsidP="005D57C1">
      <w:pPr>
        <w:rPr>
          <w:rFonts w:ascii="OrigGarmnd BT" w:hAnsi="OrigGarmnd BT"/>
          <w:b/>
        </w:rPr>
      </w:pPr>
      <w:r w:rsidRPr="006779ED">
        <w:rPr>
          <w:rFonts w:ascii="OrigGarmnd BT" w:hAnsi="OrigGarmnd BT"/>
          <w:b/>
        </w:rPr>
        <w:t>10. Godkännande av A-punktslistan</w:t>
      </w:r>
    </w:p>
    <w:p w:rsidR="005D57C1" w:rsidRPr="006779ED" w:rsidRDefault="005D57C1" w:rsidP="005D57C1">
      <w:pPr>
        <w:rPr>
          <w:rFonts w:ascii="OrigGarmnd BT" w:hAnsi="OrigGarmnd BT"/>
          <w:b/>
        </w:rPr>
      </w:pPr>
    </w:p>
    <w:p w:rsidR="005D57C1" w:rsidRPr="006779ED" w:rsidRDefault="005D57C1" w:rsidP="005D57C1">
      <w:pPr>
        <w:pStyle w:val="RKnormal"/>
      </w:pPr>
      <w:r w:rsidRPr="006779ED">
        <w:t>Någon A-punktslista har ännu inte presenterats.</w:t>
      </w:r>
    </w:p>
    <w:p w:rsidR="005D57C1" w:rsidRPr="006779ED" w:rsidRDefault="005D57C1" w:rsidP="005D57C1">
      <w:pPr>
        <w:rPr>
          <w:rFonts w:ascii="OrigGarmnd BT" w:hAnsi="OrigGarmnd BT"/>
          <w:b/>
        </w:rPr>
      </w:pPr>
    </w:p>
    <w:p w:rsidR="005D57C1" w:rsidRPr="006779ED" w:rsidRDefault="005D57C1" w:rsidP="005D57C1">
      <w:pPr>
        <w:rPr>
          <w:rFonts w:ascii="OrigGarmnd BT" w:hAnsi="OrigGarmnd BT"/>
          <w:b/>
        </w:rPr>
      </w:pPr>
    </w:p>
    <w:p w:rsidR="005D57C1" w:rsidRPr="006779ED" w:rsidRDefault="005D57C1" w:rsidP="005D57C1">
      <w:pPr>
        <w:tabs>
          <w:tab w:val="left" w:pos="600"/>
        </w:tabs>
        <w:autoSpaceDE w:val="0"/>
        <w:autoSpaceDN w:val="0"/>
        <w:adjustRightInd w:val="0"/>
        <w:ind w:left="600" w:hanging="600"/>
        <w:rPr>
          <w:rFonts w:ascii="OrigGarmnd BT" w:hAnsi="OrigGarmnd BT"/>
          <w:b/>
        </w:rPr>
      </w:pPr>
      <w:r w:rsidRPr="006779ED">
        <w:rPr>
          <w:rFonts w:ascii="OrigGarmnd BT" w:hAnsi="OrigGarmnd BT"/>
          <w:b/>
        </w:rPr>
        <w:t>11. Utkast till rådets slutsatser om inrättandet och ikraftträdandet av</w:t>
      </w:r>
    </w:p>
    <w:p w:rsidR="005D57C1" w:rsidRPr="006779ED" w:rsidRDefault="005D57C1" w:rsidP="005D57C1">
      <w:pPr>
        <w:tabs>
          <w:tab w:val="left" w:pos="600"/>
        </w:tabs>
        <w:autoSpaceDE w:val="0"/>
        <w:autoSpaceDN w:val="0"/>
        <w:adjustRightInd w:val="0"/>
        <w:ind w:left="600" w:hanging="600"/>
        <w:rPr>
          <w:rFonts w:ascii="OrigGarmnd BT" w:hAnsi="OrigGarmnd BT"/>
          <w:b/>
        </w:rPr>
      </w:pPr>
      <w:r w:rsidRPr="006779ED">
        <w:rPr>
          <w:rFonts w:ascii="OrigGarmnd BT" w:hAnsi="OrigGarmnd BT"/>
          <w:b/>
        </w:rPr>
        <w:t>en politisk EU-process för att bekämpa grov och organiserad</w:t>
      </w:r>
    </w:p>
    <w:p w:rsidR="005D57C1" w:rsidRPr="006779ED" w:rsidRDefault="005D57C1" w:rsidP="005D57C1">
      <w:pPr>
        <w:tabs>
          <w:tab w:val="left" w:pos="600"/>
        </w:tabs>
        <w:autoSpaceDE w:val="0"/>
        <w:autoSpaceDN w:val="0"/>
        <w:adjustRightInd w:val="0"/>
        <w:ind w:left="600" w:hanging="600"/>
        <w:rPr>
          <w:rFonts w:ascii="OrigGarmnd BT" w:hAnsi="OrigGarmnd BT"/>
          <w:b/>
        </w:rPr>
      </w:pPr>
      <w:r w:rsidRPr="006779ED">
        <w:rPr>
          <w:rFonts w:ascii="OrigGarmnd BT" w:hAnsi="OrigGarmnd BT"/>
          <w:b/>
        </w:rPr>
        <w:t>internationell brottslighet (offentlig debatt)</w:t>
      </w:r>
      <w:r w:rsidR="002E7F71" w:rsidRPr="006779ED">
        <w:rPr>
          <w:rFonts w:ascii="OrigGarmnd BT" w:hAnsi="OrigGarmnd BT"/>
          <w:b/>
        </w:rPr>
        <w:t xml:space="preserve"> (Sr Ask)</w:t>
      </w:r>
    </w:p>
    <w:p w:rsidR="002E7F71" w:rsidRPr="006779ED" w:rsidRDefault="002E7F71" w:rsidP="005D57C1">
      <w:pPr>
        <w:tabs>
          <w:tab w:val="left" w:pos="600"/>
        </w:tabs>
        <w:autoSpaceDE w:val="0"/>
        <w:autoSpaceDN w:val="0"/>
        <w:adjustRightInd w:val="0"/>
        <w:ind w:left="600" w:hanging="600"/>
        <w:rPr>
          <w:rFonts w:ascii="OrigGarmnd BT" w:hAnsi="OrigGarmnd BT"/>
          <w:b/>
        </w:rPr>
      </w:pPr>
    </w:p>
    <w:p w:rsidR="002E7F71" w:rsidRPr="006779ED" w:rsidRDefault="002E7F71" w:rsidP="002E7F71">
      <w:pPr>
        <w:pStyle w:val="RKnormal"/>
        <w:rPr>
          <w:i/>
        </w:rPr>
      </w:pPr>
      <w:r w:rsidRPr="006779ED">
        <w:rPr>
          <w:i/>
        </w:rPr>
        <w:t>Avsikten med behandlingen i rådet</w:t>
      </w:r>
    </w:p>
    <w:p w:rsidR="002E7F71" w:rsidRPr="006779ED" w:rsidRDefault="00AA60BA" w:rsidP="002E7F71">
      <w:pPr>
        <w:pStyle w:val="RKnormal"/>
      </w:pPr>
      <w:r w:rsidRPr="006779ED">
        <w:t>G</w:t>
      </w:r>
      <w:r w:rsidR="002E7F71" w:rsidRPr="006779ED">
        <w:t>odkänna utkastet till rådets slutsatser om inrättande och genomförande av en policycykel. Beslutet kommer att föregås av en öppen debatt.</w:t>
      </w:r>
    </w:p>
    <w:p w:rsidR="002E7F71" w:rsidRPr="006779ED" w:rsidRDefault="002E7F71" w:rsidP="002E7F71">
      <w:pPr>
        <w:pStyle w:val="RKnormal"/>
        <w:rPr>
          <w:i/>
        </w:rPr>
      </w:pPr>
    </w:p>
    <w:p w:rsidR="00F61375" w:rsidRPr="006779ED" w:rsidRDefault="00F61375" w:rsidP="002E7F71">
      <w:pPr>
        <w:pStyle w:val="RKnormal"/>
        <w:rPr>
          <w:i/>
        </w:rPr>
      </w:pPr>
    </w:p>
    <w:p w:rsidR="00905E57" w:rsidRPr="006779ED" w:rsidRDefault="00905E57" w:rsidP="002E7F71">
      <w:pPr>
        <w:pStyle w:val="RKnormal"/>
        <w:rPr>
          <w:i/>
        </w:rPr>
      </w:pPr>
    </w:p>
    <w:p w:rsidR="002E7F71" w:rsidRPr="006779ED" w:rsidRDefault="002E7F71" w:rsidP="002E7F71">
      <w:pPr>
        <w:pStyle w:val="RKnormal"/>
        <w:rPr>
          <w:i/>
        </w:rPr>
      </w:pPr>
      <w:r w:rsidRPr="006779ED">
        <w:rPr>
          <w:i/>
        </w:rPr>
        <w:t>Bakgrund</w:t>
      </w:r>
    </w:p>
    <w:p w:rsidR="002E7F71" w:rsidRPr="006779ED" w:rsidRDefault="002E7F71" w:rsidP="002E7F71">
      <w:pPr>
        <w:pStyle w:val="RKnormal"/>
      </w:pPr>
      <w:r w:rsidRPr="006779ED">
        <w:t>I Stockholmsprogrammet, som antogs under det svenska ordförandeskapet</w:t>
      </w:r>
      <w:r w:rsidR="00AA60BA" w:rsidRPr="006779ED">
        <w:t xml:space="preserve"> i EU</w:t>
      </w:r>
      <w:r w:rsidRPr="006779ED">
        <w:t xml:space="preserve">, framgår att ministerrådet ska anta en strategi mot organiserad brottslighet och andra säkerhetshot samt identifiera prioriteringar och utveckla metoder för samarbetet mellan medlemsländerna. </w:t>
      </w:r>
    </w:p>
    <w:p w:rsidR="002E7F71" w:rsidRPr="006779ED" w:rsidRDefault="002E7F71" w:rsidP="002E7F71">
      <w:pPr>
        <w:pStyle w:val="RKnormal"/>
      </w:pPr>
    </w:p>
    <w:p w:rsidR="002E7F71" w:rsidRPr="006779ED" w:rsidRDefault="002E7F71" w:rsidP="002E7F71">
      <w:pPr>
        <w:pStyle w:val="RKnormal"/>
      </w:pPr>
      <w:r w:rsidRPr="006779ED">
        <w:t>Det första steget, de</w:t>
      </w:r>
      <w:r w:rsidR="00AA60BA" w:rsidRPr="006779ED">
        <w:t>n sk interna säkerhetsstrategin</w:t>
      </w:r>
      <w:r w:rsidRPr="006779ED">
        <w:t>(ISS), antogs av rådet våren 2010. Nästa steg, att utarbeta prioriteringar och metoder, har utformats under hösten 2010 av det belgiska ordförandeskapet</w:t>
      </w:r>
      <w:r w:rsidR="00AA60BA" w:rsidRPr="006779ED">
        <w:t xml:space="preserve"> i EU</w:t>
      </w:r>
      <w:r w:rsidRPr="006779ED">
        <w:t xml:space="preserve"> och </w:t>
      </w:r>
      <w:r w:rsidR="00AA60BA" w:rsidRPr="006779ED">
        <w:t xml:space="preserve">har </w:t>
      </w:r>
      <w:r w:rsidRPr="006779ED">
        <w:t xml:space="preserve">behandlats </w:t>
      </w:r>
      <w:r w:rsidR="00AA60BA" w:rsidRPr="006779ED">
        <w:t>på tjänstemannanivå i rådsstrukturen</w:t>
      </w:r>
      <w:r w:rsidRPr="006779ED">
        <w:t>. Detta arbete har utmynnat i det nu presenterade förslaget om att inrätta en policycykel för EU.</w:t>
      </w:r>
    </w:p>
    <w:p w:rsidR="00F61375" w:rsidRPr="006779ED" w:rsidRDefault="00F61375" w:rsidP="002E7F71">
      <w:pPr>
        <w:pStyle w:val="RKnormal"/>
      </w:pPr>
    </w:p>
    <w:p w:rsidR="002E7F71" w:rsidRPr="006779ED" w:rsidRDefault="002E7F71" w:rsidP="002E7F71">
      <w:pPr>
        <w:pStyle w:val="RKnormal"/>
      </w:pPr>
      <w:r w:rsidRPr="006779ED">
        <w:t>I korthet kan policycykeln beskrivas som en metod att steg för steg ta fram underrättelsebaserade prioriteringar och rutiner för att effektivt genomföra och följa upp de projekt mot organiserad brottslighet som beslutas av rådet.</w:t>
      </w:r>
    </w:p>
    <w:p w:rsidR="002E7F71" w:rsidRPr="006779ED" w:rsidRDefault="002E7F71" w:rsidP="002E7F71">
      <w:pPr>
        <w:pStyle w:val="RKnormal"/>
      </w:pPr>
    </w:p>
    <w:p w:rsidR="002E7F71" w:rsidRPr="006779ED" w:rsidRDefault="002E7F71" w:rsidP="002E7F71">
      <w:pPr>
        <w:pStyle w:val="RKnormal"/>
        <w:rPr>
          <w:i/>
        </w:rPr>
      </w:pPr>
      <w:r w:rsidRPr="006779ED">
        <w:rPr>
          <w:i/>
        </w:rPr>
        <w:t>Svensk ståndpunkt</w:t>
      </w:r>
    </w:p>
    <w:p w:rsidR="002E7F71" w:rsidRPr="006779ED" w:rsidRDefault="002E7F71" w:rsidP="002E7F71">
      <w:pPr>
        <w:pStyle w:val="RKnormal"/>
      </w:pPr>
      <w:r w:rsidRPr="006779ED">
        <w:t>Sveriges och övriga medlemsstaters synpunkter har i huvudsak beaktats av ordförandeskapet</w:t>
      </w:r>
      <w:r w:rsidR="00D00C58" w:rsidRPr="006779ED">
        <w:t xml:space="preserve"> under förhandlingarna</w:t>
      </w:r>
      <w:r w:rsidRPr="006779ED">
        <w:t xml:space="preserve">. Sverige kan därför ställa sig bakom förslaget. </w:t>
      </w:r>
    </w:p>
    <w:p w:rsidR="002E7F71" w:rsidRPr="006779ED" w:rsidRDefault="002E7F71" w:rsidP="002E7F71">
      <w:pPr>
        <w:pStyle w:val="RKnormal"/>
      </w:pPr>
    </w:p>
    <w:p w:rsidR="002E7F71" w:rsidRPr="006779ED" w:rsidRDefault="002E7F71" w:rsidP="002E7F71">
      <w:pPr>
        <w:pStyle w:val="RKnormal"/>
      </w:pPr>
      <w:r w:rsidRPr="006779ED">
        <w:t xml:space="preserve">Sveriges uppfattning är att en policycykel för EU är en konkret och användbar metod för att effektivisera arbetet mot allvarlig gränsöverskridande brottslighet. En policycykel kommer också att leda till en större enhetlighet och kontinuitet i det framtida samarbetet. </w:t>
      </w:r>
      <w:r w:rsidR="00D00C58" w:rsidRPr="006779ED">
        <w:t xml:space="preserve">Det kan särskilt noteras att </w:t>
      </w:r>
      <w:r w:rsidRPr="006779ED">
        <w:t xml:space="preserve">den föreslagna uppföljningsmekanismen </w:t>
      </w:r>
      <w:r w:rsidR="00D00C58" w:rsidRPr="006779ED">
        <w:t>skapar</w:t>
      </w:r>
      <w:r w:rsidRPr="006779ED">
        <w:t xml:space="preserve"> förutsättning</w:t>
      </w:r>
      <w:r w:rsidR="00AA60BA" w:rsidRPr="006779ED">
        <w:t>ar</w:t>
      </w:r>
      <w:r w:rsidRPr="006779ED">
        <w:t xml:space="preserve"> för att kommande projekt genomförs på ett resurseffektiv sätt. </w:t>
      </w:r>
    </w:p>
    <w:p w:rsidR="002E7F71" w:rsidRPr="006779ED" w:rsidRDefault="002E7F71" w:rsidP="002E7F71">
      <w:pPr>
        <w:pStyle w:val="RKnormal"/>
      </w:pPr>
    </w:p>
    <w:p w:rsidR="002E7F71" w:rsidRPr="006779ED" w:rsidRDefault="002E7F71" w:rsidP="002E7F71">
      <w:pPr>
        <w:pStyle w:val="RKnormal"/>
      </w:pPr>
      <w:r w:rsidRPr="006779ED">
        <w:t xml:space="preserve">Se vidare i </w:t>
      </w:r>
      <w:r w:rsidRPr="006779ED">
        <w:rPr>
          <w:u w:val="single"/>
        </w:rPr>
        <w:t>bifogad promemoria</w:t>
      </w:r>
      <w:r w:rsidRPr="006779ED">
        <w:t>.</w:t>
      </w:r>
    </w:p>
    <w:p w:rsidR="002E7F71" w:rsidRPr="006779ED" w:rsidRDefault="002E7F71" w:rsidP="002E7F71">
      <w:pPr>
        <w:pStyle w:val="RKnormal"/>
      </w:pPr>
    </w:p>
    <w:p w:rsidR="002E7F71" w:rsidRPr="006779ED" w:rsidRDefault="002E7F71" w:rsidP="002E7F71">
      <w:pPr>
        <w:pStyle w:val="RKnormal"/>
      </w:pPr>
    </w:p>
    <w:p w:rsidR="005D57C1" w:rsidRPr="006779ED" w:rsidRDefault="005D57C1" w:rsidP="005D57C1">
      <w:pPr>
        <w:tabs>
          <w:tab w:val="left" w:pos="600"/>
        </w:tabs>
        <w:autoSpaceDE w:val="0"/>
        <w:autoSpaceDN w:val="0"/>
        <w:adjustRightInd w:val="0"/>
        <w:ind w:left="600" w:hanging="600"/>
        <w:rPr>
          <w:rFonts w:ascii="OrigGarmnd BT" w:hAnsi="OrigGarmnd BT"/>
          <w:b/>
        </w:rPr>
      </w:pPr>
      <w:r w:rsidRPr="006779ED">
        <w:rPr>
          <w:rFonts w:ascii="OrigGarmnd BT" w:hAnsi="OrigGarmnd BT"/>
          <w:b/>
        </w:rPr>
        <w:t xml:space="preserve">12. Läget för genomförandet av rådets beslut 2008/615/RIF och </w:t>
      </w:r>
    </w:p>
    <w:p w:rsidR="005D57C1" w:rsidRPr="006779ED" w:rsidRDefault="005D57C1" w:rsidP="005D57C1">
      <w:pPr>
        <w:tabs>
          <w:tab w:val="left" w:pos="600"/>
        </w:tabs>
        <w:autoSpaceDE w:val="0"/>
        <w:autoSpaceDN w:val="0"/>
        <w:adjustRightInd w:val="0"/>
        <w:ind w:left="600" w:hanging="600"/>
        <w:rPr>
          <w:rFonts w:ascii="OrigGarmnd BT" w:hAnsi="OrigGarmnd BT"/>
          <w:b/>
        </w:rPr>
      </w:pPr>
      <w:r w:rsidRPr="006779ED">
        <w:rPr>
          <w:rFonts w:ascii="OrigGarmnd BT" w:hAnsi="OrigGarmnd BT"/>
          <w:b/>
        </w:rPr>
        <w:t>2008/616/RIF ("Prümbesluten")</w:t>
      </w:r>
      <w:r w:rsidR="002E7F71" w:rsidRPr="006779ED">
        <w:rPr>
          <w:rFonts w:ascii="OrigGarmnd BT" w:hAnsi="OrigGarmnd BT"/>
          <w:b/>
        </w:rPr>
        <w:t xml:space="preserve"> (Sr Ask)</w:t>
      </w:r>
    </w:p>
    <w:p w:rsidR="005D57C1" w:rsidRPr="006779ED" w:rsidRDefault="005D57C1" w:rsidP="005D57C1">
      <w:pPr>
        <w:rPr>
          <w:rFonts w:ascii="OrigGarmnd BT" w:hAnsi="OrigGarmnd BT"/>
          <w:b/>
        </w:rPr>
      </w:pPr>
    </w:p>
    <w:p w:rsidR="00905E57" w:rsidRPr="006779ED" w:rsidRDefault="00905E57" w:rsidP="00905E57">
      <w:pPr>
        <w:pStyle w:val="RKnormal"/>
        <w:rPr>
          <w:i/>
        </w:rPr>
      </w:pPr>
      <w:r w:rsidRPr="006779ED">
        <w:rPr>
          <w:i/>
        </w:rPr>
        <w:t>Avsikten med behandlingen i rådet</w:t>
      </w:r>
    </w:p>
    <w:p w:rsidR="00905E57" w:rsidRPr="006779ED" w:rsidRDefault="00905E57" w:rsidP="00905E57">
      <w:pPr>
        <w:pStyle w:val="RKnormal"/>
      </w:pPr>
      <w:r w:rsidRPr="006779ED">
        <w:t>Disku</w:t>
      </w:r>
      <w:r w:rsidRPr="006779ED">
        <w:t>s</w:t>
      </w:r>
      <w:r w:rsidRPr="006779ED">
        <w:t>sion om läget avseende genomförandet i medlemsstaterna av rådets beslut 2008/615/RIF och 2008/616/RIF och hur rådet ska kunna följa proce</w:t>
      </w:r>
      <w:r w:rsidRPr="006779ED">
        <w:t>s</w:t>
      </w:r>
      <w:r w:rsidRPr="006779ED">
        <w:t>sen avseende genomförandet. Något beslut i frågan fö</w:t>
      </w:r>
      <w:r w:rsidRPr="006779ED">
        <w:t>r</w:t>
      </w:r>
      <w:r w:rsidRPr="006779ED">
        <w:t xml:space="preserve">väntas inte. </w:t>
      </w:r>
    </w:p>
    <w:p w:rsidR="00905E57" w:rsidRPr="006779ED" w:rsidRDefault="00905E57" w:rsidP="00905E57">
      <w:pPr>
        <w:pStyle w:val="RKnormal"/>
      </w:pPr>
    </w:p>
    <w:p w:rsidR="00905E57" w:rsidRPr="006779ED" w:rsidRDefault="00905E57" w:rsidP="00905E57">
      <w:pPr>
        <w:pStyle w:val="RKnormal"/>
        <w:rPr>
          <w:i/>
        </w:rPr>
      </w:pPr>
      <w:r w:rsidRPr="006779ED">
        <w:rPr>
          <w:i/>
        </w:rPr>
        <w:t>Bakgrund</w:t>
      </w:r>
    </w:p>
    <w:p w:rsidR="00905E57" w:rsidRPr="006779ED" w:rsidRDefault="00905E57" w:rsidP="00905E57">
      <w:pPr>
        <w:pStyle w:val="RKnormal"/>
      </w:pPr>
      <w:r w:rsidRPr="006779ED">
        <w:t>Rådets beslut 2008/615/RIF av den 23 juni 2008 om ett fördjupat</w:t>
      </w:r>
    </w:p>
    <w:p w:rsidR="00905E57" w:rsidRPr="006779ED" w:rsidRDefault="00905E57" w:rsidP="00905E57">
      <w:pPr>
        <w:pStyle w:val="RKnormal"/>
      </w:pPr>
      <w:r w:rsidRPr="006779ED">
        <w:t>gränsöverskridande samarbete, särskilt för bekämpning av</w:t>
      </w:r>
    </w:p>
    <w:p w:rsidR="00905E57" w:rsidRPr="006779ED" w:rsidRDefault="00905E57" w:rsidP="00905E57">
      <w:pPr>
        <w:pStyle w:val="RKnormal"/>
      </w:pPr>
      <w:r w:rsidRPr="006779ED">
        <w:t>terrorism och gränsöverskridande brottslighet (Prümrådsbeslutet)</w:t>
      </w:r>
    </w:p>
    <w:p w:rsidR="00905E57" w:rsidRPr="006779ED" w:rsidRDefault="00905E57" w:rsidP="00905E57">
      <w:pPr>
        <w:pStyle w:val="RKnormal"/>
      </w:pPr>
      <w:r w:rsidRPr="006779ED">
        <w:t>syftar till att fördjupa det gränsöverskridande samarbetet</w:t>
      </w:r>
    </w:p>
    <w:p w:rsidR="00905E57" w:rsidRPr="006779ED" w:rsidRDefault="00905E57" w:rsidP="00905E57">
      <w:pPr>
        <w:pStyle w:val="RKnormal"/>
      </w:pPr>
      <w:r w:rsidRPr="006779ED">
        <w:t>mellan de brottsbekämpande myndigheterna inom Europeiska uni</w:t>
      </w:r>
      <w:r w:rsidRPr="006779ED">
        <w:t>o</w:t>
      </w:r>
      <w:r w:rsidRPr="006779ED">
        <w:t>nen. Ursprunget till rådsbesluten finns i ett fördrag, undertecknat av Belgien, Tyskland, Spanien, Frankrike, Luxemburg, Nederländerna och Österrike i maj 2005 i den tyska st</w:t>
      </w:r>
      <w:r w:rsidRPr="006779ED">
        <w:t>a</w:t>
      </w:r>
      <w:r w:rsidRPr="006779ED">
        <w:t>den Prüm. I fördraget fanns redan från början ambitionen att införliva det med EU:s regelverk, vilket skedde genom politisk överenskomme</w:t>
      </w:r>
      <w:r w:rsidRPr="006779ED">
        <w:t>l</w:t>
      </w:r>
      <w:r w:rsidRPr="006779ED">
        <w:t>se i juni 2007</w:t>
      </w:r>
      <w:r w:rsidRPr="006779ED">
        <w:rPr>
          <w:rStyle w:val="Fotnotsreferens"/>
        </w:rPr>
        <w:footnoteReference w:id="2"/>
      </w:r>
      <w:r w:rsidRPr="006779ED">
        <w:t xml:space="preserve">. </w:t>
      </w:r>
    </w:p>
    <w:p w:rsidR="00905E57" w:rsidRPr="006779ED" w:rsidRDefault="00905E57" w:rsidP="00905E57">
      <w:pPr>
        <w:pStyle w:val="RKnormal"/>
      </w:pPr>
    </w:p>
    <w:p w:rsidR="00905E57" w:rsidRPr="006779ED" w:rsidRDefault="00905E57" w:rsidP="00905E57">
      <w:pPr>
        <w:pStyle w:val="RKnormal"/>
      </w:pPr>
      <w:r w:rsidRPr="006779ED">
        <w:t>Fördjupningen av samarbetet ska i huvudsak ske genom förenklade fo</w:t>
      </w:r>
      <w:r w:rsidRPr="006779ED">
        <w:t>r</w:t>
      </w:r>
      <w:r w:rsidRPr="006779ED">
        <w:t>mer för utbyte av uppgifter om DNA-profiler, fingeravtryck och fo</w:t>
      </w:r>
      <w:r w:rsidRPr="006779ED">
        <w:t>r</w:t>
      </w:r>
      <w:r w:rsidRPr="006779ED">
        <w:t>don. Den typen av uppgifter utbyts redan i dag men enligt rådsbeslutet ska de under vissa förutsättningar göras tillgängliga för sökning av andra me</w:t>
      </w:r>
      <w:r w:rsidRPr="006779ED">
        <w:t>d</w:t>
      </w:r>
      <w:r w:rsidRPr="006779ED">
        <w:t>lemsstaters myndigheter. Den stora skillnaden i förhålla</w:t>
      </w:r>
      <w:r w:rsidRPr="006779ED">
        <w:t>n</w:t>
      </w:r>
      <w:r w:rsidRPr="006779ED">
        <w:t>de till idag blir att informationsutbytet kan ske automatiserat, på elektr</w:t>
      </w:r>
      <w:r w:rsidRPr="006779ED">
        <w:t>o</w:t>
      </w:r>
      <w:r w:rsidRPr="006779ED">
        <w:t>nisk väg, och att den som behöver informationen omede</w:t>
      </w:r>
      <w:r w:rsidRPr="006779ED">
        <w:t>l</w:t>
      </w:r>
      <w:r w:rsidRPr="006779ED">
        <w:t>bart kan få besked om det finns någon uppgift av intresse eller inte. När det gäller DNA och fin</w:t>
      </w:r>
      <w:r w:rsidRPr="006779ED">
        <w:t>g</w:t>
      </w:r>
      <w:r w:rsidRPr="006779ED">
        <w:t>eravtryck kommer endast avidentifierade referensuppgi</w:t>
      </w:r>
      <w:r w:rsidRPr="006779ED">
        <w:t>f</w:t>
      </w:r>
      <w:r w:rsidRPr="006779ED">
        <w:t>ter att utbytas automatiserat. Personuppgifter lämnas ut först när granskningen av ref</w:t>
      </w:r>
      <w:r w:rsidRPr="006779ED">
        <w:t>e</w:t>
      </w:r>
      <w:r w:rsidRPr="006779ED">
        <w:t>rensuppgifterna visar att identiteten kan fastställas. Genomföranderåd</w:t>
      </w:r>
      <w:r w:rsidRPr="006779ED">
        <w:t>s</w:t>
      </w:r>
      <w:r w:rsidRPr="006779ED">
        <w:t>beslutet (2008/616/RIF) och dess bilagor innehåller detaljerade för</w:t>
      </w:r>
      <w:r w:rsidRPr="006779ED">
        <w:t>e</w:t>
      </w:r>
      <w:r w:rsidRPr="006779ED">
        <w:t>skrifter för hur utbytet ska ske och specifikationer för de tekniska lö</w:t>
      </w:r>
      <w:r w:rsidRPr="006779ED">
        <w:t>s</w:t>
      </w:r>
      <w:r w:rsidRPr="006779ED">
        <w:t>ningarna.</w:t>
      </w:r>
    </w:p>
    <w:p w:rsidR="00905E57" w:rsidRPr="006779ED" w:rsidRDefault="00905E57" w:rsidP="00905E57">
      <w:pPr>
        <w:pStyle w:val="RKnormal"/>
      </w:pPr>
    </w:p>
    <w:p w:rsidR="00905E57" w:rsidRPr="006779ED" w:rsidRDefault="00905E57" w:rsidP="00905E57">
      <w:pPr>
        <w:pStyle w:val="RKnormal"/>
        <w:rPr>
          <w:i/>
        </w:rPr>
      </w:pPr>
      <w:r w:rsidRPr="006779ED">
        <w:t>Prümrådsbesluten ska vara genomförda senast den 26 augusti 2011, tre år efter ikraftträdandet.</w:t>
      </w:r>
    </w:p>
    <w:p w:rsidR="00905E57" w:rsidRPr="006779ED" w:rsidRDefault="00905E57" w:rsidP="00905E57">
      <w:pPr>
        <w:pStyle w:val="RKnormal"/>
        <w:rPr>
          <w:i/>
        </w:rPr>
      </w:pPr>
    </w:p>
    <w:p w:rsidR="00905E57" w:rsidRPr="006779ED" w:rsidRDefault="00905E57" w:rsidP="00905E57">
      <w:pPr>
        <w:pStyle w:val="RKnormal"/>
        <w:rPr>
          <w:i/>
        </w:rPr>
      </w:pPr>
      <w:r w:rsidRPr="006779ED">
        <w:rPr>
          <w:i/>
        </w:rPr>
        <w:t>Svensk ståndpunkt</w:t>
      </w:r>
    </w:p>
    <w:p w:rsidR="00905E57" w:rsidRPr="006779ED" w:rsidRDefault="00905E57" w:rsidP="00905E57">
      <w:pPr>
        <w:pStyle w:val="RKnormal"/>
        <w:rPr>
          <w:bCs/>
        </w:rPr>
      </w:pPr>
      <w:r w:rsidRPr="006779ED">
        <w:t>Sverige anser att det är viktigt att dra långsiktig lärdom av Prümrådsbe</w:t>
      </w:r>
      <w:r w:rsidRPr="006779ED">
        <w:t>s</w:t>
      </w:r>
      <w:r w:rsidRPr="006779ED">
        <w:t>luten och deras genomförande inför framtida beslut om IT-lösningar för informationsutbyte. Den informationshanteringsstrategi  som a</w:t>
      </w:r>
      <w:r w:rsidRPr="006779ED">
        <w:t>n</w:t>
      </w:r>
      <w:r w:rsidRPr="006779ED">
        <w:t>togs under det svenska ordförandeskapet</w:t>
      </w:r>
      <w:r w:rsidRPr="006779ED">
        <w:rPr>
          <w:rStyle w:val="Fotnotsreferens"/>
        </w:rPr>
        <w:footnoteReference w:id="3"/>
      </w:r>
      <w:r w:rsidRPr="006779ED">
        <w:t xml:space="preserve"> kommer att bidra till en bättre ordning i framtiden. Sverige föreslår därför att medlemsstate</w:t>
      </w:r>
      <w:r w:rsidRPr="006779ED">
        <w:t>r</w:t>
      </w:r>
      <w:r w:rsidRPr="006779ED">
        <w:t>na ska</w:t>
      </w:r>
      <w:r w:rsidRPr="006779ED">
        <w:rPr>
          <w:bCs/>
        </w:rPr>
        <w:t xml:space="preserve"> ta tillvara erfarenheterna av beslutsprocessen och genomförandet av Prü</w:t>
      </w:r>
      <w:r w:rsidRPr="006779ED">
        <w:rPr>
          <w:bCs/>
        </w:rPr>
        <w:t>m</w:t>
      </w:r>
      <w:r w:rsidRPr="006779ED">
        <w:rPr>
          <w:bCs/>
        </w:rPr>
        <w:t xml:space="preserve">rådsbesluten </w:t>
      </w:r>
      <w:r w:rsidRPr="006779ED">
        <w:t>vid genomförandet av EU:s informationshante</w:t>
      </w:r>
      <w:r w:rsidRPr="006779ED">
        <w:t>r</w:t>
      </w:r>
      <w:r w:rsidRPr="006779ED">
        <w:t>ingsstrategi för den inre säkerheten. Det</w:t>
      </w:r>
      <w:r w:rsidRPr="006779ED">
        <w:rPr>
          <w:bCs/>
        </w:rPr>
        <w:t xml:space="preserve"> gäller exempelvis råd</w:t>
      </w:r>
      <w:r w:rsidRPr="006779ED">
        <w:rPr>
          <w:bCs/>
        </w:rPr>
        <w:t>s</w:t>
      </w:r>
      <w:r w:rsidRPr="006779ED">
        <w:rPr>
          <w:bCs/>
        </w:rPr>
        <w:t>beslutens tekniska detaljeringsgrad, vilken idag är för stor och i sig u</w:t>
      </w:r>
      <w:r w:rsidRPr="006779ED">
        <w:rPr>
          <w:bCs/>
        </w:rPr>
        <w:t>t</w:t>
      </w:r>
      <w:r w:rsidRPr="006779ED">
        <w:rPr>
          <w:bCs/>
        </w:rPr>
        <w:t>gör ett hinder för ett professionellt g</w:t>
      </w:r>
      <w:r w:rsidRPr="006779ED">
        <w:rPr>
          <w:bCs/>
        </w:rPr>
        <w:t>e</w:t>
      </w:r>
      <w:r w:rsidRPr="006779ED">
        <w:rPr>
          <w:bCs/>
        </w:rPr>
        <w:t xml:space="preserve">nomförande när det gäller IT-lösningarna. </w:t>
      </w:r>
    </w:p>
    <w:p w:rsidR="00905E57" w:rsidRPr="006779ED" w:rsidRDefault="00905E57" w:rsidP="00905E57">
      <w:pPr>
        <w:pStyle w:val="RKnormal"/>
        <w:rPr>
          <w:bCs/>
        </w:rPr>
      </w:pPr>
    </w:p>
    <w:p w:rsidR="00905E57" w:rsidRPr="006779ED" w:rsidRDefault="00905E57" w:rsidP="00905E57">
      <w:pPr>
        <w:pStyle w:val="RKnormal"/>
      </w:pPr>
      <w:r w:rsidRPr="006779ED">
        <w:t>En fråga som ska diskuteras är möjligheten att fördela kostnader för u</w:t>
      </w:r>
      <w:r w:rsidRPr="006779ED">
        <w:t>t</w:t>
      </w:r>
      <w:r w:rsidRPr="006779ED">
        <w:t>värderingsbesöken. Sverige anser att varje medlemsstat själv bör b</w:t>
      </w:r>
      <w:r w:rsidRPr="006779ED">
        <w:t>e</w:t>
      </w:r>
      <w:r w:rsidRPr="006779ED">
        <w:t>tala kostnaden för sin egen utvärdering. I övrigt stöder Sverige de fö</w:t>
      </w:r>
      <w:r w:rsidRPr="006779ED">
        <w:t>r</w:t>
      </w:r>
      <w:r w:rsidRPr="006779ED">
        <w:t>slag till åtgärder som ordförandeskapet hittills har prese</w:t>
      </w:r>
      <w:r w:rsidRPr="006779ED">
        <w:t>n</w:t>
      </w:r>
      <w:r w:rsidRPr="006779ED">
        <w:t xml:space="preserve">terat. </w:t>
      </w:r>
    </w:p>
    <w:p w:rsidR="00905E57" w:rsidRPr="006779ED" w:rsidRDefault="00905E57" w:rsidP="00905E57">
      <w:pPr>
        <w:pStyle w:val="RKnormal"/>
      </w:pPr>
    </w:p>
    <w:p w:rsidR="00905E57" w:rsidRPr="006779ED" w:rsidRDefault="00905E57" w:rsidP="00905E57">
      <w:pPr>
        <w:pStyle w:val="RKnormal"/>
      </w:pPr>
      <w:r w:rsidRPr="006779ED">
        <w:t xml:space="preserve">Se vidare i </w:t>
      </w:r>
      <w:r w:rsidRPr="006779ED">
        <w:rPr>
          <w:u w:val="single"/>
        </w:rPr>
        <w:t>bifogad promemoria</w:t>
      </w:r>
      <w:r w:rsidRPr="006779ED">
        <w:t>.</w:t>
      </w:r>
    </w:p>
    <w:p w:rsidR="005D57C1" w:rsidRPr="006779ED" w:rsidRDefault="005D57C1" w:rsidP="005D57C1">
      <w:pPr>
        <w:ind w:left="567" w:hanging="567"/>
        <w:rPr>
          <w:rFonts w:ascii="OrigGarmnd BT" w:hAnsi="OrigGarmnd BT"/>
          <w:b/>
        </w:rPr>
      </w:pPr>
      <w:r w:rsidRPr="006779ED">
        <w:rPr>
          <w:rFonts w:ascii="OrigGarmnd BT" w:hAnsi="OrigGarmnd BT"/>
          <w:b/>
        </w:rPr>
        <w:t>13. (ev.) Förhandlingsdirektiv för avtalet mellan EU och USA om</w:t>
      </w:r>
    </w:p>
    <w:p w:rsidR="005D57C1" w:rsidRPr="006779ED" w:rsidRDefault="005D57C1" w:rsidP="005D57C1">
      <w:pPr>
        <w:ind w:left="567" w:hanging="567"/>
        <w:rPr>
          <w:rFonts w:ascii="OrigGarmnd BT" w:hAnsi="OrigGarmnd BT"/>
          <w:b/>
        </w:rPr>
      </w:pPr>
      <w:r w:rsidRPr="006779ED">
        <w:rPr>
          <w:rFonts w:ascii="OrigGarmnd BT" w:hAnsi="OrigGarmnd BT"/>
          <w:b/>
        </w:rPr>
        <w:t>uppgiftsskydd</w:t>
      </w:r>
      <w:r w:rsidR="002E7F71" w:rsidRPr="006779ED">
        <w:rPr>
          <w:rFonts w:ascii="OrigGarmnd BT" w:hAnsi="OrigGarmnd BT"/>
          <w:b/>
        </w:rPr>
        <w:t xml:space="preserve"> (Sr Ask)</w:t>
      </w:r>
    </w:p>
    <w:p w:rsidR="005D57C1" w:rsidRPr="006779ED" w:rsidRDefault="005D57C1" w:rsidP="005D57C1">
      <w:pPr>
        <w:ind w:left="567" w:hanging="567"/>
        <w:rPr>
          <w:rFonts w:ascii="OrigGarmnd BT" w:hAnsi="OrigGarmnd BT"/>
          <w:b/>
        </w:rPr>
      </w:pPr>
      <w:r w:rsidRPr="006779ED">
        <w:rPr>
          <w:rFonts w:ascii="OrigGarmnd BT" w:hAnsi="OrigGarmnd BT"/>
          <w:b/>
        </w:rPr>
        <w:t>–</w:t>
      </w:r>
      <w:r w:rsidRPr="006779ED">
        <w:rPr>
          <w:rFonts w:ascii="OrigGarmnd BT" w:hAnsi="OrigGarmnd BT"/>
          <w:b/>
        </w:rPr>
        <w:tab/>
        <w:t>Antagande</w:t>
      </w:r>
    </w:p>
    <w:p w:rsidR="005D57C1" w:rsidRPr="006779ED" w:rsidRDefault="005D57C1" w:rsidP="005D57C1">
      <w:pPr>
        <w:ind w:left="567" w:hanging="567"/>
        <w:rPr>
          <w:rFonts w:ascii="OrigGarmnd BT" w:hAnsi="OrigGarmnd BT"/>
          <w:b/>
        </w:rPr>
      </w:pPr>
    </w:p>
    <w:p w:rsidR="002E7F71" w:rsidRPr="006779ED" w:rsidRDefault="002E7F71" w:rsidP="002E7F71">
      <w:pPr>
        <w:tabs>
          <w:tab w:val="left" w:pos="567"/>
        </w:tabs>
        <w:ind w:left="600" w:hanging="600"/>
        <w:rPr>
          <w:rFonts w:ascii="OrigGarmnd BT" w:hAnsi="OrigGarmnd BT"/>
          <w:bCs/>
        </w:rPr>
      </w:pPr>
      <w:r w:rsidRPr="006779ED">
        <w:rPr>
          <w:rFonts w:ascii="OrigGarmnd BT" w:hAnsi="OrigGarmnd BT"/>
          <w:bCs/>
        </w:rPr>
        <w:t>Ordförandeskapet har meddelat att frågan stryks från dagordningen.</w:t>
      </w:r>
    </w:p>
    <w:p w:rsidR="002E7F71" w:rsidRPr="006779ED" w:rsidRDefault="002E7F71" w:rsidP="005D57C1">
      <w:pPr>
        <w:ind w:left="567" w:hanging="567"/>
        <w:rPr>
          <w:rFonts w:ascii="OrigGarmnd BT" w:hAnsi="OrigGarmnd BT"/>
          <w:b/>
        </w:rPr>
      </w:pPr>
    </w:p>
    <w:p w:rsidR="005D57C1" w:rsidRPr="006779ED" w:rsidRDefault="005D57C1" w:rsidP="005D57C1">
      <w:pPr>
        <w:ind w:left="567" w:hanging="567"/>
        <w:rPr>
          <w:rFonts w:ascii="OrigGarmnd BT" w:hAnsi="OrigGarmnd BT"/>
          <w:b/>
        </w:rPr>
      </w:pPr>
    </w:p>
    <w:p w:rsidR="0052449B" w:rsidRPr="006779ED" w:rsidRDefault="005D57C1" w:rsidP="005D57C1">
      <w:pPr>
        <w:ind w:left="567" w:hanging="567"/>
        <w:rPr>
          <w:rFonts w:ascii="OrigGarmnd BT" w:hAnsi="OrigGarmnd BT"/>
          <w:b/>
        </w:rPr>
      </w:pPr>
      <w:r w:rsidRPr="006779ED">
        <w:rPr>
          <w:rFonts w:ascii="OrigGarmnd BT" w:hAnsi="OrigGarmnd BT"/>
          <w:b/>
        </w:rPr>
        <w:t xml:space="preserve">14. </w:t>
      </w:r>
      <w:r w:rsidR="0052449B" w:rsidRPr="006779ED">
        <w:rPr>
          <w:rFonts w:ascii="OrigGarmnd BT" w:hAnsi="OrigGarmnd BT"/>
          <w:b/>
        </w:rPr>
        <w:t>Årsrapport från Europeiska centrumet för kontroll av narkotika</w:t>
      </w:r>
    </w:p>
    <w:p w:rsidR="0052449B" w:rsidRPr="006779ED" w:rsidRDefault="0052449B" w:rsidP="005D57C1">
      <w:pPr>
        <w:ind w:left="567" w:hanging="567"/>
        <w:rPr>
          <w:rFonts w:ascii="OrigGarmnd BT" w:hAnsi="OrigGarmnd BT"/>
          <w:b/>
        </w:rPr>
      </w:pPr>
      <w:r w:rsidRPr="006779ED">
        <w:rPr>
          <w:rFonts w:ascii="OrigGarmnd BT" w:hAnsi="OrigGarmnd BT"/>
          <w:b/>
        </w:rPr>
        <w:t>och narkotikamissbruk</w:t>
      </w:r>
      <w:r w:rsidRPr="006779ED">
        <w:t xml:space="preserve"> (</w:t>
      </w:r>
      <w:r w:rsidRPr="006779ED">
        <w:rPr>
          <w:rFonts w:ascii="OrigGarmnd BT" w:hAnsi="OrigGarmnd BT"/>
          <w:b/>
        </w:rPr>
        <w:t>ECNN)</w:t>
      </w:r>
      <w:r w:rsidR="005D57C1" w:rsidRPr="006779ED">
        <w:rPr>
          <w:rFonts w:ascii="OrigGarmnd BT" w:hAnsi="OrigGarmnd BT"/>
          <w:b/>
        </w:rPr>
        <w:t xml:space="preserve"> </w:t>
      </w:r>
      <w:r w:rsidRPr="006779ED">
        <w:rPr>
          <w:rFonts w:ascii="OrigGarmnd BT" w:hAnsi="OrigGarmnd BT"/>
          <w:b/>
        </w:rPr>
        <w:t>och kommissionens</w:t>
      </w:r>
    </w:p>
    <w:p w:rsidR="0052449B" w:rsidRPr="006779ED" w:rsidRDefault="005D57C1" w:rsidP="005D57C1">
      <w:pPr>
        <w:ind w:left="567" w:hanging="567"/>
        <w:rPr>
          <w:rFonts w:ascii="OrigGarmnd BT" w:hAnsi="OrigGarmnd BT"/>
          <w:b/>
        </w:rPr>
      </w:pPr>
      <w:r w:rsidRPr="006779ED">
        <w:rPr>
          <w:rFonts w:ascii="OrigGarmnd BT" w:hAnsi="OrigGarmnd BT"/>
          <w:b/>
        </w:rPr>
        <w:t>meddelande om</w:t>
      </w:r>
      <w:r w:rsidR="0052449B" w:rsidRPr="006779ED">
        <w:rPr>
          <w:rFonts w:ascii="OrigGarmnd BT" w:hAnsi="OrigGarmnd BT"/>
          <w:b/>
        </w:rPr>
        <w:t xml:space="preserve"> </w:t>
      </w:r>
      <w:r w:rsidRPr="006779ED">
        <w:rPr>
          <w:rFonts w:ascii="OrigGarmnd BT" w:hAnsi="OrigGarmnd BT"/>
          <w:b/>
        </w:rPr>
        <w:t>utvärderingen efter halva tiden a</w:t>
      </w:r>
      <w:r w:rsidR="0052449B" w:rsidRPr="006779ED">
        <w:rPr>
          <w:rFonts w:ascii="OrigGarmnd BT" w:hAnsi="OrigGarmnd BT"/>
          <w:b/>
        </w:rPr>
        <w:t>v handlingsplanen</w:t>
      </w:r>
    </w:p>
    <w:p w:rsidR="005D57C1" w:rsidRPr="006779ED" w:rsidRDefault="005D57C1" w:rsidP="005D57C1">
      <w:pPr>
        <w:ind w:left="567" w:hanging="567"/>
        <w:rPr>
          <w:rFonts w:ascii="OrigGarmnd BT" w:hAnsi="OrigGarmnd BT"/>
          <w:b/>
        </w:rPr>
      </w:pPr>
      <w:r w:rsidRPr="006779ED">
        <w:rPr>
          <w:rFonts w:ascii="OrigGarmnd BT" w:hAnsi="OrigGarmnd BT"/>
          <w:b/>
        </w:rPr>
        <w:t>mot narkotika</w:t>
      </w:r>
      <w:r w:rsidR="0052449B" w:rsidRPr="006779ED">
        <w:rPr>
          <w:rFonts w:ascii="OrigGarmnd BT" w:hAnsi="OrigGarmnd BT"/>
          <w:b/>
        </w:rPr>
        <w:t xml:space="preserve"> </w:t>
      </w:r>
      <w:r w:rsidRPr="006779ED">
        <w:rPr>
          <w:rFonts w:ascii="OrigGarmnd BT" w:hAnsi="OrigGarmnd BT"/>
          <w:b/>
        </w:rPr>
        <w:t>(2009–2012)</w:t>
      </w:r>
      <w:r w:rsidR="0052449B" w:rsidRPr="006779ED">
        <w:rPr>
          <w:rFonts w:ascii="OrigGarmnd BT" w:hAnsi="OrigGarmnd BT"/>
          <w:b/>
        </w:rPr>
        <w:t xml:space="preserve"> (Sr Ask)</w:t>
      </w:r>
    </w:p>
    <w:p w:rsidR="0052449B" w:rsidRPr="006779ED" w:rsidRDefault="0052449B" w:rsidP="005D57C1">
      <w:pPr>
        <w:ind w:left="567" w:hanging="567"/>
        <w:rPr>
          <w:rFonts w:ascii="OrigGarmnd BT" w:hAnsi="OrigGarmnd BT"/>
          <w:b/>
        </w:rPr>
      </w:pPr>
    </w:p>
    <w:p w:rsidR="0052449B" w:rsidRPr="006779ED" w:rsidRDefault="0052449B" w:rsidP="0052449B">
      <w:pPr>
        <w:outlineLvl w:val="0"/>
        <w:rPr>
          <w:rFonts w:ascii="OrigGarmnd BT" w:hAnsi="OrigGarmnd BT"/>
          <w:i/>
          <w:iCs/>
        </w:rPr>
      </w:pPr>
      <w:r w:rsidRPr="006779ED">
        <w:rPr>
          <w:rFonts w:ascii="OrigGarmnd BT" w:hAnsi="OrigGarmnd BT"/>
          <w:i/>
          <w:iCs/>
        </w:rPr>
        <w:t>Avsikten med behandlingen i rådet</w:t>
      </w:r>
    </w:p>
    <w:p w:rsidR="0052449B" w:rsidRPr="006779ED" w:rsidRDefault="00177F46" w:rsidP="0052449B">
      <w:pPr>
        <w:ind w:left="567" w:hanging="567"/>
        <w:rPr>
          <w:rFonts w:ascii="OrigGarmnd BT" w:hAnsi="OrigGarmnd BT"/>
        </w:rPr>
      </w:pPr>
      <w:r w:rsidRPr="006779ED">
        <w:rPr>
          <w:rFonts w:ascii="OrigGarmnd BT" w:hAnsi="OrigGarmnd BT"/>
          <w:iCs/>
        </w:rPr>
        <w:t>Presentation av</w:t>
      </w:r>
      <w:r w:rsidR="0052449B" w:rsidRPr="006779ED">
        <w:rPr>
          <w:rFonts w:ascii="OrigGarmnd BT" w:hAnsi="OrigGarmnd BT"/>
          <w:iCs/>
        </w:rPr>
        <w:t xml:space="preserve"> årsrapporten från </w:t>
      </w:r>
      <w:r w:rsidR="0052449B" w:rsidRPr="006779ED">
        <w:rPr>
          <w:rFonts w:ascii="OrigGarmnd BT" w:hAnsi="OrigGarmnd BT"/>
        </w:rPr>
        <w:t>Europeiska centrumet för kontroll av</w:t>
      </w:r>
    </w:p>
    <w:p w:rsidR="0052449B" w:rsidRPr="006779ED" w:rsidRDefault="0052449B" w:rsidP="0052449B">
      <w:pPr>
        <w:ind w:left="567" w:hanging="567"/>
        <w:rPr>
          <w:rFonts w:ascii="OrigGarmnd BT" w:hAnsi="OrigGarmnd BT"/>
          <w:iCs/>
        </w:rPr>
      </w:pPr>
      <w:r w:rsidRPr="006779ED">
        <w:rPr>
          <w:rFonts w:ascii="OrigGarmnd BT" w:hAnsi="OrigGarmnd BT"/>
        </w:rPr>
        <w:t>narkotika och narkotikamissbruk</w:t>
      </w:r>
      <w:r w:rsidRPr="006779ED">
        <w:t xml:space="preserve"> (</w:t>
      </w:r>
      <w:r w:rsidRPr="006779ED">
        <w:rPr>
          <w:rFonts w:ascii="OrigGarmnd BT" w:hAnsi="OrigGarmnd BT"/>
        </w:rPr>
        <w:t>ECNN)</w:t>
      </w:r>
      <w:r w:rsidRPr="006779ED">
        <w:rPr>
          <w:rFonts w:ascii="OrigGarmnd BT" w:hAnsi="OrigGarmnd BT"/>
          <w:iCs/>
        </w:rPr>
        <w:t xml:space="preserve">. </w:t>
      </w:r>
    </w:p>
    <w:p w:rsidR="0052449B" w:rsidRPr="006779ED" w:rsidRDefault="0052449B" w:rsidP="0052449B">
      <w:pPr>
        <w:ind w:left="567" w:hanging="567"/>
        <w:rPr>
          <w:rFonts w:ascii="OrigGarmnd BT" w:hAnsi="OrigGarmnd BT"/>
          <w:iCs/>
        </w:rPr>
      </w:pPr>
    </w:p>
    <w:p w:rsidR="00AA60BA" w:rsidRPr="006779ED" w:rsidRDefault="0052449B" w:rsidP="0052449B">
      <w:pPr>
        <w:ind w:left="567" w:hanging="567"/>
        <w:rPr>
          <w:rFonts w:ascii="OrigGarmnd BT" w:hAnsi="OrigGarmnd BT"/>
          <w:iCs/>
        </w:rPr>
      </w:pPr>
      <w:r w:rsidRPr="006779ED">
        <w:rPr>
          <w:rFonts w:ascii="OrigGarmnd BT" w:hAnsi="OrigGarmnd BT"/>
          <w:iCs/>
        </w:rPr>
        <w:t>Ordförandeskapet har meddelat att kommissionen</w:t>
      </w:r>
      <w:r w:rsidR="00AA60BA" w:rsidRPr="006779ED">
        <w:rPr>
          <w:rFonts w:ascii="OrigGarmnd BT" w:hAnsi="OrigGarmnd BT"/>
          <w:iCs/>
        </w:rPr>
        <w:t>s</w:t>
      </w:r>
      <w:r w:rsidRPr="006779ED">
        <w:rPr>
          <w:rFonts w:ascii="OrigGarmnd BT" w:hAnsi="OrigGarmnd BT"/>
          <w:iCs/>
        </w:rPr>
        <w:t xml:space="preserve"> </w:t>
      </w:r>
      <w:r w:rsidR="00AA60BA" w:rsidRPr="006779ED">
        <w:rPr>
          <w:rFonts w:ascii="OrigGarmnd BT" w:hAnsi="OrigGarmnd BT"/>
          <w:iCs/>
        </w:rPr>
        <w:t>meddelande om</w:t>
      </w:r>
    </w:p>
    <w:p w:rsidR="00AA60BA" w:rsidRPr="006779ED" w:rsidRDefault="0052449B" w:rsidP="0052449B">
      <w:pPr>
        <w:ind w:left="567" w:hanging="567"/>
        <w:rPr>
          <w:rFonts w:ascii="OrigGarmnd BT" w:hAnsi="OrigGarmnd BT"/>
          <w:iCs/>
        </w:rPr>
      </w:pPr>
      <w:r w:rsidRPr="006779ED">
        <w:rPr>
          <w:rFonts w:ascii="OrigGarmnd BT" w:hAnsi="OrigGarmnd BT"/>
          <w:iCs/>
        </w:rPr>
        <w:t>utvärderingen</w:t>
      </w:r>
      <w:r w:rsidR="00AA60BA" w:rsidRPr="006779ED">
        <w:rPr>
          <w:rFonts w:ascii="OrigGarmnd BT" w:hAnsi="OrigGarmnd BT"/>
          <w:iCs/>
        </w:rPr>
        <w:t xml:space="preserve"> </w:t>
      </w:r>
      <w:r w:rsidRPr="006779ED">
        <w:rPr>
          <w:rFonts w:ascii="OrigGarmnd BT" w:hAnsi="OrigGarmnd BT"/>
          <w:iCs/>
        </w:rPr>
        <w:t>efter halva tiden av hand</w:t>
      </w:r>
      <w:r w:rsidR="00AA60BA" w:rsidRPr="006779ED">
        <w:rPr>
          <w:rFonts w:ascii="OrigGarmnd BT" w:hAnsi="OrigGarmnd BT"/>
          <w:iCs/>
        </w:rPr>
        <w:t>lingsplanen mot narkotika (2009</w:t>
      </w:r>
    </w:p>
    <w:p w:rsidR="0052449B" w:rsidRPr="006779ED" w:rsidRDefault="00AA60BA" w:rsidP="0052449B">
      <w:pPr>
        <w:ind w:left="567" w:hanging="567"/>
        <w:rPr>
          <w:rFonts w:ascii="OrigGarmnd BT" w:hAnsi="OrigGarmnd BT"/>
          <w:iCs/>
        </w:rPr>
      </w:pPr>
      <w:r w:rsidRPr="006779ED">
        <w:rPr>
          <w:rFonts w:ascii="OrigGarmnd BT" w:hAnsi="OrigGarmnd BT"/>
          <w:iCs/>
        </w:rPr>
        <w:t>2012) stryks från dagordningen.</w:t>
      </w:r>
    </w:p>
    <w:p w:rsidR="0052449B" w:rsidRPr="006779ED" w:rsidRDefault="0052449B" w:rsidP="0052449B">
      <w:pPr>
        <w:outlineLvl w:val="0"/>
        <w:rPr>
          <w:rFonts w:ascii="OrigGarmnd BT" w:hAnsi="OrigGarmnd BT"/>
          <w:i/>
          <w:iCs/>
        </w:rPr>
      </w:pPr>
    </w:p>
    <w:p w:rsidR="0052449B" w:rsidRPr="006779ED" w:rsidRDefault="0052449B" w:rsidP="0052449B">
      <w:pPr>
        <w:pStyle w:val="RKnormal"/>
      </w:pPr>
      <w:r w:rsidRPr="006779ED">
        <w:rPr>
          <w:i/>
        </w:rPr>
        <w:t xml:space="preserve">Dokument: </w:t>
      </w:r>
      <w:r w:rsidR="00DA6B22" w:rsidRPr="006779ED">
        <w:t>det har ännu inte presenterats något dokument för rådsmötet</w:t>
      </w:r>
      <w:r w:rsidRPr="006779ED">
        <w:t>.</w:t>
      </w:r>
    </w:p>
    <w:p w:rsidR="0052449B" w:rsidRPr="006779ED" w:rsidRDefault="0052449B" w:rsidP="0052449B">
      <w:pPr>
        <w:pStyle w:val="RKnormal"/>
        <w:rPr>
          <w:i/>
        </w:rPr>
      </w:pPr>
    </w:p>
    <w:p w:rsidR="00177F46" w:rsidRPr="006779ED" w:rsidRDefault="00177F46" w:rsidP="0052449B">
      <w:pPr>
        <w:pStyle w:val="RKnormal"/>
      </w:pPr>
      <w:r w:rsidRPr="006779ED">
        <w:rPr>
          <w:i/>
        </w:rPr>
        <w:t xml:space="preserve">Tidigare dokument: </w:t>
      </w:r>
      <w:r w:rsidR="00D00C58" w:rsidRPr="006779ED">
        <w:t>årsrapporten från ECNN (bifogas)</w:t>
      </w:r>
    </w:p>
    <w:p w:rsidR="00177F46" w:rsidRPr="006779ED" w:rsidRDefault="00177F46" w:rsidP="0052449B">
      <w:pPr>
        <w:pStyle w:val="RKnormal"/>
        <w:rPr>
          <w:i/>
        </w:rPr>
      </w:pPr>
    </w:p>
    <w:p w:rsidR="0052449B" w:rsidRPr="006779ED" w:rsidRDefault="0052449B" w:rsidP="0052449B">
      <w:pPr>
        <w:pStyle w:val="RKnormal"/>
      </w:pPr>
      <w:r w:rsidRPr="006779ED">
        <w:rPr>
          <w:i/>
        </w:rPr>
        <w:t>Tidigare behandlad vid samråd med EU-nämnden</w:t>
      </w:r>
      <w:r w:rsidRPr="006779ED">
        <w:t>: -</w:t>
      </w:r>
    </w:p>
    <w:p w:rsidR="0052449B" w:rsidRPr="006779ED" w:rsidRDefault="0052449B" w:rsidP="0052449B">
      <w:pPr>
        <w:outlineLvl w:val="0"/>
        <w:rPr>
          <w:rFonts w:ascii="OrigGarmnd BT" w:hAnsi="OrigGarmnd BT"/>
          <w:i/>
          <w:iCs/>
        </w:rPr>
      </w:pPr>
    </w:p>
    <w:p w:rsidR="0052449B" w:rsidRPr="006779ED" w:rsidRDefault="0052449B" w:rsidP="0052449B">
      <w:pPr>
        <w:rPr>
          <w:rFonts w:ascii="OrigGarmnd BT" w:hAnsi="OrigGarmnd BT"/>
          <w:i/>
        </w:rPr>
      </w:pPr>
      <w:r w:rsidRPr="006779ED">
        <w:rPr>
          <w:rFonts w:ascii="OrigGarmnd BT" w:hAnsi="OrigGarmnd BT"/>
          <w:i/>
        </w:rPr>
        <w:t>Bakgrund</w:t>
      </w:r>
    </w:p>
    <w:p w:rsidR="0052449B" w:rsidRPr="006779ED" w:rsidRDefault="0052449B" w:rsidP="0052449B">
      <w:pPr>
        <w:rPr>
          <w:rFonts w:ascii="OrigGarmnd BT" w:hAnsi="OrigGarmnd BT"/>
        </w:rPr>
      </w:pPr>
      <w:r w:rsidRPr="006779ED">
        <w:rPr>
          <w:rFonts w:ascii="OrigGarmnd BT" w:hAnsi="OrigGarmnd BT"/>
        </w:rPr>
        <w:t>Rapporten behandlar övergripande olika policy</w:t>
      </w:r>
      <w:r w:rsidR="00D00C58" w:rsidRPr="006779ED">
        <w:rPr>
          <w:rFonts w:ascii="OrigGarmnd BT" w:hAnsi="OrigGarmnd BT"/>
        </w:rPr>
        <w:t>s</w:t>
      </w:r>
      <w:r w:rsidRPr="006779ED">
        <w:rPr>
          <w:rFonts w:ascii="OrigGarmnd BT" w:hAnsi="OrigGarmnd BT"/>
        </w:rPr>
        <w:t xml:space="preserve"> och nationella strategier och lagstiftning samt pekar på oroande trender. Rapporten belyser utvecklingen och användning av droger och t</w:t>
      </w:r>
      <w:r w:rsidR="00D00C58" w:rsidRPr="006779ED">
        <w:rPr>
          <w:rFonts w:ascii="OrigGarmnd BT" w:hAnsi="OrigGarmnd BT"/>
        </w:rPr>
        <w:t xml:space="preserve">ar också upp preventionsfrågor samt behandling och </w:t>
      </w:r>
      <w:r w:rsidRPr="006779ED">
        <w:rPr>
          <w:rFonts w:ascii="OrigGarmnd BT" w:hAnsi="OrigGarmnd BT"/>
        </w:rPr>
        <w:t xml:space="preserve">vård av missbrukare i olika sammanhang och olika länder i Europa. </w:t>
      </w:r>
    </w:p>
    <w:p w:rsidR="0052449B" w:rsidRPr="006779ED" w:rsidRDefault="0052449B" w:rsidP="0052449B">
      <w:pPr>
        <w:rPr>
          <w:rFonts w:ascii="OrigGarmnd BT" w:hAnsi="OrigGarmnd BT"/>
        </w:rPr>
      </w:pPr>
    </w:p>
    <w:p w:rsidR="0052449B" w:rsidRPr="006779ED" w:rsidRDefault="0052449B" w:rsidP="0052449B">
      <w:pPr>
        <w:rPr>
          <w:rFonts w:ascii="OrigGarmnd BT" w:hAnsi="OrigGarmnd BT"/>
        </w:rPr>
      </w:pPr>
      <w:r w:rsidRPr="006779ED">
        <w:rPr>
          <w:rFonts w:ascii="OrigGarmnd BT" w:hAnsi="OrigGarmnd BT"/>
        </w:rPr>
        <w:t>Cannabismissbruket ökade dramatiskt under 1990-talet.</w:t>
      </w:r>
      <w:r w:rsidR="00AA60BA" w:rsidRPr="006779ED">
        <w:rPr>
          <w:rFonts w:ascii="OrigGarmnd BT" w:hAnsi="OrigGarmnd BT"/>
        </w:rPr>
        <w:t xml:space="preserve"> </w:t>
      </w:r>
      <w:r w:rsidRPr="006779ED">
        <w:rPr>
          <w:rFonts w:ascii="OrigGarmnd BT" w:hAnsi="OrigGarmnd BT"/>
        </w:rPr>
        <w:t>Senare började läget stabiliseras och de senaste uppgifterna bekräftar tydligt att användningen av drogen minskar generellt. S</w:t>
      </w:r>
      <w:r w:rsidR="00D00C58" w:rsidRPr="006779ED">
        <w:rPr>
          <w:rFonts w:ascii="OrigGarmnd BT" w:hAnsi="OrigGarmnd BT"/>
        </w:rPr>
        <w:t>killnaderna mellan olika länder vad gäller</w:t>
      </w:r>
      <w:r w:rsidRPr="006779ED">
        <w:rPr>
          <w:rFonts w:ascii="OrigGarmnd BT" w:hAnsi="OrigGarmnd BT"/>
        </w:rPr>
        <w:t xml:space="preserve"> bruk av cannabis är dock stort.</w:t>
      </w:r>
    </w:p>
    <w:p w:rsidR="0052449B" w:rsidRPr="006779ED" w:rsidRDefault="0052449B" w:rsidP="0052449B">
      <w:pPr>
        <w:rPr>
          <w:rFonts w:ascii="OrigGarmnd BT" w:hAnsi="OrigGarmnd BT"/>
        </w:rPr>
      </w:pPr>
    </w:p>
    <w:p w:rsidR="0052449B" w:rsidRPr="006779ED" w:rsidRDefault="0052449B" w:rsidP="0052449B">
      <w:pPr>
        <w:rPr>
          <w:rFonts w:ascii="OrigGarmnd BT" w:hAnsi="OrigGarmnd BT"/>
        </w:rPr>
      </w:pPr>
      <w:r w:rsidRPr="006779ED">
        <w:rPr>
          <w:rFonts w:ascii="OrigGarmnd BT" w:hAnsi="OrigGarmnd BT"/>
        </w:rPr>
        <w:t>Heroin står fortfarande för den största andelen sjukdomstillstånd och dödsfall förknippade med narkotikamissbruk i Europa. Användningen av drogen minskade generellt från mitten och slutet på nittiotalet, men i dag är bilden mindre tydlig.</w:t>
      </w:r>
    </w:p>
    <w:p w:rsidR="0052449B" w:rsidRPr="006779ED" w:rsidRDefault="0052449B" w:rsidP="0052449B">
      <w:pPr>
        <w:rPr>
          <w:rFonts w:ascii="OrigGarmnd BT" w:hAnsi="OrigGarmnd BT"/>
        </w:rPr>
      </w:pPr>
    </w:p>
    <w:p w:rsidR="0052449B" w:rsidRPr="006779ED" w:rsidRDefault="00BB2D62" w:rsidP="0052449B">
      <w:pPr>
        <w:rPr>
          <w:rFonts w:ascii="OrigGarmnd BT" w:hAnsi="OrigGarmnd BT"/>
        </w:rPr>
      </w:pPr>
      <w:r w:rsidRPr="006779ED">
        <w:rPr>
          <w:rFonts w:ascii="OrigGarmnd BT" w:hAnsi="OrigGarmnd BT"/>
        </w:rPr>
        <w:t>Blandmissbruk har blivit vanligare i Europa.</w:t>
      </w:r>
      <w:r w:rsidR="0052449B" w:rsidRPr="006779ED">
        <w:rPr>
          <w:rFonts w:ascii="OrigGarmnd BT" w:hAnsi="OrigGarmnd BT"/>
        </w:rPr>
        <w:t xml:space="preserve"> De senaste uppgifterna pekar på ett starkt samband mellan festdrickande och narkotikaanvändning bland skolbarn. Festdrickande går dessutom ofta hand i hand med användning av narkotika i nöjessammanhang.</w:t>
      </w:r>
    </w:p>
    <w:p w:rsidR="0052449B" w:rsidRPr="006779ED" w:rsidRDefault="0052449B" w:rsidP="0052449B">
      <w:pPr>
        <w:rPr>
          <w:rFonts w:ascii="OrigGarmnd BT" w:hAnsi="OrigGarmnd BT"/>
        </w:rPr>
      </w:pPr>
      <w:r w:rsidRPr="006779ED">
        <w:rPr>
          <w:rFonts w:ascii="OrigGarmnd BT" w:hAnsi="OrigGarmnd BT"/>
        </w:rPr>
        <w:t xml:space="preserve">ECNN observerar en alltmer komplex och labil situation när det gäller tillgången på och användningen av syntetisk narkotika i Europa. Vad som är nytt är det stora utbudet av olika ämnen som i dag utforskas, den aggressiva marknadsföringen, den </w:t>
      </w:r>
      <w:r w:rsidR="00AA60BA" w:rsidRPr="006779ED">
        <w:rPr>
          <w:rFonts w:ascii="OrigGarmnd BT" w:hAnsi="OrigGarmnd BT"/>
        </w:rPr>
        <w:t>ökande användningen av Internet</w:t>
      </w:r>
      <w:r w:rsidRPr="006779ED">
        <w:rPr>
          <w:rFonts w:ascii="OrigGarmnd BT" w:hAnsi="OrigGarmnd BT"/>
        </w:rPr>
        <w:t xml:space="preserve"> och den snabbhet med vilken marknaden reagerar på kontrollåtgärder.</w:t>
      </w:r>
    </w:p>
    <w:p w:rsidR="0052449B" w:rsidRPr="006779ED" w:rsidRDefault="0052449B" w:rsidP="0052449B">
      <w:pPr>
        <w:rPr>
          <w:rFonts w:ascii="OrigGarmnd BT" w:hAnsi="OrigGarmnd BT"/>
          <w:sz w:val="20"/>
          <w:szCs w:val="20"/>
        </w:rPr>
      </w:pPr>
    </w:p>
    <w:p w:rsidR="0052449B" w:rsidRPr="006779ED" w:rsidRDefault="0052449B" w:rsidP="005D57C1">
      <w:pPr>
        <w:ind w:left="567" w:hanging="567"/>
        <w:rPr>
          <w:rFonts w:ascii="OrigGarmnd BT" w:hAnsi="OrigGarmnd BT"/>
          <w:b/>
        </w:rPr>
      </w:pPr>
    </w:p>
    <w:p w:rsidR="005D57C1" w:rsidRPr="006779ED" w:rsidRDefault="005D57C1" w:rsidP="005D57C1">
      <w:pPr>
        <w:ind w:left="567" w:hanging="567"/>
        <w:rPr>
          <w:rFonts w:ascii="OrigGarmnd BT" w:hAnsi="OrigGarmnd BT"/>
          <w:b/>
        </w:rPr>
      </w:pPr>
      <w:r w:rsidRPr="006779ED">
        <w:rPr>
          <w:rFonts w:ascii="OrigGarmnd BT" w:hAnsi="OrigGarmnd BT"/>
          <w:b/>
        </w:rPr>
        <w:t>15. (ev.) Internationell familjerådgivning i händelse av internationella</w:t>
      </w:r>
    </w:p>
    <w:p w:rsidR="005D57C1" w:rsidRPr="006779ED" w:rsidRDefault="005D57C1" w:rsidP="005D57C1">
      <w:pPr>
        <w:ind w:left="567" w:hanging="567"/>
        <w:rPr>
          <w:rFonts w:ascii="OrigGarmnd BT" w:hAnsi="OrigGarmnd BT"/>
          <w:b/>
        </w:rPr>
      </w:pPr>
      <w:r w:rsidRPr="006779ED">
        <w:rPr>
          <w:rFonts w:ascii="OrigGarmnd BT" w:hAnsi="OrigGarmnd BT"/>
          <w:b/>
        </w:rPr>
        <w:t>bortföranden av barn</w:t>
      </w:r>
    </w:p>
    <w:p w:rsidR="005D57C1" w:rsidRPr="006779ED" w:rsidRDefault="005D57C1" w:rsidP="005D57C1">
      <w:pPr>
        <w:ind w:left="567" w:hanging="567"/>
        <w:rPr>
          <w:rFonts w:ascii="OrigGarmnd BT" w:hAnsi="OrigGarmnd BT"/>
          <w:b/>
        </w:rPr>
      </w:pPr>
      <w:r w:rsidRPr="006779ED">
        <w:rPr>
          <w:rFonts w:ascii="OrigGarmnd BT" w:hAnsi="OrigGarmnd BT"/>
          <w:b/>
        </w:rPr>
        <w:t>–</w:t>
      </w:r>
      <w:r w:rsidRPr="006779ED">
        <w:rPr>
          <w:rFonts w:ascii="OrigGarmnd BT" w:hAnsi="OrigGarmnd BT"/>
          <w:b/>
        </w:rPr>
        <w:tab/>
        <w:t>Information från ordförandeskapet om seminariet den 14 oktober 2010</w:t>
      </w:r>
      <w:r w:rsidR="0052449B" w:rsidRPr="006779ED">
        <w:rPr>
          <w:rFonts w:ascii="OrigGarmnd BT" w:hAnsi="OrigGarmnd BT"/>
          <w:b/>
        </w:rPr>
        <w:t xml:space="preserve"> (Sr Ask)</w:t>
      </w:r>
    </w:p>
    <w:p w:rsidR="0052449B" w:rsidRPr="006779ED" w:rsidRDefault="0052449B" w:rsidP="0052449B">
      <w:pPr>
        <w:outlineLvl w:val="0"/>
        <w:rPr>
          <w:rFonts w:ascii="OrigGarmnd BT" w:hAnsi="OrigGarmnd BT"/>
          <w:i/>
          <w:iCs/>
        </w:rPr>
      </w:pPr>
    </w:p>
    <w:p w:rsidR="0052449B" w:rsidRPr="006779ED" w:rsidRDefault="0052449B" w:rsidP="0052449B">
      <w:pPr>
        <w:outlineLvl w:val="0"/>
        <w:rPr>
          <w:rFonts w:ascii="OrigGarmnd BT" w:hAnsi="OrigGarmnd BT"/>
          <w:i/>
          <w:iCs/>
        </w:rPr>
      </w:pPr>
      <w:r w:rsidRPr="006779ED">
        <w:rPr>
          <w:rFonts w:ascii="OrigGarmnd BT" w:hAnsi="OrigGarmnd BT"/>
          <w:i/>
          <w:iCs/>
        </w:rPr>
        <w:t>Avsikten med behandlingen i rådet</w:t>
      </w:r>
    </w:p>
    <w:p w:rsidR="0052449B" w:rsidRPr="006779ED" w:rsidRDefault="00AA60BA" w:rsidP="0052449B">
      <w:pPr>
        <w:pStyle w:val="RKnormal"/>
      </w:pPr>
      <w:r w:rsidRPr="006779ED">
        <w:t>Information</w:t>
      </w:r>
      <w:r w:rsidR="0052449B" w:rsidRPr="006779ED">
        <w:t xml:space="preserve"> om det seminarium om medling i internationella barnbortförandeärenden som ägde rum i Bryssel den 14 oktober i år. </w:t>
      </w:r>
    </w:p>
    <w:p w:rsidR="0052449B" w:rsidRPr="006779ED" w:rsidRDefault="0052449B" w:rsidP="0052449B">
      <w:pPr>
        <w:pStyle w:val="RKnormal"/>
      </w:pPr>
    </w:p>
    <w:p w:rsidR="0074400C" w:rsidRPr="006779ED" w:rsidRDefault="0052449B" w:rsidP="0052449B">
      <w:pPr>
        <w:pStyle w:val="RKnormal"/>
      </w:pPr>
      <w:r w:rsidRPr="006779ED">
        <w:rPr>
          <w:i/>
        </w:rPr>
        <w:t xml:space="preserve">Dokument: </w:t>
      </w:r>
      <w:r w:rsidR="00DA6B22" w:rsidRPr="006779ED">
        <w:t>det har ännu inte presenterats något dokument för rådsmötet</w:t>
      </w:r>
      <w:r w:rsidRPr="006779ED">
        <w:t>.</w:t>
      </w:r>
    </w:p>
    <w:p w:rsidR="0052449B" w:rsidRPr="006779ED" w:rsidRDefault="0052449B" w:rsidP="0052449B">
      <w:pPr>
        <w:pStyle w:val="RKnormal"/>
      </w:pPr>
    </w:p>
    <w:p w:rsidR="0052449B" w:rsidRPr="006779ED" w:rsidRDefault="0052449B" w:rsidP="0052449B">
      <w:pPr>
        <w:pStyle w:val="RKnormal"/>
      </w:pPr>
      <w:r w:rsidRPr="006779ED">
        <w:rPr>
          <w:i/>
        </w:rPr>
        <w:t>Tidigare behandlad vid samråd med EU-nämnden</w:t>
      </w:r>
      <w:r w:rsidRPr="006779ED">
        <w:t>: -</w:t>
      </w:r>
    </w:p>
    <w:p w:rsidR="00A60EB9" w:rsidRPr="006779ED" w:rsidRDefault="00A60EB9" w:rsidP="0052449B">
      <w:pPr>
        <w:pStyle w:val="RKnormal"/>
        <w:rPr>
          <w:i/>
        </w:rPr>
      </w:pPr>
    </w:p>
    <w:p w:rsidR="0052449B" w:rsidRPr="006779ED" w:rsidRDefault="0052449B" w:rsidP="0052449B">
      <w:pPr>
        <w:pStyle w:val="RKnormal"/>
        <w:rPr>
          <w:i/>
        </w:rPr>
      </w:pPr>
      <w:r w:rsidRPr="006779ED">
        <w:rPr>
          <w:i/>
        </w:rPr>
        <w:t>Bakgrund</w:t>
      </w:r>
    </w:p>
    <w:p w:rsidR="0052449B" w:rsidRPr="006779ED" w:rsidRDefault="0052449B" w:rsidP="0052449B">
      <w:pPr>
        <w:pStyle w:val="RKnormal"/>
      </w:pPr>
      <w:r w:rsidRPr="006779ED">
        <w:t>På in</w:t>
      </w:r>
      <w:r w:rsidR="00D00C58" w:rsidRPr="006779ED">
        <w:t>itiativ</w:t>
      </w:r>
      <w:r w:rsidRPr="006779ED">
        <w:t xml:space="preserve"> av det belgiska ordförandeskapet </w:t>
      </w:r>
      <w:r w:rsidR="00AA60BA" w:rsidRPr="006779ED">
        <w:t xml:space="preserve">i EU </w:t>
      </w:r>
      <w:r w:rsidRPr="006779ED">
        <w:t>har ett seminarium om medling i internationella barnbortförandeärenden nyligen ägt rum. Förutom samtliga medlemsstater deltog även representanter för kommissionen, Europaparlamentet, rådet och Haag</w:t>
      </w:r>
      <w:r w:rsidRPr="006779ED">
        <w:softHyphen/>
        <w:t>konferensen för internationell privaträtt. Syftet med seminariet var att ta fram en gemensam europeisk modell för att uppmuntra till en ökad använd</w:t>
      </w:r>
      <w:r w:rsidRPr="006779ED">
        <w:softHyphen/>
        <w:t>ning av medling i internationella barnbort</w:t>
      </w:r>
      <w:r w:rsidRPr="006779ED">
        <w:softHyphen/>
        <w:t>förande</w:t>
      </w:r>
      <w:r w:rsidRPr="006779ED">
        <w:softHyphen/>
        <w:t xml:space="preserve">ärenden. </w:t>
      </w:r>
    </w:p>
    <w:p w:rsidR="0052449B" w:rsidRPr="006779ED" w:rsidRDefault="0052449B" w:rsidP="0052449B">
      <w:pPr>
        <w:pStyle w:val="RKnormal"/>
      </w:pPr>
    </w:p>
    <w:p w:rsidR="0052449B" w:rsidRPr="006779ED" w:rsidRDefault="0052449B" w:rsidP="0052449B">
      <w:pPr>
        <w:pStyle w:val="RKnormal"/>
      </w:pPr>
      <w:r w:rsidRPr="006779ED">
        <w:t>Vid seminariet antogs slutsatser om det fortsatta arbetet. Slutsatserna innebär att kommissionen i samarbete med Haagkonferensen för inter</w:t>
      </w:r>
      <w:r w:rsidRPr="006779ED">
        <w:softHyphen/>
        <w:t xml:space="preserve">nationell privaträtt </w:t>
      </w:r>
      <w:r w:rsidR="00D00C58" w:rsidRPr="006779ED">
        <w:t>bör</w:t>
      </w:r>
      <w:r w:rsidRPr="006779ED">
        <w:t xml:space="preserve"> gå vidare i arbetet med att främja och förbättra medlingsinstitutet i internationella barnbortförandeärenden. </w:t>
      </w:r>
    </w:p>
    <w:p w:rsidR="0052449B" w:rsidRPr="006779ED" w:rsidRDefault="0052449B" w:rsidP="0052449B">
      <w:pPr>
        <w:pStyle w:val="RKnormal"/>
      </w:pPr>
    </w:p>
    <w:p w:rsidR="0052449B" w:rsidRPr="006779ED" w:rsidRDefault="0052449B" w:rsidP="0052449B">
      <w:pPr>
        <w:pStyle w:val="RKnormal"/>
      </w:pPr>
      <w:r w:rsidRPr="006779ED">
        <w:t>Flera medlemsstater uttalade vid seminariet att de ser positivt på det belgiska initiativet.</w:t>
      </w:r>
    </w:p>
    <w:p w:rsidR="005D57C1" w:rsidRPr="006779ED" w:rsidRDefault="005D57C1" w:rsidP="005D57C1">
      <w:pPr>
        <w:ind w:left="567" w:hanging="567"/>
        <w:rPr>
          <w:rFonts w:ascii="OrigGarmnd BT" w:hAnsi="OrigGarmnd BT"/>
          <w:b/>
        </w:rPr>
      </w:pPr>
    </w:p>
    <w:p w:rsidR="002E7F71" w:rsidRPr="006779ED" w:rsidRDefault="002E7F71" w:rsidP="005D57C1">
      <w:pPr>
        <w:ind w:left="567" w:hanging="567"/>
        <w:rPr>
          <w:rFonts w:ascii="OrigGarmnd BT" w:hAnsi="OrigGarmnd BT"/>
          <w:b/>
        </w:rPr>
      </w:pPr>
    </w:p>
    <w:p w:rsidR="005D57C1" w:rsidRPr="006779ED" w:rsidRDefault="005D57C1" w:rsidP="005D57C1">
      <w:pPr>
        <w:ind w:left="567" w:hanging="567"/>
        <w:rPr>
          <w:rFonts w:ascii="OrigGarmnd BT" w:hAnsi="OrigGarmnd BT"/>
          <w:b/>
        </w:rPr>
      </w:pPr>
      <w:r w:rsidRPr="006779ED">
        <w:rPr>
          <w:rFonts w:ascii="OrigGarmnd BT" w:hAnsi="OrigGarmnd BT"/>
          <w:b/>
        </w:rPr>
        <w:t>16. Övriga frågor</w:t>
      </w:r>
    </w:p>
    <w:p w:rsidR="005D57C1" w:rsidRPr="006779ED" w:rsidRDefault="005D57C1" w:rsidP="005D57C1">
      <w:pPr>
        <w:ind w:left="567" w:hanging="567"/>
        <w:rPr>
          <w:rFonts w:ascii="OrigGarmnd BT" w:hAnsi="OrigGarmnd BT"/>
          <w:b/>
        </w:rPr>
      </w:pPr>
      <w:r w:rsidRPr="006779ED">
        <w:rPr>
          <w:rFonts w:ascii="OrigGarmnd BT" w:hAnsi="OrigGarmnd BT"/>
          <w:b/>
        </w:rPr>
        <w:t>–</w:t>
      </w:r>
      <w:r w:rsidRPr="006779ED">
        <w:rPr>
          <w:rFonts w:ascii="OrigGarmnd BT" w:hAnsi="OrigGarmnd BT"/>
          <w:b/>
        </w:rPr>
        <w:tab/>
        <w:t>Information från kommissionen om ett initiativ om saluföring och användning av sprängämnesprekursorer</w:t>
      </w:r>
      <w:r w:rsidR="00DA6B22" w:rsidRPr="006779ED">
        <w:rPr>
          <w:rFonts w:ascii="OrigGarmnd BT" w:hAnsi="OrigGarmnd BT"/>
          <w:b/>
        </w:rPr>
        <w:t xml:space="preserve"> (Sr Ask)</w:t>
      </w:r>
    </w:p>
    <w:p w:rsidR="00DA6B22" w:rsidRPr="006779ED" w:rsidRDefault="00DA6B22" w:rsidP="005D57C1">
      <w:pPr>
        <w:ind w:left="567" w:hanging="567"/>
        <w:rPr>
          <w:rFonts w:ascii="OrigGarmnd BT" w:hAnsi="OrigGarmnd BT"/>
          <w:b/>
        </w:rPr>
      </w:pPr>
    </w:p>
    <w:p w:rsidR="00DA6B22" w:rsidRPr="006779ED" w:rsidRDefault="00DA6B22" w:rsidP="00DA6B22">
      <w:pPr>
        <w:pStyle w:val="RKnormal"/>
        <w:rPr>
          <w:i/>
        </w:rPr>
      </w:pPr>
      <w:r w:rsidRPr="006779ED">
        <w:rPr>
          <w:i/>
        </w:rPr>
        <w:t>Avsikten med behandlingen i rådet</w:t>
      </w:r>
    </w:p>
    <w:p w:rsidR="00DA6B22" w:rsidRPr="006779ED" w:rsidRDefault="00DA6B22" w:rsidP="00DA6B22">
      <w:pPr>
        <w:pStyle w:val="RKnormal"/>
      </w:pPr>
      <w:r w:rsidRPr="006779ED">
        <w:t>Presentation av förslag till förordning om försäljning och hantering av vissa ämnen som kan användas för tillverkning av sprängämnen (prekursorer).</w:t>
      </w:r>
    </w:p>
    <w:p w:rsidR="00DA6B22" w:rsidRPr="006779ED" w:rsidRDefault="00DA6B22" w:rsidP="00DA6B22">
      <w:pPr>
        <w:pStyle w:val="RKnormal"/>
      </w:pPr>
    </w:p>
    <w:p w:rsidR="00DA6B22" w:rsidRPr="006779ED" w:rsidRDefault="00DA6B22" w:rsidP="00DA6B22">
      <w:pPr>
        <w:pStyle w:val="RKnormal"/>
      </w:pPr>
      <w:r w:rsidRPr="006779ED">
        <w:rPr>
          <w:i/>
        </w:rPr>
        <w:t>Dokument</w:t>
      </w:r>
      <w:r w:rsidRPr="006779ED">
        <w:t>: det har ännu inte presenterats något dokument inför rådsmötet.</w:t>
      </w:r>
    </w:p>
    <w:p w:rsidR="00AA60BA" w:rsidRPr="006779ED" w:rsidRDefault="00AA60BA" w:rsidP="00DA6B22">
      <w:pPr>
        <w:pStyle w:val="RKnormal"/>
      </w:pPr>
    </w:p>
    <w:p w:rsidR="00AA60BA" w:rsidRPr="006779ED" w:rsidRDefault="00AA60BA" w:rsidP="00DA6B22">
      <w:pPr>
        <w:pStyle w:val="RKnormal"/>
      </w:pPr>
      <w:r w:rsidRPr="006779ED">
        <w:rPr>
          <w:i/>
        </w:rPr>
        <w:t>Tidigare dokument</w:t>
      </w:r>
      <w:r w:rsidRPr="006779ED">
        <w:t>: KOM (2010)473, Faktapromemoria 2010/11:FPM9</w:t>
      </w:r>
    </w:p>
    <w:p w:rsidR="00DA6B22" w:rsidRPr="006779ED" w:rsidRDefault="00DA6B22" w:rsidP="00DA6B22">
      <w:pPr>
        <w:pStyle w:val="RKnormal"/>
      </w:pPr>
    </w:p>
    <w:p w:rsidR="00DA6B22" w:rsidRPr="006779ED" w:rsidRDefault="00DA6B22" w:rsidP="00DA6B22">
      <w:pPr>
        <w:pStyle w:val="RKnormal"/>
      </w:pPr>
      <w:r w:rsidRPr="006779ED">
        <w:rPr>
          <w:i/>
        </w:rPr>
        <w:t>Tidigare behandlad vid samråd med EU-nämnden</w:t>
      </w:r>
      <w:r w:rsidRPr="006779ED">
        <w:t>: -</w:t>
      </w:r>
    </w:p>
    <w:p w:rsidR="00DA6B22" w:rsidRPr="006779ED" w:rsidRDefault="00DA6B22" w:rsidP="00DA6B22">
      <w:pPr>
        <w:pStyle w:val="RKnormal"/>
      </w:pPr>
    </w:p>
    <w:p w:rsidR="00DA6B22" w:rsidRPr="006779ED" w:rsidRDefault="00DA6B22" w:rsidP="00DA6B22">
      <w:pPr>
        <w:pStyle w:val="RKnormal"/>
        <w:rPr>
          <w:i/>
        </w:rPr>
      </w:pPr>
      <w:r w:rsidRPr="006779ED">
        <w:rPr>
          <w:i/>
        </w:rPr>
        <w:t>Bakgrund</w:t>
      </w:r>
    </w:p>
    <w:p w:rsidR="00DA6B22" w:rsidRPr="006779ED" w:rsidRDefault="00DA6B22" w:rsidP="00DA6B22">
      <w:pPr>
        <w:pStyle w:val="RKnormal"/>
      </w:pPr>
      <w:r w:rsidRPr="006779ED">
        <w:t xml:space="preserve">Kommissionen </w:t>
      </w:r>
      <w:r w:rsidR="00AA60BA" w:rsidRPr="006779ED">
        <w:t>lade i september i år</w:t>
      </w:r>
      <w:r w:rsidRPr="006779ED">
        <w:t xml:space="preserve"> fram ett förslag till förordning om begränsningar vid försäljning och användning av vissa prekursorer till sprängämnen. Förordningen syftar till att minska risken för tillgång till hög koncentration av vissa ämnen som kan användas för att göra hemmagjorda sprängämnen, vilka i sin tur kan utnyttjas vid terroristbrott eller annan grov brottslighet. Förslaget följer av EU:s övergripande strategi mot terrorism och Stockholmsprogrammet. </w:t>
      </w:r>
    </w:p>
    <w:p w:rsidR="005D57C1" w:rsidRPr="006779ED" w:rsidRDefault="005D57C1" w:rsidP="005D57C1">
      <w:pPr>
        <w:ind w:left="567" w:hanging="567"/>
        <w:rPr>
          <w:rFonts w:ascii="OrigGarmnd BT" w:hAnsi="OrigGarmnd BT"/>
          <w:b/>
        </w:rPr>
      </w:pPr>
    </w:p>
    <w:p w:rsidR="005D57C1" w:rsidRPr="006779ED" w:rsidRDefault="005D57C1" w:rsidP="005D57C1">
      <w:pPr>
        <w:ind w:left="567" w:hanging="567"/>
        <w:rPr>
          <w:rFonts w:ascii="OrigGarmnd BT" w:hAnsi="OrigGarmnd BT"/>
          <w:b/>
        </w:rPr>
      </w:pPr>
    </w:p>
    <w:p w:rsidR="005D57C1" w:rsidRPr="006779ED" w:rsidRDefault="005D57C1" w:rsidP="005D57C1">
      <w:pPr>
        <w:ind w:left="567" w:hanging="567"/>
        <w:rPr>
          <w:rFonts w:ascii="OrigGarmnd BT" w:hAnsi="OrigGarmnd BT"/>
          <w:b/>
        </w:rPr>
      </w:pPr>
      <w:r w:rsidRPr="006779ED">
        <w:rPr>
          <w:rFonts w:ascii="OrigGarmnd BT" w:hAnsi="OrigGarmnd BT"/>
          <w:b/>
          <w:u w:val="single"/>
        </w:rPr>
        <w:t>I anslutning till rådets möte:</w:t>
      </w:r>
    </w:p>
    <w:p w:rsidR="005D57C1" w:rsidRPr="006779ED" w:rsidRDefault="005D57C1" w:rsidP="005D57C1">
      <w:pPr>
        <w:outlineLvl w:val="0"/>
        <w:rPr>
          <w:rFonts w:ascii="OrigGarmnd BT" w:hAnsi="OrigGarmnd BT"/>
          <w:b/>
          <w:u w:val="single"/>
        </w:rPr>
      </w:pPr>
    </w:p>
    <w:p w:rsidR="005D57C1" w:rsidRPr="006779ED" w:rsidRDefault="005D57C1" w:rsidP="005D57C1">
      <w:pPr>
        <w:outlineLvl w:val="0"/>
        <w:rPr>
          <w:rFonts w:ascii="OrigGarmnd BT" w:hAnsi="OrigGarmnd BT"/>
          <w:b/>
          <w:u w:val="single"/>
        </w:rPr>
      </w:pPr>
    </w:p>
    <w:p w:rsidR="005D57C1" w:rsidRPr="006779ED" w:rsidRDefault="005D57C1" w:rsidP="005D57C1">
      <w:pPr>
        <w:outlineLvl w:val="0"/>
        <w:rPr>
          <w:rFonts w:ascii="OrigGarmnd BT" w:hAnsi="OrigGarmnd BT"/>
          <w:b/>
        </w:rPr>
      </w:pPr>
      <w:r w:rsidRPr="006779ED">
        <w:rPr>
          <w:rFonts w:ascii="OrigGarmnd BT" w:hAnsi="OrigGarmnd BT"/>
          <w:b/>
        </w:rPr>
        <w:t>DEN GEMENSAMMA KOMMITTÉN</w:t>
      </w:r>
    </w:p>
    <w:p w:rsidR="005D57C1" w:rsidRPr="006779ED" w:rsidRDefault="005D57C1" w:rsidP="005D57C1">
      <w:pPr>
        <w:rPr>
          <w:rFonts w:ascii="OrigGarmnd BT" w:hAnsi="OrigGarmnd BT"/>
          <w:b/>
        </w:rPr>
      </w:pPr>
    </w:p>
    <w:p w:rsidR="005D57C1" w:rsidRPr="006779ED" w:rsidRDefault="005D57C1" w:rsidP="005D57C1">
      <w:pPr>
        <w:rPr>
          <w:rFonts w:ascii="OrigGarmnd BT" w:hAnsi="OrigGarmnd BT"/>
          <w:b/>
        </w:rPr>
      </w:pPr>
    </w:p>
    <w:p w:rsidR="005D57C1" w:rsidRPr="006779ED" w:rsidRDefault="005D57C1" w:rsidP="005D57C1">
      <w:pPr>
        <w:pStyle w:val="RKnormal"/>
        <w:rPr>
          <w:b/>
        </w:rPr>
      </w:pPr>
      <w:r w:rsidRPr="006779ED">
        <w:rPr>
          <w:b/>
        </w:rPr>
        <w:t>1. Godkännande av den preliminära dagordningen</w:t>
      </w:r>
    </w:p>
    <w:p w:rsidR="005D57C1" w:rsidRPr="006779ED" w:rsidRDefault="005D57C1" w:rsidP="005D57C1">
      <w:pPr>
        <w:pStyle w:val="RKnormal"/>
        <w:rPr>
          <w:b/>
        </w:rPr>
      </w:pPr>
    </w:p>
    <w:p w:rsidR="005D57C1" w:rsidRPr="006779ED" w:rsidRDefault="005D57C1" w:rsidP="005D57C1">
      <w:pPr>
        <w:pStyle w:val="RKnormal"/>
      </w:pPr>
      <w:r w:rsidRPr="006779ED">
        <w:t>Se bifogad preliminär dagordning.</w:t>
      </w:r>
    </w:p>
    <w:p w:rsidR="005D57C1" w:rsidRPr="006779ED" w:rsidRDefault="005D57C1" w:rsidP="005D57C1">
      <w:pPr>
        <w:rPr>
          <w:rFonts w:ascii="OrigGarmnd BT" w:hAnsi="OrigGarmnd BT"/>
          <w:b/>
        </w:rPr>
      </w:pPr>
    </w:p>
    <w:p w:rsidR="005D57C1" w:rsidRPr="006779ED" w:rsidRDefault="005D57C1" w:rsidP="005D57C1">
      <w:pPr>
        <w:rPr>
          <w:rFonts w:ascii="OrigGarmnd BT" w:hAnsi="OrigGarmnd BT"/>
          <w:b/>
        </w:rPr>
      </w:pPr>
    </w:p>
    <w:p w:rsidR="005D57C1" w:rsidRPr="006779ED" w:rsidRDefault="005D57C1" w:rsidP="005D57C1">
      <w:pPr>
        <w:rPr>
          <w:rFonts w:ascii="OrigGarmnd BT" w:hAnsi="OrigGarmnd BT"/>
          <w:b/>
        </w:rPr>
      </w:pPr>
      <w:r w:rsidRPr="006779ED">
        <w:rPr>
          <w:rFonts w:ascii="OrigGarmnd BT" w:hAnsi="OrigGarmnd BT"/>
          <w:b/>
        </w:rPr>
        <w:t>2. SIS II</w:t>
      </w:r>
      <w:r w:rsidR="00DA6B22" w:rsidRPr="006779ED">
        <w:rPr>
          <w:rFonts w:ascii="OrigGarmnd BT" w:hAnsi="OrigGarmnd BT"/>
          <w:b/>
        </w:rPr>
        <w:t xml:space="preserve"> (Sr Ask)</w:t>
      </w:r>
    </w:p>
    <w:p w:rsidR="005D57C1" w:rsidRPr="006779ED" w:rsidRDefault="00DA6B22" w:rsidP="005D57C1">
      <w:pPr>
        <w:rPr>
          <w:rFonts w:ascii="OrigGarmnd BT" w:hAnsi="OrigGarmnd BT"/>
          <w:b/>
        </w:rPr>
      </w:pPr>
      <w:r w:rsidRPr="006779ED">
        <w:rPr>
          <w:rFonts w:ascii="OrigGarmnd BT" w:hAnsi="OrigGarmnd BT"/>
          <w:b/>
        </w:rPr>
        <w:t xml:space="preserve">= </w:t>
      </w:r>
      <w:r w:rsidR="005D57C1" w:rsidRPr="006779ED">
        <w:rPr>
          <w:rFonts w:ascii="OrigGarmnd BT" w:hAnsi="OrigGarmnd BT"/>
          <w:b/>
        </w:rPr>
        <w:t>Lägesrapport</w:t>
      </w:r>
    </w:p>
    <w:p w:rsidR="00DA6B22" w:rsidRPr="006779ED" w:rsidRDefault="00DA6B22" w:rsidP="005D57C1">
      <w:pPr>
        <w:rPr>
          <w:rFonts w:ascii="OrigGarmnd BT" w:hAnsi="OrigGarmnd BT"/>
          <w:b/>
        </w:rPr>
      </w:pPr>
    </w:p>
    <w:p w:rsidR="00DA6B22" w:rsidRPr="006779ED" w:rsidRDefault="00DA6B22" w:rsidP="00DA6B22">
      <w:pPr>
        <w:pStyle w:val="RKnormal"/>
        <w:rPr>
          <w:i/>
        </w:rPr>
      </w:pPr>
      <w:r w:rsidRPr="006779ED">
        <w:rPr>
          <w:i/>
        </w:rPr>
        <w:t>Avsikten med behandlingen i rådet</w:t>
      </w:r>
    </w:p>
    <w:p w:rsidR="00DA6B22" w:rsidRPr="006779ED" w:rsidRDefault="00AA60BA" w:rsidP="00DA6B22">
      <w:pPr>
        <w:pStyle w:val="RKnormal"/>
      </w:pPr>
      <w:r w:rsidRPr="006779ED">
        <w:t>Information</w:t>
      </w:r>
      <w:r w:rsidR="00DA6B22" w:rsidRPr="006779ED">
        <w:t xml:space="preserve"> om den senaste utvecklingen i SIS II-projektet. </w:t>
      </w:r>
    </w:p>
    <w:p w:rsidR="00DA6B22" w:rsidRPr="006779ED" w:rsidRDefault="00DA6B22" w:rsidP="00DA6B22">
      <w:pPr>
        <w:pStyle w:val="RKnormal"/>
        <w:rPr>
          <w:i/>
        </w:rPr>
      </w:pPr>
    </w:p>
    <w:p w:rsidR="00905E57" w:rsidRPr="006779ED" w:rsidRDefault="00905E57" w:rsidP="00905E57">
      <w:pPr>
        <w:pStyle w:val="RKnormal"/>
      </w:pPr>
      <w:r w:rsidRPr="006779ED">
        <w:rPr>
          <w:i/>
        </w:rPr>
        <w:t>Dokument</w:t>
      </w:r>
      <w:r w:rsidRPr="006779ED">
        <w:t>: det har ännu inte presenterats något dokument inför rådsmötet.</w:t>
      </w:r>
    </w:p>
    <w:p w:rsidR="00905E57" w:rsidRPr="006779ED" w:rsidRDefault="00905E57" w:rsidP="00905E57">
      <w:pPr>
        <w:pStyle w:val="RKnormal"/>
      </w:pPr>
    </w:p>
    <w:p w:rsidR="00905E57" w:rsidRPr="006779ED" w:rsidRDefault="00905E57" w:rsidP="00905E57">
      <w:pPr>
        <w:pStyle w:val="RKnormal"/>
      </w:pPr>
      <w:r w:rsidRPr="006779ED">
        <w:rPr>
          <w:i/>
        </w:rPr>
        <w:t>Tidigare behandlad vid samråd med EU-nämnden</w:t>
      </w:r>
      <w:r w:rsidRPr="006779ED">
        <w:t>: 1 oktober 2010</w:t>
      </w:r>
    </w:p>
    <w:p w:rsidR="00905E57" w:rsidRPr="006779ED" w:rsidRDefault="00905E57" w:rsidP="00DA6B22">
      <w:pPr>
        <w:pStyle w:val="RKnormal"/>
        <w:rPr>
          <w:i/>
        </w:rPr>
      </w:pPr>
    </w:p>
    <w:p w:rsidR="00DA6B22" w:rsidRPr="006779ED" w:rsidRDefault="00DA6B22" w:rsidP="00DA6B22">
      <w:pPr>
        <w:pStyle w:val="RKnormal"/>
        <w:rPr>
          <w:i/>
        </w:rPr>
      </w:pPr>
      <w:r w:rsidRPr="006779ED">
        <w:rPr>
          <w:i/>
        </w:rPr>
        <w:t xml:space="preserve">Bakgrund </w:t>
      </w:r>
    </w:p>
    <w:p w:rsidR="00DA6B22" w:rsidRPr="006779ED" w:rsidRDefault="00DA6B22" w:rsidP="00DA6B22">
      <w:pPr>
        <w:pStyle w:val="RKnormal"/>
      </w:pPr>
      <w:r w:rsidRPr="006779ED">
        <w:t xml:space="preserve">Vid rådets möte </w:t>
      </w:r>
      <w:r w:rsidR="00AA60BA" w:rsidRPr="006779ED">
        <w:t xml:space="preserve">(rättsliga och inrikes frågor) den 7-8 </w:t>
      </w:r>
      <w:r w:rsidRPr="006779ED">
        <w:t xml:space="preserve">oktober 2010 antogs nya rådsslutsatser om </w:t>
      </w:r>
      <w:r w:rsidR="00AA60BA" w:rsidRPr="006779ED">
        <w:t>Schengens informationssystem (</w:t>
      </w:r>
      <w:r w:rsidRPr="006779ED">
        <w:t>SIS</w:t>
      </w:r>
      <w:r w:rsidR="00AA60BA" w:rsidRPr="006779ED">
        <w:t>)</w:t>
      </w:r>
      <w:r w:rsidRPr="006779ED">
        <w:t xml:space="preserve"> II </w:t>
      </w:r>
      <w:r w:rsidR="00AA60BA" w:rsidRPr="006779ED">
        <w:t>i</w:t>
      </w:r>
      <w:r w:rsidRPr="006779ED">
        <w:t xml:space="preserve"> samband med att </w:t>
      </w:r>
      <w:r w:rsidR="00AA60BA" w:rsidRPr="006779ED">
        <w:t xml:space="preserve">rådet noterade </w:t>
      </w:r>
      <w:r w:rsidRPr="006779ED">
        <w:t>kommissionens nya planering för projektet. I slutsatserna uppmanades kommissionen bl.a. att hålla ministerrådet och Europaparlamentet underrättade om den v</w:t>
      </w:r>
      <w:r w:rsidR="00F062E3" w:rsidRPr="006779ED">
        <w:t xml:space="preserve">idare utvecklingen av projektet, vilket kommer att ske vid rådets möte den 8-9 november. </w:t>
      </w:r>
      <w:r w:rsidRPr="006779ED">
        <w:t>Inga avvikelser från den fastlagda plane</w:t>
      </w:r>
      <w:r w:rsidR="00F062E3" w:rsidRPr="006779ED">
        <w:t>ringen för projektet</w:t>
      </w:r>
      <w:r w:rsidRPr="006779ED">
        <w:t xml:space="preserve"> förväntas. </w:t>
      </w:r>
    </w:p>
    <w:p w:rsidR="00F062E3" w:rsidRPr="006779ED" w:rsidRDefault="00F062E3" w:rsidP="00DA6B22">
      <w:pPr>
        <w:pStyle w:val="RKnormal"/>
      </w:pPr>
    </w:p>
    <w:p w:rsidR="00F062E3" w:rsidRPr="006779ED" w:rsidRDefault="00F062E3" w:rsidP="00DA6B22">
      <w:pPr>
        <w:pStyle w:val="RKnormal"/>
      </w:pPr>
      <w:r w:rsidRPr="006779ED">
        <w:t xml:space="preserve">Schengens informationssystem är det gemensamma efterlysnings- och spaningsregister som används av de länder som deltar i Schengensamarbetet. Sverige anslöts till systemet 2001. Utvecklingen av nästa generation av systemet (SIS II) pågår under kommissionens ledning sedan </w:t>
      </w:r>
      <w:r w:rsidR="00D00C58" w:rsidRPr="006779ED">
        <w:t>länge</w:t>
      </w:r>
      <w:r w:rsidRPr="006779ED">
        <w:t>. Utvecklingen av systemet har drabbats av ett flertal förseningar. Tidpunkten för driftsättning av systemet är nu satt till senast mars 2013.</w:t>
      </w:r>
    </w:p>
    <w:p w:rsidR="00DA6B22" w:rsidRPr="006779ED" w:rsidRDefault="00DA6B22" w:rsidP="005D57C1">
      <w:pPr>
        <w:rPr>
          <w:rFonts w:ascii="OrigGarmnd BT" w:hAnsi="OrigGarmnd BT"/>
          <w:b/>
        </w:rPr>
      </w:pPr>
    </w:p>
    <w:p w:rsidR="005D57C1" w:rsidRPr="006779ED" w:rsidRDefault="005D57C1" w:rsidP="005D57C1">
      <w:pPr>
        <w:rPr>
          <w:rFonts w:ascii="OrigGarmnd BT" w:hAnsi="OrigGarmnd BT"/>
          <w:b/>
        </w:rPr>
      </w:pPr>
    </w:p>
    <w:p w:rsidR="005D57C1" w:rsidRPr="006779ED" w:rsidRDefault="005D57C1" w:rsidP="005D57C1">
      <w:pPr>
        <w:tabs>
          <w:tab w:val="left" w:pos="567"/>
        </w:tabs>
        <w:ind w:left="600" w:hanging="600"/>
        <w:rPr>
          <w:rFonts w:ascii="OrigGarmnd BT" w:hAnsi="OrigGarmnd BT"/>
          <w:b/>
        </w:rPr>
      </w:pPr>
      <w:r w:rsidRPr="006779ED">
        <w:rPr>
          <w:rFonts w:ascii="OrigGarmnd BT" w:hAnsi="OrigGarmnd BT"/>
          <w:b/>
        </w:rPr>
        <w:t>3. Utkast till Europaparlamentets och rådets förordning om ändring</w:t>
      </w:r>
    </w:p>
    <w:p w:rsidR="005D57C1" w:rsidRPr="006779ED" w:rsidRDefault="005D57C1" w:rsidP="005D57C1">
      <w:pPr>
        <w:tabs>
          <w:tab w:val="left" w:pos="567"/>
        </w:tabs>
        <w:ind w:left="600" w:hanging="600"/>
        <w:rPr>
          <w:rFonts w:ascii="OrigGarmnd BT" w:hAnsi="OrigGarmnd BT"/>
          <w:b/>
        </w:rPr>
      </w:pPr>
      <w:r w:rsidRPr="006779ED">
        <w:rPr>
          <w:rFonts w:ascii="OrigGarmnd BT" w:hAnsi="OrigGarmnd BT"/>
          <w:b/>
        </w:rPr>
        <w:t>av förordning (EG) nr 539/2001 om fastställande av förteckningen</w:t>
      </w:r>
    </w:p>
    <w:p w:rsidR="005D57C1" w:rsidRPr="006779ED" w:rsidRDefault="005D57C1" w:rsidP="005D57C1">
      <w:pPr>
        <w:tabs>
          <w:tab w:val="left" w:pos="567"/>
        </w:tabs>
        <w:ind w:left="600" w:hanging="600"/>
        <w:rPr>
          <w:rFonts w:ascii="OrigGarmnd BT" w:hAnsi="OrigGarmnd BT"/>
          <w:b/>
        </w:rPr>
      </w:pPr>
      <w:r w:rsidRPr="006779ED">
        <w:rPr>
          <w:rFonts w:ascii="OrigGarmnd BT" w:hAnsi="OrigGarmnd BT"/>
          <w:b/>
        </w:rPr>
        <w:t>över tredjeländer vars medborgare är skyldiga att inneha visering när</w:t>
      </w:r>
    </w:p>
    <w:p w:rsidR="005D57C1" w:rsidRPr="006779ED" w:rsidRDefault="005D57C1" w:rsidP="005D57C1">
      <w:pPr>
        <w:tabs>
          <w:tab w:val="left" w:pos="567"/>
        </w:tabs>
        <w:ind w:left="600" w:hanging="600"/>
        <w:rPr>
          <w:rFonts w:ascii="OrigGarmnd BT" w:hAnsi="OrigGarmnd BT"/>
          <w:b/>
        </w:rPr>
      </w:pPr>
      <w:r w:rsidRPr="006779ED">
        <w:rPr>
          <w:rFonts w:ascii="OrigGarmnd BT" w:hAnsi="OrigGarmnd BT"/>
          <w:b/>
        </w:rPr>
        <w:t>de passerar de yttre gränserna och av förteckningen över de</w:t>
      </w:r>
    </w:p>
    <w:p w:rsidR="00F062E3" w:rsidRPr="006779ED" w:rsidRDefault="005D57C1" w:rsidP="005D57C1">
      <w:pPr>
        <w:tabs>
          <w:tab w:val="left" w:pos="567"/>
        </w:tabs>
        <w:ind w:left="600" w:hanging="600"/>
        <w:rPr>
          <w:rFonts w:ascii="OrigGarmnd BT" w:hAnsi="OrigGarmnd BT"/>
          <w:b/>
        </w:rPr>
      </w:pPr>
      <w:r w:rsidRPr="006779ED">
        <w:rPr>
          <w:rFonts w:ascii="OrigGarmnd BT" w:hAnsi="OrigGarmnd BT"/>
          <w:b/>
        </w:rPr>
        <w:t>tredjeländer vars medborgare är undantagna från detta krav</w:t>
      </w:r>
      <w:r w:rsidR="00F062E3" w:rsidRPr="006779ED">
        <w:rPr>
          <w:rFonts w:ascii="OrigGarmnd BT" w:hAnsi="OrigGarmnd BT"/>
          <w:b/>
        </w:rPr>
        <w:t xml:space="preserve"> </w:t>
      </w:r>
    </w:p>
    <w:p w:rsidR="005D57C1" w:rsidRPr="006779ED" w:rsidRDefault="00F062E3" w:rsidP="005D57C1">
      <w:pPr>
        <w:tabs>
          <w:tab w:val="left" w:pos="567"/>
        </w:tabs>
        <w:ind w:left="600" w:hanging="600"/>
        <w:rPr>
          <w:rFonts w:ascii="OrigGarmnd BT" w:hAnsi="OrigGarmnd BT"/>
          <w:b/>
        </w:rPr>
      </w:pPr>
      <w:r w:rsidRPr="006779ED">
        <w:rPr>
          <w:rFonts w:ascii="OrigGarmnd BT" w:hAnsi="OrigGarmnd BT"/>
          <w:b/>
        </w:rPr>
        <w:t>(Sr Billström)</w:t>
      </w:r>
    </w:p>
    <w:p w:rsidR="005D57C1" w:rsidRPr="006779ED" w:rsidRDefault="005D57C1" w:rsidP="005D57C1">
      <w:pPr>
        <w:rPr>
          <w:rFonts w:ascii="OrigGarmnd BT" w:hAnsi="OrigGarmnd BT"/>
          <w:b/>
        </w:rPr>
      </w:pPr>
    </w:p>
    <w:p w:rsidR="00CA7385" w:rsidRPr="006779ED" w:rsidRDefault="00CA7385" w:rsidP="00CA7385">
      <w:pPr>
        <w:rPr>
          <w:rFonts w:ascii="OrigGarmnd BT" w:hAnsi="OrigGarmnd BT"/>
        </w:rPr>
      </w:pPr>
      <w:r w:rsidRPr="006779ED">
        <w:rPr>
          <w:rFonts w:ascii="OrigGarmnd BT" w:hAnsi="OrigGarmnd BT"/>
        </w:rPr>
        <w:t>Se rådets dagordning, lagstiftningsöverläggningar, dagordningspunkt 3.</w:t>
      </w:r>
    </w:p>
    <w:p w:rsidR="00226967" w:rsidRPr="006779ED" w:rsidRDefault="00226967" w:rsidP="005D57C1">
      <w:pPr>
        <w:ind w:left="567" w:hanging="567"/>
        <w:rPr>
          <w:rFonts w:ascii="OrigGarmnd BT" w:hAnsi="OrigGarmnd BT"/>
          <w:b/>
        </w:rPr>
      </w:pPr>
    </w:p>
    <w:p w:rsidR="00226967" w:rsidRPr="006779ED" w:rsidRDefault="00226967" w:rsidP="005D57C1">
      <w:pPr>
        <w:ind w:left="567" w:hanging="567"/>
        <w:rPr>
          <w:rFonts w:ascii="OrigGarmnd BT" w:hAnsi="OrigGarmnd BT"/>
          <w:b/>
        </w:rPr>
      </w:pPr>
    </w:p>
    <w:p w:rsidR="005D57C1" w:rsidRPr="006779ED" w:rsidRDefault="005D57C1" w:rsidP="005D57C1">
      <w:pPr>
        <w:ind w:left="567" w:hanging="567"/>
        <w:rPr>
          <w:rFonts w:ascii="OrigGarmnd BT" w:hAnsi="OrigGarmnd BT"/>
          <w:b/>
        </w:rPr>
      </w:pPr>
      <w:r w:rsidRPr="006779ED">
        <w:rPr>
          <w:rFonts w:ascii="OrigGarmnd BT" w:hAnsi="OrigGarmnd BT"/>
          <w:b/>
        </w:rPr>
        <w:t>4. (ev.) Förslag till Europaparlamentets och rådets förordning om</w:t>
      </w:r>
    </w:p>
    <w:p w:rsidR="005D57C1" w:rsidRPr="006779ED" w:rsidRDefault="005D57C1" w:rsidP="005D57C1">
      <w:pPr>
        <w:ind w:left="567" w:hanging="567"/>
        <w:rPr>
          <w:rFonts w:ascii="OrigGarmnd BT" w:hAnsi="OrigGarmnd BT"/>
          <w:b/>
        </w:rPr>
      </w:pPr>
      <w:r w:rsidRPr="006779ED">
        <w:rPr>
          <w:rFonts w:ascii="OrigGarmnd BT" w:hAnsi="OrigGarmnd BT"/>
          <w:b/>
        </w:rPr>
        <w:t>ändring av förordning (EG) nr 2007/2004 om inrättande av en</w:t>
      </w:r>
    </w:p>
    <w:p w:rsidR="005D57C1" w:rsidRPr="006779ED" w:rsidRDefault="005D57C1" w:rsidP="005D57C1">
      <w:pPr>
        <w:ind w:left="567" w:hanging="567"/>
        <w:rPr>
          <w:rFonts w:ascii="OrigGarmnd BT" w:hAnsi="OrigGarmnd BT"/>
          <w:b/>
        </w:rPr>
      </w:pPr>
      <w:r w:rsidRPr="006779ED">
        <w:rPr>
          <w:rFonts w:ascii="OrigGarmnd BT" w:hAnsi="OrigGarmnd BT"/>
          <w:b/>
        </w:rPr>
        <w:t>europeisk byrå för förvaltningen av det operativa samarbetet vid</w:t>
      </w:r>
    </w:p>
    <w:p w:rsidR="005D57C1" w:rsidRPr="006779ED" w:rsidRDefault="005D57C1" w:rsidP="005D57C1">
      <w:pPr>
        <w:ind w:left="567" w:hanging="567"/>
        <w:rPr>
          <w:rFonts w:ascii="OrigGarmnd BT" w:hAnsi="OrigGarmnd BT"/>
          <w:b/>
        </w:rPr>
      </w:pPr>
      <w:r w:rsidRPr="006779ED">
        <w:rPr>
          <w:rFonts w:ascii="OrigGarmnd BT" w:hAnsi="OrigGarmnd BT"/>
          <w:b/>
        </w:rPr>
        <w:t>Europeiska unionens medlemsstaters yttre gränser (Frontex)</w:t>
      </w:r>
      <w:r w:rsidR="00DA6B22" w:rsidRPr="006779ED">
        <w:rPr>
          <w:rFonts w:ascii="OrigGarmnd BT" w:hAnsi="OrigGarmnd BT"/>
          <w:b/>
        </w:rPr>
        <w:t xml:space="preserve"> (Sr Ask)</w:t>
      </w:r>
    </w:p>
    <w:p w:rsidR="005D57C1" w:rsidRPr="006779ED" w:rsidRDefault="005D57C1" w:rsidP="005D57C1">
      <w:pPr>
        <w:rPr>
          <w:rFonts w:ascii="OrigGarmnd BT" w:hAnsi="OrigGarmnd BT"/>
          <w:b/>
        </w:rPr>
      </w:pPr>
      <w:r w:rsidRPr="006779ED">
        <w:rPr>
          <w:rFonts w:ascii="OrigGarmnd BT" w:hAnsi="OrigGarmnd BT"/>
          <w:b/>
        </w:rPr>
        <w:t>–</w:t>
      </w:r>
      <w:r w:rsidRPr="006779ED">
        <w:rPr>
          <w:rFonts w:ascii="OrigGarmnd BT" w:hAnsi="OrigGarmnd BT"/>
          <w:b/>
        </w:rPr>
        <w:tab/>
        <w:t>Lägesrapport</w:t>
      </w:r>
    </w:p>
    <w:p w:rsidR="00DA6B22" w:rsidRPr="006779ED" w:rsidRDefault="00DA6B22" w:rsidP="005D57C1">
      <w:pPr>
        <w:rPr>
          <w:rFonts w:ascii="OrigGarmnd BT" w:hAnsi="OrigGarmnd BT"/>
          <w:b/>
        </w:rPr>
      </w:pPr>
    </w:p>
    <w:p w:rsidR="00DA6B22" w:rsidRPr="006779ED" w:rsidRDefault="00DA6B22" w:rsidP="005D57C1">
      <w:pPr>
        <w:rPr>
          <w:rFonts w:ascii="OrigGarmnd BT" w:hAnsi="OrigGarmnd BT"/>
        </w:rPr>
      </w:pPr>
      <w:r w:rsidRPr="006779ED">
        <w:rPr>
          <w:rFonts w:ascii="OrigGarmnd BT" w:hAnsi="OrigGarmnd BT"/>
        </w:rPr>
        <w:t>Se rådets dagordning, lagstiftningsöverläggningar, dagordningspunkt 5.</w:t>
      </w:r>
    </w:p>
    <w:p w:rsidR="005D57C1" w:rsidRPr="006779ED" w:rsidRDefault="005D57C1" w:rsidP="005D57C1">
      <w:pPr>
        <w:rPr>
          <w:rFonts w:ascii="OrigGarmnd BT" w:hAnsi="OrigGarmnd BT"/>
          <w:b/>
        </w:rPr>
      </w:pPr>
    </w:p>
    <w:p w:rsidR="00F062E3" w:rsidRPr="006779ED" w:rsidRDefault="00F062E3" w:rsidP="005D57C1">
      <w:pPr>
        <w:ind w:left="567" w:hanging="567"/>
        <w:rPr>
          <w:rFonts w:ascii="OrigGarmnd BT" w:hAnsi="OrigGarmnd BT"/>
          <w:b/>
        </w:rPr>
      </w:pPr>
    </w:p>
    <w:p w:rsidR="005D57C1" w:rsidRPr="006779ED" w:rsidRDefault="005D57C1" w:rsidP="005D57C1">
      <w:pPr>
        <w:ind w:left="567" w:hanging="567"/>
        <w:rPr>
          <w:rFonts w:ascii="OrigGarmnd BT" w:hAnsi="OrigGarmnd BT"/>
          <w:b/>
        </w:rPr>
      </w:pPr>
      <w:r w:rsidRPr="006779ED">
        <w:rPr>
          <w:rFonts w:ascii="OrigGarmnd BT" w:hAnsi="OrigGarmnd BT"/>
          <w:b/>
        </w:rPr>
        <w:t>5. (ev.) Förslag till Europaparlamentets och rådets förordning om</w:t>
      </w:r>
    </w:p>
    <w:p w:rsidR="005D57C1" w:rsidRPr="006779ED" w:rsidRDefault="005D57C1" w:rsidP="005D57C1">
      <w:pPr>
        <w:ind w:left="567" w:hanging="567"/>
        <w:rPr>
          <w:rFonts w:ascii="OrigGarmnd BT" w:hAnsi="OrigGarmnd BT"/>
          <w:b/>
        </w:rPr>
      </w:pPr>
      <w:r w:rsidRPr="006779ED">
        <w:rPr>
          <w:rFonts w:ascii="OrigGarmnd BT" w:hAnsi="OrigGarmnd BT"/>
          <w:b/>
        </w:rPr>
        <w:t>ändring av förordning (EG) nr 377/2004 om inrättande av ett nätverk</w:t>
      </w:r>
    </w:p>
    <w:p w:rsidR="005D57C1" w:rsidRPr="006779ED" w:rsidRDefault="005D57C1" w:rsidP="005D57C1">
      <w:pPr>
        <w:ind w:left="567" w:hanging="567"/>
        <w:rPr>
          <w:rFonts w:ascii="OrigGarmnd BT" w:hAnsi="OrigGarmnd BT"/>
          <w:b/>
        </w:rPr>
      </w:pPr>
      <w:r w:rsidRPr="006779ED">
        <w:rPr>
          <w:rFonts w:ascii="OrigGarmnd BT" w:hAnsi="OrigGarmnd BT"/>
          <w:b/>
        </w:rPr>
        <w:t>av sambandsmän för invandring</w:t>
      </w:r>
      <w:r w:rsidR="00F062E3" w:rsidRPr="006779ED">
        <w:rPr>
          <w:rFonts w:ascii="OrigGarmnd BT" w:hAnsi="OrigGarmnd BT"/>
          <w:b/>
        </w:rPr>
        <w:t xml:space="preserve"> (Sr Billström)</w:t>
      </w:r>
    </w:p>
    <w:p w:rsidR="005D57C1" w:rsidRPr="006779ED" w:rsidRDefault="005D57C1" w:rsidP="005D57C1">
      <w:pPr>
        <w:rPr>
          <w:rFonts w:ascii="OrigGarmnd BT" w:hAnsi="OrigGarmnd BT"/>
          <w:b/>
        </w:rPr>
      </w:pPr>
      <w:r w:rsidRPr="006779ED">
        <w:rPr>
          <w:rFonts w:ascii="OrigGarmnd BT" w:hAnsi="OrigGarmnd BT"/>
          <w:b/>
        </w:rPr>
        <w:t>–</w:t>
      </w:r>
      <w:r w:rsidRPr="006779ED">
        <w:rPr>
          <w:rFonts w:ascii="OrigGarmnd BT" w:hAnsi="OrigGarmnd BT"/>
          <w:b/>
        </w:rPr>
        <w:tab/>
        <w:t>Lägesrapport</w:t>
      </w:r>
    </w:p>
    <w:p w:rsidR="005D57C1" w:rsidRPr="006779ED" w:rsidRDefault="005D57C1" w:rsidP="005D57C1">
      <w:pPr>
        <w:rPr>
          <w:rFonts w:ascii="OrigGarmnd BT" w:hAnsi="OrigGarmnd BT"/>
          <w:b/>
        </w:rPr>
      </w:pPr>
    </w:p>
    <w:p w:rsidR="00F27272" w:rsidRPr="006779ED" w:rsidRDefault="00F27272" w:rsidP="00F27272">
      <w:pPr>
        <w:rPr>
          <w:rFonts w:ascii="OrigGarmnd BT" w:hAnsi="OrigGarmnd BT"/>
        </w:rPr>
      </w:pPr>
      <w:r w:rsidRPr="006779ED">
        <w:rPr>
          <w:rFonts w:ascii="OrigGarmnd BT" w:hAnsi="OrigGarmnd BT"/>
        </w:rPr>
        <w:t>Se rådets dagordning, lagstiftningsöverläggningar, dagordningspunkt 6.</w:t>
      </w:r>
    </w:p>
    <w:p w:rsidR="00F27272" w:rsidRPr="006779ED" w:rsidRDefault="00F27272" w:rsidP="005D57C1">
      <w:pPr>
        <w:rPr>
          <w:rFonts w:ascii="OrigGarmnd BT" w:hAnsi="OrigGarmnd BT"/>
          <w:b/>
        </w:rPr>
      </w:pPr>
    </w:p>
    <w:p w:rsidR="00F045B2" w:rsidRPr="006779ED" w:rsidRDefault="00F045B2" w:rsidP="005D57C1">
      <w:pPr>
        <w:rPr>
          <w:rFonts w:ascii="OrigGarmnd BT" w:hAnsi="OrigGarmnd BT"/>
          <w:b/>
        </w:rPr>
      </w:pPr>
    </w:p>
    <w:p w:rsidR="00F5405E" w:rsidRPr="006779ED" w:rsidRDefault="00F5405E" w:rsidP="00B56E92">
      <w:pPr>
        <w:tabs>
          <w:tab w:val="left" w:pos="0"/>
        </w:tabs>
        <w:ind w:left="600" w:hanging="600"/>
        <w:rPr>
          <w:rFonts w:ascii="OrigGarmnd BT" w:eastAsia="MS Mincho" w:hAnsi="OrigGarmnd BT"/>
          <w:b/>
          <w:snapToGrid w:val="0"/>
          <w:lang w:eastAsia="ja-JP"/>
        </w:rPr>
      </w:pPr>
    </w:p>
    <w:p w:rsidR="00F5405E" w:rsidRPr="006779ED" w:rsidRDefault="00F5405E" w:rsidP="00B56E92">
      <w:pPr>
        <w:tabs>
          <w:tab w:val="left" w:pos="0"/>
        </w:tabs>
        <w:ind w:left="600" w:hanging="600"/>
        <w:rPr>
          <w:rFonts w:ascii="OrigGarmnd BT" w:eastAsia="MS Mincho" w:hAnsi="OrigGarmnd BT"/>
          <w:b/>
          <w:snapToGrid w:val="0"/>
          <w:lang w:eastAsia="ja-JP"/>
        </w:rPr>
      </w:pPr>
    </w:p>
    <w:p w:rsidR="00F5405E" w:rsidRPr="006779ED" w:rsidRDefault="00F5405E" w:rsidP="00B56E92">
      <w:pPr>
        <w:tabs>
          <w:tab w:val="left" w:pos="0"/>
        </w:tabs>
        <w:ind w:left="600" w:hanging="600"/>
        <w:rPr>
          <w:rFonts w:ascii="OrigGarmnd BT" w:eastAsia="MS Mincho" w:hAnsi="OrigGarmnd BT"/>
          <w:b/>
          <w:snapToGrid w:val="0"/>
          <w:lang w:eastAsia="ja-JP"/>
        </w:rPr>
      </w:pPr>
    </w:p>
    <w:p w:rsidR="00F5405E" w:rsidRPr="006779ED" w:rsidRDefault="00F5405E" w:rsidP="00B56E92">
      <w:pPr>
        <w:tabs>
          <w:tab w:val="left" w:pos="0"/>
        </w:tabs>
        <w:ind w:left="600" w:hanging="600"/>
        <w:rPr>
          <w:rFonts w:ascii="OrigGarmnd BT" w:eastAsia="MS Mincho" w:hAnsi="OrigGarmnd BT"/>
          <w:b/>
          <w:snapToGrid w:val="0"/>
          <w:lang w:eastAsia="ja-JP"/>
        </w:rPr>
      </w:pPr>
    </w:p>
    <w:p w:rsidR="00F5405E" w:rsidRPr="006779ED" w:rsidRDefault="00F5405E" w:rsidP="00B56E92">
      <w:pPr>
        <w:tabs>
          <w:tab w:val="left" w:pos="0"/>
        </w:tabs>
        <w:ind w:left="600" w:hanging="600"/>
        <w:rPr>
          <w:rFonts w:ascii="OrigGarmnd BT" w:eastAsia="MS Mincho" w:hAnsi="OrigGarmnd BT"/>
          <w:b/>
          <w:snapToGrid w:val="0"/>
          <w:lang w:eastAsia="ja-JP"/>
        </w:rPr>
      </w:pPr>
    </w:p>
    <w:p w:rsidR="00F5405E" w:rsidRPr="006779ED" w:rsidRDefault="00F5405E" w:rsidP="00B56E92">
      <w:pPr>
        <w:tabs>
          <w:tab w:val="left" w:pos="0"/>
        </w:tabs>
        <w:ind w:left="600" w:hanging="600"/>
        <w:rPr>
          <w:rFonts w:ascii="OrigGarmnd BT" w:eastAsia="MS Mincho" w:hAnsi="OrigGarmnd BT"/>
          <w:b/>
          <w:snapToGrid w:val="0"/>
          <w:lang w:eastAsia="ja-JP"/>
        </w:rPr>
      </w:pPr>
    </w:p>
    <w:p w:rsidR="00F5405E" w:rsidRPr="006779ED" w:rsidRDefault="00F5405E" w:rsidP="00B56E92">
      <w:pPr>
        <w:tabs>
          <w:tab w:val="left" w:pos="0"/>
        </w:tabs>
        <w:ind w:left="600" w:hanging="600"/>
        <w:rPr>
          <w:rFonts w:ascii="OrigGarmnd BT" w:eastAsia="MS Mincho" w:hAnsi="OrigGarmnd BT"/>
          <w:b/>
          <w:snapToGrid w:val="0"/>
          <w:lang w:eastAsia="ja-JP"/>
        </w:rPr>
      </w:pPr>
    </w:p>
    <w:p w:rsidR="00F5405E" w:rsidRPr="006779ED" w:rsidRDefault="00F5405E" w:rsidP="00B56E92">
      <w:pPr>
        <w:tabs>
          <w:tab w:val="left" w:pos="0"/>
        </w:tabs>
        <w:ind w:left="600" w:hanging="600"/>
        <w:rPr>
          <w:rFonts w:ascii="OrigGarmnd BT" w:eastAsia="MS Mincho" w:hAnsi="OrigGarmnd BT"/>
          <w:b/>
          <w:snapToGrid w:val="0"/>
          <w:lang w:eastAsia="ja-JP"/>
        </w:rPr>
      </w:pPr>
    </w:p>
    <w:p w:rsidR="00F5405E" w:rsidRPr="006779ED" w:rsidRDefault="00F5405E" w:rsidP="00B56E92">
      <w:pPr>
        <w:tabs>
          <w:tab w:val="left" w:pos="0"/>
        </w:tabs>
        <w:ind w:left="600" w:hanging="600"/>
        <w:rPr>
          <w:rFonts w:ascii="OrigGarmnd BT" w:eastAsia="MS Mincho" w:hAnsi="OrigGarmnd BT"/>
          <w:b/>
          <w:snapToGrid w:val="0"/>
          <w:lang w:eastAsia="ja-JP"/>
        </w:rPr>
      </w:pPr>
    </w:p>
    <w:p w:rsidR="00F5405E" w:rsidRPr="006779ED" w:rsidRDefault="00F5405E" w:rsidP="00B56E92">
      <w:pPr>
        <w:tabs>
          <w:tab w:val="left" w:pos="0"/>
        </w:tabs>
        <w:ind w:left="600" w:hanging="600"/>
        <w:rPr>
          <w:rFonts w:ascii="OrigGarmnd BT" w:eastAsia="MS Mincho" w:hAnsi="OrigGarmnd BT"/>
          <w:b/>
          <w:snapToGrid w:val="0"/>
          <w:lang w:eastAsia="ja-JP"/>
        </w:rPr>
      </w:pPr>
    </w:p>
    <w:p w:rsidR="00F5405E" w:rsidRPr="006779ED" w:rsidRDefault="00F5405E" w:rsidP="00B56E92">
      <w:pPr>
        <w:tabs>
          <w:tab w:val="left" w:pos="0"/>
        </w:tabs>
        <w:ind w:left="600" w:hanging="600"/>
        <w:rPr>
          <w:rFonts w:ascii="OrigGarmnd BT" w:eastAsia="MS Mincho" w:hAnsi="OrigGarmnd BT"/>
          <w:b/>
          <w:snapToGrid w:val="0"/>
          <w:lang w:eastAsia="ja-JP"/>
        </w:rPr>
      </w:pPr>
    </w:p>
    <w:p w:rsidR="005D57C1" w:rsidRPr="006779ED" w:rsidRDefault="005D57C1" w:rsidP="00B56E92">
      <w:pPr>
        <w:tabs>
          <w:tab w:val="left" w:pos="0"/>
        </w:tabs>
        <w:ind w:left="600" w:hanging="600"/>
        <w:rPr>
          <w:rFonts w:ascii="OrigGarmnd BT" w:eastAsia="MS Mincho" w:hAnsi="OrigGarmnd BT"/>
          <w:b/>
          <w:snapToGrid w:val="0"/>
          <w:lang w:eastAsia="ja-JP"/>
        </w:rPr>
      </w:pPr>
      <w:r w:rsidRPr="006779ED">
        <w:rPr>
          <w:rFonts w:ascii="OrigGarmnd BT" w:eastAsia="MS Mincho" w:hAnsi="OrigGarmnd BT"/>
          <w:b/>
          <w:snapToGrid w:val="0"/>
          <w:lang w:eastAsia="ja-JP"/>
        </w:rPr>
        <w:t xml:space="preserve">6. Kommissionens sjätte rapport till rådet och Europaparlamentet om </w:t>
      </w:r>
    </w:p>
    <w:p w:rsidR="005D57C1" w:rsidRPr="006779ED" w:rsidRDefault="005D57C1" w:rsidP="005D57C1">
      <w:pPr>
        <w:tabs>
          <w:tab w:val="left" w:pos="567"/>
        </w:tabs>
        <w:ind w:left="600" w:hanging="600"/>
        <w:rPr>
          <w:rFonts w:ascii="OrigGarmnd BT" w:eastAsia="MS Mincho" w:hAnsi="OrigGarmnd BT"/>
          <w:b/>
          <w:snapToGrid w:val="0"/>
          <w:lang w:eastAsia="ja-JP"/>
        </w:rPr>
      </w:pPr>
      <w:r w:rsidRPr="006779ED">
        <w:rPr>
          <w:rFonts w:ascii="OrigGarmnd BT" w:eastAsia="MS Mincho" w:hAnsi="OrigGarmnd BT"/>
          <w:b/>
          <w:snapToGrid w:val="0"/>
          <w:lang w:eastAsia="ja-JP"/>
        </w:rPr>
        <w:t>vissa tredjeländers upprätthållande av viseringskrav i strid med</w:t>
      </w:r>
    </w:p>
    <w:p w:rsidR="005D57C1" w:rsidRPr="006779ED" w:rsidRDefault="005D57C1" w:rsidP="005D57C1">
      <w:pPr>
        <w:tabs>
          <w:tab w:val="left" w:pos="567"/>
        </w:tabs>
        <w:ind w:left="600" w:hanging="600"/>
        <w:rPr>
          <w:rFonts w:ascii="OrigGarmnd BT" w:hAnsi="OrigGarmnd BT"/>
          <w:b/>
        </w:rPr>
      </w:pPr>
      <w:r w:rsidRPr="006779ED">
        <w:rPr>
          <w:rFonts w:ascii="OrigGarmnd BT" w:eastAsia="MS Mincho" w:hAnsi="OrigGarmnd BT"/>
          <w:b/>
          <w:snapToGrid w:val="0"/>
          <w:lang w:eastAsia="ja-JP"/>
        </w:rPr>
        <w:t xml:space="preserve">ömsesidighetsprincipen i enlighet med artikel 1.5 i rådets </w:t>
      </w:r>
      <w:r w:rsidRPr="006779ED">
        <w:rPr>
          <w:rFonts w:ascii="OrigGarmnd BT" w:hAnsi="OrigGarmnd BT"/>
          <w:b/>
        </w:rPr>
        <w:t>förordning</w:t>
      </w:r>
    </w:p>
    <w:p w:rsidR="005D57C1" w:rsidRPr="006779ED" w:rsidRDefault="005D57C1" w:rsidP="005D57C1">
      <w:pPr>
        <w:tabs>
          <w:tab w:val="left" w:pos="567"/>
        </w:tabs>
        <w:ind w:left="600" w:hanging="600"/>
        <w:rPr>
          <w:rFonts w:ascii="OrigGarmnd BT" w:hAnsi="OrigGarmnd BT"/>
          <w:b/>
        </w:rPr>
      </w:pPr>
      <w:r w:rsidRPr="006779ED">
        <w:rPr>
          <w:rFonts w:ascii="OrigGarmnd BT" w:hAnsi="OrigGarmnd BT"/>
          <w:b/>
        </w:rPr>
        <w:t xml:space="preserve">(EG) nr 539/2001 om fastställande av förteckningen över tredjeländer </w:t>
      </w:r>
    </w:p>
    <w:p w:rsidR="005D57C1" w:rsidRPr="006779ED" w:rsidRDefault="005D57C1" w:rsidP="005D57C1">
      <w:pPr>
        <w:tabs>
          <w:tab w:val="left" w:pos="567"/>
        </w:tabs>
        <w:ind w:left="600" w:hanging="600"/>
        <w:rPr>
          <w:rFonts w:ascii="OrigGarmnd BT" w:hAnsi="OrigGarmnd BT"/>
          <w:b/>
        </w:rPr>
      </w:pPr>
      <w:r w:rsidRPr="006779ED">
        <w:rPr>
          <w:rFonts w:ascii="OrigGarmnd BT" w:hAnsi="OrigGarmnd BT"/>
          <w:b/>
        </w:rPr>
        <w:t>vars medborgare är skyldiga att inneha visering när de passerar de</w:t>
      </w:r>
    </w:p>
    <w:p w:rsidR="005D57C1" w:rsidRPr="006779ED" w:rsidRDefault="005D57C1" w:rsidP="005D57C1">
      <w:pPr>
        <w:tabs>
          <w:tab w:val="left" w:pos="567"/>
        </w:tabs>
        <w:ind w:left="600" w:hanging="600"/>
        <w:rPr>
          <w:rFonts w:ascii="OrigGarmnd BT" w:hAnsi="OrigGarmnd BT"/>
          <w:b/>
        </w:rPr>
      </w:pPr>
      <w:r w:rsidRPr="006779ED">
        <w:rPr>
          <w:rFonts w:ascii="OrigGarmnd BT" w:hAnsi="OrigGarmnd BT"/>
          <w:b/>
        </w:rPr>
        <w:t>yttre gränserna och av förteckningen över de tredjeländer vars</w:t>
      </w:r>
    </w:p>
    <w:p w:rsidR="005D57C1" w:rsidRPr="006779ED" w:rsidRDefault="005D57C1" w:rsidP="005D57C1">
      <w:pPr>
        <w:tabs>
          <w:tab w:val="left" w:pos="567"/>
        </w:tabs>
        <w:ind w:left="600" w:hanging="600"/>
        <w:rPr>
          <w:rFonts w:ascii="OrigGarmnd BT" w:eastAsia="MS Mincho" w:hAnsi="OrigGarmnd BT"/>
          <w:b/>
          <w:snapToGrid w:val="0"/>
          <w:lang w:eastAsia="ja-JP"/>
        </w:rPr>
      </w:pPr>
      <w:r w:rsidRPr="006779ED">
        <w:rPr>
          <w:rFonts w:ascii="OrigGarmnd BT" w:hAnsi="OrigGarmnd BT"/>
          <w:b/>
        </w:rPr>
        <w:t>medborgare är undantagna från detta krav</w:t>
      </w:r>
      <w:r w:rsidRPr="006779ED">
        <w:rPr>
          <w:rFonts w:ascii="OrigGarmnd BT" w:eastAsia="MS Mincho" w:hAnsi="OrigGarmnd BT"/>
          <w:b/>
          <w:snapToGrid w:val="0"/>
          <w:lang w:eastAsia="ja-JP"/>
        </w:rPr>
        <w:t>, ändrad genom förordning</w:t>
      </w:r>
    </w:p>
    <w:p w:rsidR="005D57C1" w:rsidRPr="006779ED" w:rsidRDefault="005D57C1" w:rsidP="005D57C1">
      <w:pPr>
        <w:tabs>
          <w:tab w:val="left" w:pos="567"/>
        </w:tabs>
        <w:ind w:left="600" w:hanging="600"/>
        <w:rPr>
          <w:rFonts w:ascii="OrigGarmnd BT" w:hAnsi="OrigGarmnd BT"/>
          <w:b/>
        </w:rPr>
      </w:pPr>
      <w:r w:rsidRPr="006779ED">
        <w:rPr>
          <w:rFonts w:ascii="OrigGarmnd BT" w:eastAsia="MS Mincho" w:hAnsi="OrigGarmnd BT"/>
          <w:b/>
          <w:snapToGrid w:val="0"/>
          <w:lang w:eastAsia="ja-JP"/>
        </w:rPr>
        <w:t>(EG) nr 851/2005 vad gäller ömsesidighetsmekanismen</w:t>
      </w:r>
      <w:r w:rsidR="00F062E3" w:rsidRPr="006779ED">
        <w:rPr>
          <w:rFonts w:ascii="OrigGarmnd BT" w:eastAsia="MS Mincho" w:hAnsi="OrigGarmnd BT"/>
          <w:b/>
          <w:snapToGrid w:val="0"/>
          <w:lang w:eastAsia="ja-JP"/>
        </w:rPr>
        <w:t xml:space="preserve"> (Sr Billström)</w:t>
      </w:r>
    </w:p>
    <w:p w:rsidR="005D57C1" w:rsidRPr="006779ED" w:rsidRDefault="005D57C1" w:rsidP="005D57C1">
      <w:pPr>
        <w:ind w:left="567" w:hanging="708"/>
        <w:rPr>
          <w:rFonts w:ascii="OrigGarmnd BT" w:hAnsi="OrigGarmnd BT"/>
          <w:b/>
        </w:rPr>
      </w:pPr>
    </w:p>
    <w:p w:rsidR="00F045B2" w:rsidRPr="006779ED" w:rsidRDefault="00F045B2" w:rsidP="00F045B2">
      <w:pPr>
        <w:pStyle w:val="RKnormal"/>
        <w:rPr>
          <w:i/>
        </w:rPr>
      </w:pPr>
      <w:r w:rsidRPr="006779ED">
        <w:rPr>
          <w:i/>
        </w:rPr>
        <w:t>Avsikten med behandlingen i rådet</w:t>
      </w:r>
    </w:p>
    <w:p w:rsidR="00F045B2" w:rsidRPr="006779ED" w:rsidRDefault="00F045B2" w:rsidP="00F045B2">
      <w:pPr>
        <w:rPr>
          <w:rFonts w:ascii="OrigGarmnd BT" w:hAnsi="OrigGarmnd BT"/>
        </w:rPr>
      </w:pPr>
      <w:r w:rsidRPr="006779ED">
        <w:rPr>
          <w:rFonts w:ascii="OrigGarmnd BT" w:hAnsi="OrigGarmnd BT"/>
        </w:rPr>
        <w:t>Presentation från kommissionen av den sjätte rapporten om läget beträffande ömsesidigheten i viseringskraven mellan EU och tredje länder.</w:t>
      </w:r>
    </w:p>
    <w:p w:rsidR="00093626" w:rsidRPr="006779ED" w:rsidRDefault="00093626" w:rsidP="00F045B2">
      <w:pPr>
        <w:rPr>
          <w:rFonts w:ascii="OrigGarmnd BT" w:hAnsi="OrigGarmnd BT"/>
        </w:rPr>
      </w:pPr>
    </w:p>
    <w:p w:rsidR="003708FA" w:rsidRPr="006779ED" w:rsidRDefault="003708FA" w:rsidP="003708FA">
      <w:pPr>
        <w:pStyle w:val="RKnormal"/>
      </w:pPr>
      <w:r w:rsidRPr="006779ED">
        <w:rPr>
          <w:i/>
        </w:rPr>
        <w:t>Dokument</w:t>
      </w:r>
      <w:r w:rsidRPr="006779ED">
        <w:t>: det har ännu inte presenterats något dokument inför rådsmötet.</w:t>
      </w:r>
    </w:p>
    <w:p w:rsidR="003708FA" w:rsidRPr="006779ED" w:rsidRDefault="003708FA" w:rsidP="003708FA">
      <w:pPr>
        <w:pStyle w:val="RKnormal"/>
      </w:pPr>
    </w:p>
    <w:p w:rsidR="00093626" w:rsidRPr="006779ED" w:rsidRDefault="00093626" w:rsidP="00F045B2">
      <w:pPr>
        <w:rPr>
          <w:rFonts w:ascii="OrigGarmnd BT" w:hAnsi="OrigGarmnd BT"/>
          <w:i/>
        </w:rPr>
      </w:pPr>
      <w:r w:rsidRPr="006779ED">
        <w:rPr>
          <w:rFonts w:ascii="OrigGarmnd BT" w:hAnsi="OrigGarmnd BT"/>
          <w:i/>
        </w:rPr>
        <w:t>Bakgrund</w:t>
      </w:r>
    </w:p>
    <w:p w:rsidR="00093626" w:rsidRPr="006779ED" w:rsidRDefault="00093626" w:rsidP="00093626">
      <w:pPr>
        <w:rPr>
          <w:rFonts w:ascii="OrigGarmnd BT" w:hAnsi="OrigGarmnd BT"/>
        </w:rPr>
      </w:pPr>
      <w:r w:rsidRPr="006779ED">
        <w:rPr>
          <w:rFonts w:ascii="OrigGarmnd BT" w:hAnsi="OrigGarmnd BT"/>
        </w:rPr>
        <w:t xml:space="preserve">Viseringsreciprocitet innebär att alla EU-medborgare ska ha viseringsfrihet till alla tredjeländer vars medborgare i sin tur kan resa till EU-Schengenområdet utan krav på visering. Vissa tredjeländer har dock behållit viseringskravet för medborgare i ett antal medlemsstater. Genom förordning nr 851/2005 introducerades en mekanism som bygger på att medlemsstaterna ska notifiera de tredjeländer som inte tillämpar reciprocitet. Det är därefter kommissionens uppgift att påtala och inleda förhandlingar med det tredjelandet i fråga i syfte att åstadkomma full reciprocitet. Kommissionen ska årligen rapportera till Europaparlamentet och rådet och kan föreslå motåtgärder och tillfälligt introducerande av viseringskrav gentemot de tredjeländer där reciprocitet inte uppnåtts. Kommissionen har hittills presenterat fem rapporter om reciprocitetsmekanismen i vilka kommissionen lyft fram de tredjeländer som ännu inte tillämpat ömsesidighet. </w:t>
      </w:r>
    </w:p>
    <w:p w:rsidR="00093626" w:rsidRPr="006779ED" w:rsidRDefault="00093626" w:rsidP="00F045B2">
      <w:pPr>
        <w:rPr>
          <w:rFonts w:ascii="OrigGarmnd BT" w:hAnsi="OrigGarmnd BT"/>
        </w:rPr>
      </w:pPr>
    </w:p>
    <w:p w:rsidR="005D57C1" w:rsidRPr="006779ED" w:rsidRDefault="005D57C1" w:rsidP="005D57C1">
      <w:pPr>
        <w:ind w:left="567" w:hanging="708"/>
        <w:rPr>
          <w:rFonts w:ascii="OrigGarmnd BT" w:hAnsi="OrigGarmnd BT"/>
          <w:b/>
        </w:rPr>
      </w:pPr>
    </w:p>
    <w:p w:rsidR="005D57C1" w:rsidRPr="006779ED" w:rsidRDefault="005D57C1" w:rsidP="00B56E92">
      <w:pPr>
        <w:rPr>
          <w:rFonts w:ascii="OrigGarmnd BT" w:hAnsi="OrigGarmnd BT"/>
          <w:b/>
        </w:rPr>
      </w:pPr>
      <w:r w:rsidRPr="006779ED">
        <w:rPr>
          <w:rFonts w:ascii="OrigGarmnd BT" w:hAnsi="OrigGarmnd BT"/>
          <w:b/>
        </w:rPr>
        <w:t>7. Övriga frågor</w:t>
      </w:r>
    </w:p>
    <w:p w:rsidR="00F062E3" w:rsidRPr="006779ED" w:rsidRDefault="00F062E3" w:rsidP="005D57C1">
      <w:pPr>
        <w:ind w:left="567" w:hanging="708"/>
        <w:rPr>
          <w:rFonts w:ascii="OrigGarmnd BT" w:hAnsi="OrigGarmnd BT"/>
          <w:b/>
        </w:rPr>
      </w:pPr>
    </w:p>
    <w:p w:rsidR="00F062E3" w:rsidRPr="006779ED" w:rsidRDefault="00F062E3" w:rsidP="005D57C1">
      <w:pPr>
        <w:ind w:left="567" w:hanging="708"/>
        <w:rPr>
          <w:rFonts w:ascii="OrigGarmnd BT" w:hAnsi="OrigGarmnd BT"/>
        </w:rPr>
      </w:pPr>
      <w:r w:rsidRPr="006779ED">
        <w:rPr>
          <w:rFonts w:ascii="OrigGarmnd BT" w:hAnsi="OrigGarmnd BT"/>
        </w:rPr>
        <w:t>-</w:t>
      </w:r>
    </w:p>
    <w:p w:rsidR="005D57C1" w:rsidRPr="006779ED" w:rsidRDefault="005D57C1" w:rsidP="005D57C1"/>
    <w:p w:rsidR="005D57C1" w:rsidRPr="006779ED" w:rsidRDefault="005D57C1" w:rsidP="005D57C1"/>
    <w:p w:rsidR="00566070" w:rsidRPr="006779ED" w:rsidRDefault="00566070" w:rsidP="00566070">
      <w:pPr>
        <w:pStyle w:val="RKnormal"/>
      </w:pPr>
    </w:p>
    <w:p w:rsidR="00566070" w:rsidRPr="006779ED" w:rsidRDefault="00226967" w:rsidP="00566070">
      <w:pPr>
        <w:pStyle w:val="RKnormal"/>
        <w:rPr>
          <w:b/>
        </w:rPr>
      </w:pPr>
      <w:r w:rsidRPr="006779ED">
        <w:rPr>
          <w:b/>
        </w:rPr>
        <w:tab/>
      </w:r>
      <w:r w:rsidR="00566070" w:rsidRPr="006779ED">
        <w:rPr>
          <w:b/>
        </w:rPr>
        <w:t>***</w:t>
      </w:r>
    </w:p>
    <w:p w:rsidR="00566070" w:rsidRPr="006779ED" w:rsidRDefault="00566070" w:rsidP="00566070"/>
    <w:p w:rsidR="00127A53" w:rsidRPr="006779ED" w:rsidRDefault="00127A53"/>
    <w:sectPr w:rsidR="00127A53" w:rsidRPr="006779ED" w:rsidSect="00566070">
      <w:headerReference w:type="even" r:id="rId7"/>
      <w:headerReference w:type="default" r:id="rId8"/>
      <w:headerReference w:type="first" r:id="rId9"/>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E57" w:rsidRPr="006779ED" w:rsidRDefault="00905E57">
      <w:r w:rsidRPr="006779ED">
        <w:separator/>
      </w:r>
    </w:p>
  </w:endnote>
  <w:endnote w:type="continuationSeparator" w:id="0">
    <w:p w:rsidR="00905E57" w:rsidRPr="006779ED" w:rsidRDefault="00905E57">
      <w:r w:rsidRPr="006779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E57" w:rsidRPr="006779ED" w:rsidRDefault="00905E57">
      <w:r w:rsidRPr="006779ED">
        <w:separator/>
      </w:r>
    </w:p>
  </w:footnote>
  <w:footnote w:type="continuationSeparator" w:id="0">
    <w:p w:rsidR="00905E57" w:rsidRPr="006779ED" w:rsidRDefault="00905E57">
      <w:r w:rsidRPr="006779ED">
        <w:continuationSeparator/>
      </w:r>
    </w:p>
  </w:footnote>
  <w:footnote w:id="1">
    <w:p w:rsidR="00905E57" w:rsidRPr="006779ED" w:rsidRDefault="00905E57" w:rsidP="00566070">
      <w:pPr>
        <w:pStyle w:val="Fotnotstext"/>
        <w:rPr>
          <w:rFonts w:ascii="OrigGarmnd BT" w:hAnsi="OrigGarmnd BT"/>
          <w:lang w:val="sv-SE"/>
        </w:rPr>
      </w:pPr>
      <w:r w:rsidRPr="006779ED">
        <w:rPr>
          <w:rStyle w:val="Fotnotsreferens"/>
          <w:lang w:val="sv-SE"/>
        </w:rPr>
        <w:footnoteRef/>
      </w:r>
      <w:r w:rsidRPr="006779ED">
        <w:rPr>
          <w:rFonts w:ascii="OrigGarmnd BT" w:hAnsi="OrigGarmnd BT"/>
          <w:lang w:val="sv-SE"/>
        </w:rPr>
        <w:t xml:space="preserve"> I enlighet med rådets arbetsordning delas dagordningen upp i två delar “</w:t>
      </w:r>
      <w:r w:rsidRPr="006779ED">
        <w:rPr>
          <w:rFonts w:ascii="OrigGarmnd BT" w:hAnsi="OrigGarmnd BT"/>
          <w:i/>
          <w:lang w:val="sv-SE"/>
        </w:rPr>
        <w:t>Lagstiftningsöverläggningar</w:t>
      </w:r>
      <w:r w:rsidRPr="006779ED">
        <w:rPr>
          <w:rFonts w:ascii="OrigGarmnd BT" w:hAnsi="OrigGarmnd BT"/>
          <w:lang w:val="sv-SE"/>
        </w:rPr>
        <w:t>” respektive “</w:t>
      </w:r>
      <w:r w:rsidRPr="006779ED">
        <w:rPr>
          <w:rFonts w:ascii="OrigGarmnd BT" w:hAnsi="OrigGarmnd BT"/>
          <w:i/>
          <w:lang w:val="sv-SE"/>
        </w:rPr>
        <w:t>Överläggningar om icke lagstiftande verksamhet</w:t>
      </w:r>
      <w:r w:rsidRPr="006779ED">
        <w:rPr>
          <w:rFonts w:ascii="OrigGarmnd BT" w:hAnsi="OrigGarmnd BT"/>
          <w:lang w:val="sv-SE"/>
        </w:rPr>
        <w:t xml:space="preserve">”.  Rådets sammanträden ska vara offentliga när det överlägger och röstar till ett utkast till lagstiftningsakt. Se vidare artiklarna 3, 5 och 7 Rådets arbetsordning (dok. 16525/09 JUR 495 POLGEN 206). </w:t>
      </w:r>
    </w:p>
  </w:footnote>
  <w:footnote w:id="2">
    <w:p w:rsidR="00905E57" w:rsidRPr="006779ED" w:rsidRDefault="00905E57" w:rsidP="00905E57">
      <w:pPr>
        <w:pStyle w:val="Fotnotstext"/>
        <w:rPr>
          <w:lang w:val="sv-SE"/>
        </w:rPr>
      </w:pPr>
      <w:r w:rsidRPr="006779ED">
        <w:rPr>
          <w:rStyle w:val="Fotnotsreferens"/>
          <w:lang w:val="sv-SE"/>
        </w:rPr>
        <w:footnoteRef/>
      </w:r>
      <w:r w:rsidRPr="006779ED">
        <w:rPr>
          <w:lang w:val="sv-SE"/>
        </w:rPr>
        <w:t xml:space="preserve"> Prop. (2007/08:83) Godkännande av Prümrådsbeslutet</w:t>
      </w:r>
    </w:p>
  </w:footnote>
  <w:footnote w:id="3">
    <w:p w:rsidR="00905E57" w:rsidRPr="006779ED" w:rsidRDefault="00905E57" w:rsidP="00905E57">
      <w:pPr>
        <w:pStyle w:val="Fotnotstext"/>
        <w:rPr>
          <w:lang w:val="sv-SE"/>
        </w:rPr>
      </w:pPr>
      <w:r w:rsidRPr="006779ED">
        <w:rPr>
          <w:rStyle w:val="Fotnotsreferens"/>
          <w:lang w:val="sv-SE"/>
        </w:rPr>
        <w:footnoteRef/>
      </w:r>
      <w:r w:rsidRPr="006779ED">
        <w:rPr>
          <w:lang w:val="sv-SE"/>
        </w:rPr>
        <w:t xml:space="preserve"> Rådets slutsatser om en informationshanteringsstrategi för EU:s inre säkerhet (16637/09 JAI 873 CATS 131 ASIM 137 JUSTCIV 249 JURINFO 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E57" w:rsidRPr="006779ED" w:rsidRDefault="00905E57">
    <w:pPr>
      <w:pStyle w:val="Sidhuvud"/>
      <w:framePr w:wrap="around" w:vAnchor="text" w:hAnchor="margin" w:xAlign="right" w:y="1"/>
      <w:rPr>
        <w:rStyle w:val="Sidnummer"/>
      </w:rPr>
    </w:pPr>
    <w:r w:rsidRPr="006779ED">
      <w:rPr>
        <w:rStyle w:val="Sidnummer"/>
      </w:rPr>
      <w:fldChar w:fldCharType="begin" w:fldLock="1"/>
    </w:r>
    <w:r w:rsidRPr="006779ED">
      <w:rPr>
        <w:rStyle w:val="Sidnummer"/>
      </w:rPr>
      <w:instrText xml:space="preserve">PAGE  </w:instrText>
    </w:r>
    <w:r w:rsidRPr="006779ED">
      <w:rPr>
        <w:rStyle w:val="Sidnummer"/>
      </w:rPr>
      <w:fldChar w:fldCharType="separate"/>
    </w:r>
    <w:r w:rsidRPr="006779ED">
      <w:rPr>
        <w:rStyle w:val="Sidnummer"/>
      </w:rPr>
      <w:t>4</w:t>
    </w:r>
    <w:r w:rsidRPr="006779ED">
      <w:rPr>
        <w:rStyle w:val="Sidnummer"/>
      </w:rPr>
      <w:fldChar w:fldCharType="end"/>
    </w:r>
  </w:p>
  <w:p w:rsidR="00905E57" w:rsidRPr="006779ED" w:rsidRDefault="00905E57">
    <w:pPr>
      <w:pStyle w:val="Sidhuvud"/>
      <w:ind w:right="360"/>
    </w:pPr>
  </w:p>
  <w:p w:rsidR="00905E57" w:rsidRPr="006779ED" w:rsidRDefault="00905E5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E57" w:rsidRPr="006779ED" w:rsidRDefault="00905E57">
    <w:pPr>
      <w:pStyle w:val="Sidhuvud"/>
      <w:framePr w:wrap="around" w:vAnchor="text" w:hAnchor="margin" w:xAlign="right" w:y="1"/>
      <w:rPr>
        <w:rStyle w:val="Sidnummer"/>
      </w:rPr>
    </w:pPr>
    <w:r w:rsidRPr="006779ED">
      <w:rPr>
        <w:rStyle w:val="Sidnummer"/>
      </w:rPr>
      <w:fldChar w:fldCharType="begin" w:fldLock="1"/>
    </w:r>
    <w:r w:rsidRPr="006779ED">
      <w:rPr>
        <w:rStyle w:val="Sidnummer"/>
      </w:rPr>
      <w:instrText xml:space="preserve">PAGE  </w:instrText>
    </w:r>
    <w:r w:rsidRPr="006779ED">
      <w:rPr>
        <w:rStyle w:val="Sidnummer"/>
      </w:rPr>
      <w:fldChar w:fldCharType="separate"/>
    </w:r>
    <w:r w:rsidR="002C204E" w:rsidRPr="006779ED">
      <w:rPr>
        <w:rStyle w:val="Sidnummer"/>
      </w:rPr>
      <w:t>15</w:t>
    </w:r>
    <w:r w:rsidRPr="006779ED">
      <w:rPr>
        <w:rStyle w:val="Sidnummer"/>
      </w:rPr>
      <w:fldChar w:fldCharType="end"/>
    </w:r>
  </w:p>
  <w:p w:rsidR="00905E57" w:rsidRPr="006779ED" w:rsidRDefault="00905E57">
    <w:pPr>
      <w:pStyle w:val="Sidhuvud"/>
      <w:ind w:right="360"/>
    </w:pPr>
  </w:p>
  <w:p w:rsidR="00905E57" w:rsidRPr="006779ED" w:rsidRDefault="00905E5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E57" w:rsidRPr="006779ED" w:rsidRDefault="006779ED">
    <w:pPr>
      <w:framePr w:w="2948" w:h="1321" w:hRule="exact" w:wrap="notBeside" w:vAnchor="page" w:hAnchor="page" w:x="1362" w:y="653"/>
    </w:pPr>
    <w:r w:rsidRPr="006779E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05E57" w:rsidRPr="006779ED" w:rsidRDefault="00905E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num w:numId="1" w16cid:durableId="7602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53"/>
    <w:rsid w:val="00027A00"/>
    <w:rsid w:val="00093626"/>
    <w:rsid w:val="00127A53"/>
    <w:rsid w:val="00177F46"/>
    <w:rsid w:val="001A3B14"/>
    <w:rsid w:val="001D4F4E"/>
    <w:rsid w:val="001D6B50"/>
    <w:rsid w:val="00226967"/>
    <w:rsid w:val="00242309"/>
    <w:rsid w:val="002C204E"/>
    <w:rsid w:val="002E7F71"/>
    <w:rsid w:val="003708FA"/>
    <w:rsid w:val="0052449B"/>
    <w:rsid w:val="00566070"/>
    <w:rsid w:val="00587385"/>
    <w:rsid w:val="005D57C1"/>
    <w:rsid w:val="006779ED"/>
    <w:rsid w:val="0074400C"/>
    <w:rsid w:val="008A47E9"/>
    <w:rsid w:val="00905E57"/>
    <w:rsid w:val="009760D4"/>
    <w:rsid w:val="00A60EB9"/>
    <w:rsid w:val="00AA60BA"/>
    <w:rsid w:val="00B53E6F"/>
    <w:rsid w:val="00B56E92"/>
    <w:rsid w:val="00BB2D62"/>
    <w:rsid w:val="00CA7385"/>
    <w:rsid w:val="00D00C58"/>
    <w:rsid w:val="00DA6B22"/>
    <w:rsid w:val="00DD3CD6"/>
    <w:rsid w:val="00E23643"/>
    <w:rsid w:val="00EF0F9D"/>
    <w:rsid w:val="00F045B2"/>
    <w:rsid w:val="00F062E3"/>
    <w:rsid w:val="00F27272"/>
    <w:rsid w:val="00F5405E"/>
    <w:rsid w:val="00F6137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123903-8AA4-4F30-A237-970BF831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rsid w:val="0052449B"/>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52449B"/>
    <w:pPr>
      <w:tabs>
        <w:tab w:val="left" w:pos="1134"/>
      </w:tabs>
      <w:overflowPunct w:val="0"/>
      <w:autoSpaceDE w:val="0"/>
      <w:autoSpaceDN w:val="0"/>
      <w:adjustRightInd w:val="0"/>
      <w:spacing w:before="360" w:after="160" w:line="320" w:lineRule="atLeast"/>
      <w:textAlignment w:val="baseline"/>
      <w:outlineLvl w:val="1"/>
    </w:pPr>
    <w:rPr>
      <w:rFonts w:ascii="TradeGothic" w:hAnsi="TradeGothic" w:cs="Times New Roman"/>
      <w:bCs w:val="0"/>
      <w:kern w:val="28"/>
      <w:sz w:val="22"/>
      <w:szCs w:val="20"/>
      <w:lang w:eastAsia="en-US"/>
    </w:rPr>
  </w:style>
  <w:style w:type="paragraph" w:styleId="Rubrik4">
    <w:name w:val="heading 4"/>
    <w:basedOn w:val="Normal"/>
    <w:next w:val="Normal"/>
    <w:qFormat/>
    <w:rsid w:val="00DA6B22"/>
    <w:pPr>
      <w:keepNext/>
      <w:spacing w:before="240" w:after="60"/>
      <w:outlineLvl w:val="3"/>
    </w:pPr>
    <w:rPr>
      <w:b/>
      <w:bCs/>
      <w:sz w:val="28"/>
      <w:szCs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566070"/>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Sidhuvud">
    <w:name w:val="header"/>
    <w:basedOn w:val="Normal"/>
    <w:rsid w:val="00566070"/>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paragraph" w:customStyle="1" w:styleId="RKnormal">
    <w:name w:val="RKnormal"/>
    <w:basedOn w:val="Normal"/>
    <w:link w:val="RKnormalChar"/>
    <w:rsid w:val="00566070"/>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566070"/>
    <w:pPr>
      <w:keepNext/>
      <w:tabs>
        <w:tab w:val="left" w:pos="1134"/>
      </w:tabs>
      <w:spacing w:before="360" w:after="120"/>
    </w:pPr>
    <w:rPr>
      <w:rFonts w:ascii="TradeGothic" w:hAnsi="TradeGothic"/>
      <w:b/>
      <w:sz w:val="22"/>
    </w:rPr>
  </w:style>
  <w:style w:type="character" w:styleId="Sidnummer">
    <w:name w:val="page number"/>
    <w:basedOn w:val="Standardstycketeckensnitt"/>
    <w:rsid w:val="00566070"/>
  </w:style>
  <w:style w:type="paragraph" w:styleId="Fotnotstext">
    <w:name w:val="footnote text"/>
    <w:basedOn w:val="Normal"/>
    <w:link w:val="FotnotstextChar"/>
    <w:semiHidden/>
    <w:rsid w:val="00566070"/>
    <w:rPr>
      <w:sz w:val="20"/>
      <w:szCs w:val="20"/>
      <w:lang w:val="en-GB" w:eastAsia="en-US"/>
    </w:rPr>
  </w:style>
  <w:style w:type="character" w:styleId="Fotnotsreferens">
    <w:name w:val="footnote reference"/>
    <w:basedOn w:val="Standardstycketeckensnitt"/>
    <w:semiHidden/>
    <w:rsid w:val="00566070"/>
    <w:rPr>
      <w:vertAlign w:val="superscript"/>
    </w:rPr>
  </w:style>
  <w:style w:type="character" w:customStyle="1" w:styleId="RKnormalChar">
    <w:name w:val="RKnormal Char"/>
    <w:basedOn w:val="Standardstycketeckensnitt"/>
    <w:link w:val="RKnormal"/>
    <w:rsid w:val="00566070"/>
    <w:rPr>
      <w:rFonts w:ascii="OrigGarmnd BT" w:hAnsi="OrigGarmnd BT"/>
      <w:sz w:val="24"/>
      <w:lang w:val="sv-SE" w:eastAsia="en-US" w:bidi="ar-SA"/>
    </w:rPr>
  </w:style>
  <w:style w:type="paragraph" w:styleId="Normaltindrag">
    <w:name w:val="Normal Indent"/>
    <w:basedOn w:val="Normal"/>
    <w:rsid w:val="00566070"/>
    <w:pPr>
      <w:spacing w:line="245" w:lineRule="exact"/>
      <w:ind w:firstLine="170"/>
      <w:jc w:val="both"/>
    </w:pPr>
    <w:rPr>
      <w:sz w:val="19"/>
      <w:szCs w:val="20"/>
    </w:rPr>
  </w:style>
  <w:style w:type="paragraph" w:customStyle="1" w:styleId="Par-number1">
    <w:name w:val="Par-number 1)"/>
    <w:basedOn w:val="Normal"/>
    <w:next w:val="Normal"/>
    <w:rsid w:val="005D57C1"/>
    <w:pPr>
      <w:widowControl w:val="0"/>
      <w:numPr>
        <w:numId w:val="1"/>
      </w:numPr>
      <w:spacing w:line="360" w:lineRule="auto"/>
    </w:pPr>
    <w:rPr>
      <w:szCs w:val="20"/>
      <w:lang w:eastAsia="fr-BE"/>
    </w:rPr>
  </w:style>
  <w:style w:type="character" w:customStyle="1" w:styleId="FotnotstextChar">
    <w:name w:val="Fotnotstext Char"/>
    <w:basedOn w:val="Standardstycketeckensnitt"/>
    <w:link w:val="Fotnotstext"/>
    <w:rsid w:val="00905E57"/>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3571</Words>
  <Characters>23429</Characters>
  <Application>Microsoft Office Word</Application>
  <DocSecurity>4</DocSecurity>
  <Lines>709</Lines>
  <Paragraphs>257</Paragraphs>
  <ScaleCrop>false</ScaleCrop>
  <HeadingPairs>
    <vt:vector size="2" baseType="variant">
      <vt:variant>
        <vt:lpstr>Rubrik</vt:lpstr>
      </vt:variant>
      <vt:variant>
        <vt:i4>1</vt:i4>
      </vt:variant>
    </vt:vector>
  </HeadingPairs>
  <TitlesOfParts>
    <vt:vector size="1" baseType="lpstr">
      <vt:lpstr>  </vt:lpstr>
    </vt:vector>
  </TitlesOfParts>
  <Company>Regeringskansliet</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dc:description/>
  <cp:lastModifiedBy>Lars Brink</cp:lastModifiedBy>
  <cp:revision>2</cp:revision>
  <cp:lastPrinted>2010-11-01T12:14:00Z</cp:lastPrinted>
  <dcterms:created xsi:type="dcterms:W3CDTF">2025-12-18T03:49:00Z</dcterms:created>
  <dcterms:modified xsi:type="dcterms:W3CDTF">2025-12-18T03:49:00Z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Subject">
    <vt:lpwstr/>
  </property>
  <property fmtid="{D5CDD505-2E9C-101B-9397-08002B2CF9AE}" pid="4" name="Keywords">
    <vt:lpwstr/>
  </property>
  <property fmtid="{D5CDD505-2E9C-101B-9397-08002B2CF9AE}" pid="5" name="_Author">
    <vt:lpwstr>anna.andersson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RKOrdnaDepartement">
    <vt:lpwstr>Justitiedepartementet</vt:lpwstr>
  </property>
  <property fmtid="{D5CDD505-2E9C-101B-9397-08002B2CF9AE}" pid="12" name="RKOrdnaActivityCategory">
    <vt:lpwstr>4.1. Europeiska unionen</vt:lpwstr>
  </property>
  <property fmtid="{D5CDD505-2E9C-101B-9397-08002B2CF9AE}" pid="13" name="RKOrdnaDiarienummer">
    <vt:lpwstr/>
  </property>
  <property fmtid="{D5CDD505-2E9C-101B-9397-08002B2CF9AE}" pid="14" name="RKOrdnaSearchKeywords">
    <vt:lpwstr/>
  </property>
  <property fmtid="{D5CDD505-2E9C-101B-9397-08002B2CF9AE}" pid="15" name="RKOrdnaSarskildSkyddsvard">
    <vt:lpwstr>0</vt:lpwstr>
  </property>
</Properties>
</file>