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924432" w:rsidTr="00B650A1">
        <w:tblPrEx>
          <w:tblCellMar>
            <w:top w:w="0" w:type="dxa"/>
            <w:bottom w:w="0" w:type="dxa"/>
          </w:tblCellMar>
        </w:tblPrEx>
        <w:tc>
          <w:tcPr>
            <w:tcW w:w="2268" w:type="dxa"/>
          </w:tcPr>
          <w:p w:rsidR="006E4E11" w:rsidRPr="0092443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924432" w:rsidRDefault="006E4E11" w:rsidP="007242A3">
            <w:pPr>
              <w:framePr w:w="5035" w:h="1644" w:wrap="notBeside" w:vAnchor="page" w:hAnchor="page" w:x="6573" w:y="721"/>
              <w:rPr>
                <w:rFonts w:ascii="TradeGothic" w:hAnsi="TradeGothic"/>
                <w:i/>
                <w:sz w:val="18"/>
              </w:rPr>
            </w:pPr>
          </w:p>
        </w:tc>
      </w:tr>
      <w:tr w:rsidR="00B650A1" w:rsidRPr="00924432" w:rsidTr="00B650A1">
        <w:tblPrEx>
          <w:tblCellMar>
            <w:top w:w="0" w:type="dxa"/>
            <w:bottom w:w="0" w:type="dxa"/>
          </w:tblCellMar>
        </w:tblPrEx>
        <w:tc>
          <w:tcPr>
            <w:tcW w:w="5267" w:type="dxa"/>
            <w:gridSpan w:val="3"/>
          </w:tcPr>
          <w:p w:rsidR="00B650A1" w:rsidRPr="00924432" w:rsidRDefault="005537B9" w:rsidP="007242A3">
            <w:pPr>
              <w:framePr w:w="5035" w:h="1644" w:wrap="notBeside" w:vAnchor="page" w:hAnchor="page" w:x="6573" w:y="721"/>
              <w:rPr>
                <w:rFonts w:ascii="TradeGothic" w:hAnsi="TradeGothic"/>
                <w:b/>
                <w:sz w:val="22"/>
              </w:rPr>
            </w:pPr>
            <w:r w:rsidRPr="00924432">
              <w:rPr>
                <w:rFonts w:ascii="TradeGothic" w:hAnsi="TradeGothic"/>
                <w:b/>
                <w:sz w:val="22"/>
              </w:rPr>
              <w:t>PM till riksdagen</w:t>
            </w:r>
          </w:p>
        </w:tc>
      </w:tr>
      <w:tr w:rsidR="006E4E11" w:rsidRPr="00924432" w:rsidTr="00B650A1">
        <w:tblPrEx>
          <w:tblCellMar>
            <w:top w:w="0" w:type="dxa"/>
            <w:bottom w:w="0" w:type="dxa"/>
          </w:tblCellMar>
        </w:tblPrEx>
        <w:tc>
          <w:tcPr>
            <w:tcW w:w="3402" w:type="dxa"/>
            <w:gridSpan w:val="2"/>
          </w:tcPr>
          <w:p w:rsidR="006E4E11" w:rsidRPr="00924432" w:rsidRDefault="006E4E11" w:rsidP="007242A3">
            <w:pPr>
              <w:framePr w:w="5035" w:h="1644" w:wrap="notBeside" w:vAnchor="page" w:hAnchor="page" w:x="6573" w:y="721"/>
            </w:pPr>
          </w:p>
        </w:tc>
        <w:tc>
          <w:tcPr>
            <w:tcW w:w="1865" w:type="dxa"/>
          </w:tcPr>
          <w:p w:rsidR="006E4E11" w:rsidRPr="00924432" w:rsidRDefault="006E4E11" w:rsidP="007242A3">
            <w:pPr>
              <w:framePr w:w="5035" w:h="1644" w:wrap="notBeside" w:vAnchor="page" w:hAnchor="page" w:x="6573" w:y="721"/>
            </w:pPr>
          </w:p>
        </w:tc>
      </w:tr>
      <w:tr w:rsidR="006E4E11" w:rsidRPr="00924432" w:rsidTr="00B650A1">
        <w:tblPrEx>
          <w:tblCellMar>
            <w:top w:w="0" w:type="dxa"/>
            <w:bottom w:w="0" w:type="dxa"/>
          </w:tblCellMar>
        </w:tblPrEx>
        <w:tc>
          <w:tcPr>
            <w:tcW w:w="2268" w:type="dxa"/>
          </w:tcPr>
          <w:p w:rsidR="002768B7" w:rsidRPr="00924432" w:rsidRDefault="004931A8" w:rsidP="007242A3">
            <w:pPr>
              <w:framePr w:w="5035" w:h="1644" w:wrap="notBeside" w:vAnchor="page" w:hAnchor="page" w:x="6573" w:y="721"/>
            </w:pPr>
            <w:r w:rsidRPr="00924432">
              <w:t>201</w:t>
            </w:r>
            <w:r w:rsidR="002768B7" w:rsidRPr="00924432">
              <w:t>1-05-20</w:t>
            </w:r>
          </w:p>
        </w:tc>
        <w:tc>
          <w:tcPr>
            <w:tcW w:w="2999" w:type="dxa"/>
            <w:gridSpan w:val="2"/>
          </w:tcPr>
          <w:p w:rsidR="006E4E11" w:rsidRPr="00924432" w:rsidRDefault="006E4E11" w:rsidP="007242A3">
            <w:pPr>
              <w:framePr w:w="5035" w:h="1644" w:wrap="notBeside" w:vAnchor="page" w:hAnchor="page" w:x="6573" w:y="721"/>
            </w:pPr>
          </w:p>
        </w:tc>
      </w:tr>
      <w:tr w:rsidR="006E4E11" w:rsidRPr="00924432" w:rsidTr="00B650A1">
        <w:tblPrEx>
          <w:tblCellMar>
            <w:top w:w="0" w:type="dxa"/>
            <w:bottom w:w="0" w:type="dxa"/>
          </w:tblCellMar>
        </w:tblPrEx>
        <w:tc>
          <w:tcPr>
            <w:tcW w:w="2268" w:type="dxa"/>
          </w:tcPr>
          <w:p w:rsidR="006E4E11" w:rsidRPr="00924432" w:rsidRDefault="006E4E11" w:rsidP="007242A3">
            <w:pPr>
              <w:framePr w:w="5035" w:h="1644" w:wrap="notBeside" w:vAnchor="page" w:hAnchor="page" w:x="6573" w:y="721"/>
            </w:pPr>
          </w:p>
        </w:tc>
        <w:tc>
          <w:tcPr>
            <w:tcW w:w="2999" w:type="dxa"/>
            <w:gridSpan w:val="2"/>
          </w:tcPr>
          <w:p w:rsidR="006E4E11" w:rsidRPr="0092443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924432">
        <w:tblPrEx>
          <w:tblCellMar>
            <w:top w:w="0" w:type="dxa"/>
            <w:bottom w:w="0" w:type="dxa"/>
          </w:tblCellMar>
        </w:tblPrEx>
        <w:trPr>
          <w:trHeight w:val="284"/>
        </w:trPr>
        <w:tc>
          <w:tcPr>
            <w:tcW w:w="4911" w:type="dxa"/>
          </w:tcPr>
          <w:p w:rsidR="006E4E11" w:rsidRPr="00924432" w:rsidRDefault="00B650A1">
            <w:pPr>
              <w:pStyle w:val="Avsndare"/>
              <w:framePr w:h="2483" w:wrap="notBeside" w:x="1504"/>
              <w:rPr>
                <w:b/>
                <w:i w:val="0"/>
                <w:sz w:val="22"/>
              </w:rPr>
            </w:pPr>
            <w:r w:rsidRPr="00924432">
              <w:rPr>
                <w:b/>
                <w:i w:val="0"/>
                <w:sz w:val="22"/>
              </w:rPr>
              <w:t>Utrikesdepartementet</w:t>
            </w:r>
          </w:p>
        </w:tc>
      </w:tr>
      <w:tr w:rsidR="006E4E11" w:rsidRPr="00924432">
        <w:tblPrEx>
          <w:tblCellMar>
            <w:top w:w="0" w:type="dxa"/>
            <w:bottom w:w="0" w:type="dxa"/>
          </w:tblCellMar>
        </w:tblPrEx>
        <w:trPr>
          <w:trHeight w:val="284"/>
        </w:trPr>
        <w:tc>
          <w:tcPr>
            <w:tcW w:w="4911" w:type="dxa"/>
          </w:tcPr>
          <w:p w:rsidR="006E4E11" w:rsidRPr="00924432" w:rsidRDefault="006E4E11">
            <w:pPr>
              <w:pStyle w:val="Avsndare"/>
              <w:framePr w:h="2483" w:wrap="notBeside" w:x="1504"/>
              <w:rPr>
                <w:bCs/>
                <w:iCs/>
              </w:rPr>
            </w:pPr>
          </w:p>
        </w:tc>
      </w:tr>
      <w:tr w:rsidR="006E4E11" w:rsidRPr="00924432">
        <w:tblPrEx>
          <w:tblCellMar>
            <w:top w:w="0" w:type="dxa"/>
            <w:bottom w:w="0" w:type="dxa"/>
          </w:tblCellMar>
        </w:tblPrEx>
        <w:trPr>
          <w:trHeight w:val="284"/>
        </w:trPr>
        <w:tc>
          <w:tcPr>
            <w:tcW w:w="4911" w:type="dxa"/>
          </w:tcPr>
          <w:p w:rsidR="006E4E11" w:rsidRPr="00924432" w:rsidRDefault="00B650A1">
            <w:pPr>
              <w:pStyle w:val="Avsndare"/>
              <w:framePr w:h="2483" w:wrap="notBeside" w:x="1504"/>
              <w:rPr>
                <w:bCs/>
                <w:iCs/>
              </w:rPr>
            </w:pPr>
            <w:r w:rsidRPr="00924432">
              <w:rPr>
                <w:bCs/>
                <w:iCs/>
              </w:rPr>
              <w:t>Enheten för främjande och EU:s inre marknad (UD-FIM)</w:t>
            </w:r>
          </w:p>
        </w:tc>
      </w:tr>
      <w:tr w:rsidR="006E4E11" w:rsidRPr="00924432">
        <w:tblPrEx>
          <w:tblCellMar>
            <w:top w:w="0" w:type="dxa"/>
            <w:bottom w:w="0" w:type="dxa"/>
          </w:tblCellMar>
        </w:tblPrEx>
        <w:trPr>
          <w:trHeight w:val="284"/>
        </w:trPr>
        <w:tc>
          <w:tcPr>
            <w:tcW w:w="4911" w:type="dxa"/>
          </w:tcPr>
          <w:p w:rsidR="006E4E11" w:rsidRPr="00924432" w:rsidRDefault="006E4E11">
            <w:pPr>
              <w:pStyle w:val="Avsndare"/>
              <w:framePr w:h="2483" w:wrap="notBeside" w:x="1504"/>
              <w:rPr>
                <w:bCs/>
                <w:iCs/>
              </w:rPr>
            </w:pPr>
          </w:p>
        </w:tc>
      </w:tr>
      <w:tr w:rsidR="006E4E11" w:rsidRPr="00924432">
        <w:tblPrEx>
          <w:tblCellMar>
            <w:top w:w="0" w:type="dxa"/>
            <w:bottom w:w="0" w:type="dxa"/>
          </w:tblCellMar>
        </w:tblPrEx>
        <w:trPr>
          <w:trHeight w:val="284"/>
        </w:trPr>
        <w:tc>
          <w:tcPr>
            <w:tcW w:w="4911" w:type="dxa"/>
          </w:tcPr>
          <w:p w:rsidR="006E4E11" w:rsidRPr="00924432" w:rsidRDefault="006E4E11">
            <w:pPr>
              <w:pStyle w:val="Avsndare"/>
              <w:framePr w:h="2483" w:wrap="notBeside" w:x="1504"/>
              <w:rPr>
                <w:bCs/>
                <w:iCs/>
              </w:rPr>
            </w:pPr>
          </w:p>
        </w:tc>
      </w:tr>
      <w:tr w:rsidR="006E4E11" w:rsidRPr="00924432">
        <w:tblPrEx>
          <w:tblCellMar>
            <w:top w:w="0" w:type="dxa"/>
            <w:bottom w:w="0" w:type="dxa"/>
          </w:tblCellMar>
        </w:tblPrEx>
        <w:trPr>
          <w:trHeight w:val="284"/>
        </w:trPr>
        <w:tc>
          <w:tcPr>
            <w:tcW w:w="4911" w:type="dxa"/>
          </w:tcPr>
          <w:p w:rsidR="006E4E11" w:rsidRPr="00924432" w:rsidRDefault="006E4E11">
            <w:pPr>
              <w:pStyle w:val="Avsndare"/>
              <w:framePr w:h="2483" w:wrap="notBeside" w:x="1504"/>
              <w:rPr>
                <w:bCs/>
                <w:iCs/>
              </w:rPr>
            </w:pPr>
          </w:p>
        </w:tc>
      </w:tr>
      <w:tr w:rsidR="006E4E11" w:rsidRPr="00924432">
        <w:tblPrEx>
          <w:tblCellMar>
            <w:top w:w="0" w:type="dxa"/>
            <w:bottom w:w="0" w:type="dxa"/>
          </w:tblCellMar>
        </w:tblPrEx>
        <w:trPr>
          <w:trHeight w:val="284"/>
        </w:trPr>
        <w:tc>
          <w:tcPr>
            <w:tcW w:w="4911" w:type="dxa"/>
          </w:tcPr>
          <w:p w:rsidR="006E4E11" w:rsidRPr="00924432" w:rsidRDefault="006E4E11">
            <w:pPr>
              <w:pStyle w:val="Avsndare"/>
              <w:framePr w:h="2483" w:wrap="notBeside" w:x="1504"/>
              <w:rPr>
                <w:bCs/>
                <w:iCs/>
              </w:rPr>
            </w:pPr>
          </w:p>
        </w:tc>
      </w:tr>
      <w:tr w:rsidR="006E4E11" w:rsidRPr="00924432">
        <w:tblPrEx>
          <w:tblCellMar>
            <w:top w:w="0" w:type="dxa"/>
            <w:bottom w:w="0" w:type="dxa"/>
          </w:tblCellMar>
        </w:tblPrEx>
        <w:trPr>
          <w:trHeight w:val="284"/>
        </w:trPr>
        <w:tc>
          <w:tcPr>
            <w:tcW w:w="4911" w:type="dxa"/>
          </w:tcPr>
          <w:p w:rsidR="006E4E11" w:rsidRPr="00924432" w:rsidRDefault="006E4E11">
            <w:pPr>
              <w:pStyle w:val="Avsndare"/>
              <w:framePr w:h="2483" w:wrap="notBeside" w:x="1504"/>
              <w:rPr>
                <w:bCs/>
                <w:iCs/>
              </w:rPr>
            </w:pPr>
          </w:p>
        </w:tc>
      </w:tr>
      <w:tr w:rsidR="006E4E11" w:rsidRPr="00924432">
        <w:tblPrEx>
          <w:tblCellMar>
            <w:top w:w="0" w:type="dxa"/>
            <w:bottom w:w="0" w:type="dxa"/>
          </w:tblCellMar>
        </w:tblPrEx>
        <w:trPr>
          <w:trHeight w:val="284"/>
        </w:trPr>
        <w:tc>
          <w:tcPr>
            <w:tcW w:w="4911" w:type="dxa"/>
          </w:tcPr>
          <w:p w:rsidR="006E4E11" w:rsidRPr="00924432" w:rsidRDefault="006E4E11">
            <w:pPr>
              <w:pStyle w:val="Avsndare"/>
              <w:framePr w:h="2483" w:wrap="notBeside" w:x="1504"/>
              <w:rPr>
                <w:bCs/>
                <w:iCs/>
              </w:rPr>
            </w:pPr>
          </w:p>
        </w:tc>
      </w:tr>
    </w:tbl>
    <w:p w:rsidR="006E4E11" w:rsidRPr="00924432" w:rsidRDefault="006E4E11">
      <w:pPr>
        <w:framePr w:w="4400" w:h="2523" w:wrap="notBeside" w:vAnchor="page" w:hAnchor="page" w:x="6453" w:y="2445"/>
        <w:ind w:left="142"/>
        <w:rPr>
          <w:b/>
        </w:rPr>
      </w:pPr>
    </w:p>
    <w:p w:rsidR="00B650A1" w:rsidRPr="00924432" w:rsidRDefault="00B650A1">
      <w:pPr>
        <w:pStyle w:val="RKrubrik"/>
        <w:pBdr>
          <w:bottom w:val="single" w:sz="6" w:space="1" w:color="auto"/>
        </w:pBdr>
      </w:pPr>
      <w:bookmarkStart w:id="0" w:name="bRubrik"/>
      <w:bookmarkEnd w:id="0"/>
      <w:r w:rsidRPr="00924432">
        <w:t xml:space="preserve">Konkurrenskraftsrådet (KKR) den </w:t>
      </w:r>
      <w:r w:rsidR="002768B7" w:rsidRPr="00924432">
        <w:t>30 maj 2011</w:t>
      </w:r>
    </w:p>
    <w:p w:rsidR="00B650A1" w:rsidRPr="00924432" w:rsidRDefault="00B650A1">
      <w:pPr>
        <w:pStyle w:val="RKnormal"/>
      </w:pPr>
    </w:p>
    <w:p w:rsidR="00B650A1" w:rsidRPr="00924432" w:rsidRDefault="00B650A1">
      <w:pPr>
        <w:pStyle w:val="RKnormal"/>
      </w:pPr>
      <w:r w:rsidRPr="00924432">
        <w:t xml:space="preserve">Dagordningspunkt </w:t>
      </w:r>
      <w:r w:rsidR="002768B7" w:rsidRPr="00924432">
        <w:t>18c</w:t>
      </w:r>
      <w:r w:rsidR="005537B9" w:rsidRPr="00924432">
        <w:t>)</w:t>
      </w:r>
    </w:p>
    <w:p w:rsidR="00B650A1" w:rsidRPr="00924432" w:rsidRDefault="00B650A1">
      <w:pPr>
        <w:pStyle w:val="RKnormal"/>
      </w:pPr>
    </w:p>
    <w:p w:rsidR="002768B7" w:rsidRPr="00924432" w:rsidRDefault="00B650A1" w:rsidP="002768B7">
      <w:pPr>
        <w:spacing w:line="240" w:lineRule="auto"/>
        <w:ind w:left="1134" w:hanging="567"/>
        <w:outlineLvl w:val="0"/>
        <w:rPr>
          <w:u w:val="single"/>
        </w:rPr>
      </w:pPr>
      <w:r w:rsidRPr="00924432">
        <w:t xml:space="preserve">Rubrik: </w:t>
      </w:r>
      <w:r w:rsidR="002768B7" w:rsidRPr="00924432">
        <w:t>(ev.) Nytt europeiskt standardiseringssystem</w:t>
      </w:r>
    </w:p>
    <w:p w:rsidR="002768B7" w:rsidRPr="00924432" w:rsidRDefault="002768B7" w:rsidP="002768B7">
      <w:pPr>
        <w:widowControl w:val="0"/>
        <w:numPr>
          <w:ilvl w:val="0"/>
          <w:numId w:val="1"/>
        </w:numPr>
        <w:overflowPunct/>
        <w:autoSpaceDE/>
        <w:autoSpaceDN/>
        <w:adjustRightInd/>
        <w:spacing w:line="240" w:lineRule="auto"/>
        <w:ind w:left="1134" w:firstLine="0"/>
        <w:jc w:val="both"/>
        <w:textAlignment w:val="auto"/>
      </w:pPr>
      <w:r w:rsidRPr="00924432">
        <w:t xml:space="preserve">Information från </w:t>
      </w:r>
      <w:r w:rsidR="00A12701" w:rsidRPr="00924432">
        <w:t>Kommissionen</w:t>
      </w:r>
    </w:p>
    <w:p w:rsidR="00B650A1" w:rsidRPr="00924432" w:rsidRDefault="00B650A1">
      <w:pPr>
        <w:pStyle w:val="RKnormal"/>
      </w:pPr>
    </w:p>
    <w:p w:rsidR="00B650A1" w:rsidRPr="00924432" w:rsidRDefault="00B650A1">
      <w:pPr>
        <w:pStyle w:val="RKnormal"/>
        <w:rPr>
          <w:i/>
        </w:rPr>
      </w:pPr>
    </w:p>
    <w:p w:rsidR="00B650A1" w:rsidRPr="00924432" w:rsidRDefault="00B650A1">
      <w:pPr>
        <w:pStyle w:val="RKnormal"/>
      </w:pPr>
      <w:r w:rsidRPr="00924432">
        <w:t>Dokument:</w:t>
      </w:r>
      <w:r w:rsidR="004B4946" w:rsidRPr="00924432">
        <w:t xml:space="preserve"> </w:t>
      </w:r>
      <w:r w:rsidR="00E244F1" w:rsidRPr="00924432">
        <w:t>Ej publicerat.</w:t>
      </w:r>
    </w:p>
    <w:p w:rsidR="00F86DED" w:rsidRPr="00924432" w:rsidRDefault="00F86DED">
      <w:pPr>
        <w:pStyle w:val="RKnormal"/>
      </w:pPr>
    </w:p>
    <w:p w:rsidR="004216B5" w:rsidRPr="00924432" w:rsidRDefault="00B650A1">
      <w:pPr>
        <w:pStyle w:val="RKnormal"/>
      </w:pPr>
      <w:r w:rsidRPr="00924432">
        <w:t xml:space="preserve">Tidigare dokument:  </w:t>
      </w:r>
      <w:r w:rsidR="0084319D" w:rsidRPr="00924432">
        <w:t>Föreligger inte.</w:t>
      </w:r>
    </w:p>
    <w:p w:rsidR="0084319D" w:rsidRPr="00924432" w:rsidRDefault="0084319D">
      <w:pPr>
        <w:pStyle w:val="RKnormal"/>
      </w:pPr>
    </w:p>
    <w:p w:rsidR="00B650A1" w:rsidRPr="00924432" w:rsidRDefault="00B650A1">
      <w:pPr>
        <w:pStyle w:val="RKnormal"/>
      </w:pPr>
      <w:r w:rsidRPr="00924432">
        <w:t xml:space="preserve">Tidigare behandlad vid samråd med EU-nämnden: </w:t>
      </w:r>
      <w:r w:rsidR="00F86DED" w:rsidRPr="00924432">
        <w:t>Ej tidigare behandlad.</w:t>
      </w:r>
    </w:p>
    <w:p w:rsidR="00B650A1" w:rsidRPr="00924432" w:rsidRDefault="00B650A1">
      <w:pPr>
        <w:pStyle w:val="RKnormal"/>
      </w:pPr>
    </w:p>
    <w:p w:rsidR="00B650A1" w:rsidRPr="00924432" w:rsidRDefault="00B650A1">
      <w:pPr>
        <w:pStyle w:val="RKrubrik"/>
      </w:pPr>
      <w:r w:rsidRPr="00924432">
        <w:t>Bakgrund</w:t>
      </w:r>
    </w:p>
    <w:p w:rsidR="00F42714" w:rsidRPr="00924432" w:rsidRDefault="007A7C4B">
      <w:pPr>
        <w:pStyle w:val="RKnormal"/>
      </w:pPr>
      <w:r w:rsidRPr="00924432">
        <w:t>Standardisering i Europa är ett privaträttsligt och frivilligt samarbete mellan industri, konsumenter, myndigheter och övriga int</w:t>
      </w:r>
      <w:r w:rsidR="000541D4" w:rsidRPr="00924432">
        <w:t>ressenter. Över de senaste årti</w:t>
      </w:r>
      <w:r w:rsidRPr="00924432">
        <w:t>ondena har standardisering framgångsrikt använts för att genomföra europeisk policy och lagstiftning. Detta gäller särskilt varuområdet, där den s.k. ”nya metoden” för lagstiftning</w:t>
      </w:r>
      <w:r w:rsidR="002F33DD" w:rsidRPr="00924432">
        <w:t xml:space="preserve"> a</w:t>
      </w:r>
      <w:r w:rsidR="00F42714" w:rsidRPr="00924432">
        <w:t>nvä</w:t>
      </w:r>
      <w:r w:rsidR="002F33DD" w:rsidRPr="00924432">
        <w:t>n</w:t>
      </w:r>
      <w:r w:rsidR="00F42714" w:rsidRPr="00924432">
        <w:t xml:space="preserve">ds sedan länge. Metoden bygger på att generella krav på säkerhet för liv och hälsa ställs i rättsakter, med hänvisning till harmoniserad standard för de tekniska kraven. </w:t>
      </w:r>
      <w:r w:rsidR="002F33DD" w:rsidRPr="00924432">
        <w:t>metoden att använda s</w:t>
      </w:r>
      <w:r w:rsidR="00F42714" w:rsidRPr="00924432">
        <w:t xml:space="preserve">tandardisering som stöd för gemensam lagstiftning har också </w:t>
      </w:r>
      <w:r w:rsidR="002F33DD" w:rsidRPr="00924432">
        <w:t>fastslagits</w:t>
      </w:r>
      <w:r w:rsidR="00F42714" w:rsidRPr="00924432">
        <w:t xml:space="preserve"> genom det varupaket med ett gemensamt ramverk för varor som antogs 2008. </w:t>
      </w:r>
    </w:p>
    <w:p w:rsidR="00436094" w:rsidRPr="00924432" w:rsidRDefault="00436094">
      <w:pPr>
        <w:pStyle w:val="RKnormal"/>
      </w:pPr>
    </w:p>
    <w:p w:rsidR="00436094" w:rsidRPr="00924432" w:rsidRDefault="00436094">
      <w:pPr>
        <w:pStyle w:val="RKnormal"/>
      </w:pPr>
      <w:r w:rsidRPr="00924432">
        <w:t>Standardisering, och vikten av att använda standardisering som ett in</w:t>
      </w:r>
      <w:r w:rsidR="002F33DD" w:rsidRPr="00924432">
        <w:t>s</w:t>
      </w:r>
      <w:r w:rsidRPr="00924432">
        <w:t>trument för konkurrenskra</w:t>
      </w:r>
      <w:r w:rsidR="002F33DD" w:rsidRPr="00924432">
        <w:t>f</w:t>
      </w:r>
      <w:r w:rsidRPr="00924432">
        <w:t xml:space="preserve">t och tillväxt, har på senare år nämnts i en rad policydokument från </w:t>
      </w:r>
      <w:r w:rsidR="001D46B9" w:rsidRPr="00924432">
        <w:t>k</w:t>
      </w:r>
      <w:r w:rsidR="00A12701" w:rsidRPr="00924432">
        <w:t>ommissionen</w:t>
      </w:r>
      <w:r w:rsidRPr="00924432">
        <w:t xml:space="preserve">. Kommissionens strategi för EU 2020 betonar </w:t>
      </w:r>
      <w:r w:rsidR="002F33DD" w:rsidRPr="00924432">
        <w:t xml:space="preserve">t.ex. </w:t>
      </w:r>
      <w:r w:rsidRPr="00924432">
        <w:t>vikten av innovation för att nå EU:s strategiska mål, och nämner i denna kontext standarder som en viktig faktor för att förbättra företagens möjlighet att ta fram nya idéer.</w:t>
      </w:r>
    </w:p>
    <w:p w:rsidR="00F42714" w:rsidRPr="00924432" w:rsidRDefault="00F42714">
      <w:pPr>
        <w:pStyle w:val="RKnormal"/>
      </w:pPr>
    </w:p>
    <w:p w:rsidR="00F42714" w:rsidRPr="00924432" w:rsidRDefault="00F42714">
      <w:pPr>
        <w:pStyle w:val="RKnormal"/>
      </w:pPr>
    </w:p>
    <w:p w:rsidR="002768B7" w:rsidRPr="00924432" w:rsidRDefault="002768B7">
      <w:pPr>
        <w:pStyle w:val="RKnormal"/>
      </w:pPr>
      <w:r w:rsidRPr="00924432">
        <w:t xml:space="preserve">Kommissionen har under ett par år förberett ett paket på området för standardisering. 2008 tillsattes en expertgrupp (kallad (EXPRESS) för att ge strategiska rekommendationer till </w:t>
      </w:r>
      <w:r w:rsidR="00A12701" w:rsidRPr="00924432">
        <w:t>Kommissionen</w:t>
      </w:r>
      <w:r w:rsidRPr="00924432">
        <w:t xml:space="preserve"> och andra intressenter om europeisk standardiserings framtid till 2020. EXPRESS-gruppen levererade en rapport (</w:t>
      </w:r>
      <w:r w:rsidRPr="00924432">
        <w:rPr>
          <w:i/>
        </w:rPr>
        <w:t>Standardisering för ett konkurrenskraftigt och innovativt Europa: en vision för 2020</w:t>
      </w:r>
      <w:r w:rsidRPr="00924432">
        <w:t>)</w:t>
      </w:r>
      <w:r w:rsidR="00E244F1" w:rsidRPr="00924432">
        <w:t xml:space="preserve"> i februari 2010, som sedan användes som grund för </w:t>
      </w:r>
      <w:r w:rsidR="00A12701" w:rsidRPr="00924432">
        <w:t>Kommissionen</w:t>
      </w:r>
      <w:r w:rsidR="00E244F1" w:rsidRPr="00924432">
        <w:t xml:space="preserve">s arbete med att ta fram ett standardiseringspaket. </w:t>
      </w:r>
    </w:p>
    <w:p w:rsidR="003E391C" w:rsidRPr="00924432" w:rsidRDefault="003E391C">
      <w:pPr>
        <w:pStyle w:val="RKnormal"/>
      </w:pPr>
    </w:p>
    <w:p w:rsidR="000177D4" w:rsidRPr="00924432" w:rsidRDefault="000177D4">
      <w:pPr>
        <w:pStyle w:val="RKnormal"/>
      </w:pPr>
      <w:r w:rsidRPr="00924432">
        <w:t>Kommissionen</w:t>
      </w:r>
      <w:r w:rsidR="001D46B9" w:rsidRPr="00924432">
        <w:t>s</w:t>
      </w:r>
      <w:r w:rsidRPr="00924432">
        <w:t xml:space="preserve"> paket kommer att bestå av två delar:</w:t>
      </w:r>
    </w:p>
    <w:p w:rsidR="000177D4" w:rsidRPr="00924432" w:rsidRDefault="000177D4">
      <w:pPr>
        <w:pStyle w:val="RKnormal"/>
      </w:pPr>
      <w:r w:rsidRPr="00924432">
        <w:t xml:space="preserve">- ett meddelande </w:t>
      </w:r>
      <w:r w:rsidR="001D46B9" w:rsidRPr="00924432">
        <w:t xml:space="preserve">med </w:t>
      </w:r>
      <w:r w:rsidRPr="00924432">
        <w:t>en strategi för användning av standardisering inom unionens politikområden för att stärka konkurrenskraften i EU:s ekonomi.  Detta avser tjänster, innovation, global handel, hållbar utveckling etc.</w:t>
      </w:r>
    </w:p>
    <w:p w:rsidR="000177D4" w:rsidRPr="00924432" w:rsidRDefault="000177D4">
      <w:pPr>
        <w:pStyle w:val="RKnormal"/>
      </w:pPr>
      <w:r w:rsidRPr="00924432">
        <w:t>- ett lagstiftningspaket där flera beslut och direktiv revideras och slås samman i en förordning.</w:t>
      </w:r>
    </w:p>
    <w:p w:rsidR="009D55E5" w:rsidRPr="00924432" w:rsidRDefault="009D55E5">
      <w:pPr>
        <w:pStyle w:val="RKnormal"/>
      </w:pPr>
    </w:p>
    <w:p w:rsidR="002768B7" w:rsidRPr="00924432" w:rsidRDefault="009D55E5">
      <w:pPr>
        <w:pStyle w:val="RKnormal"/>
      </w:pPr>
      <w:r w:rsidRPr="00924432">
        <w:t xml:space="preserve">Kommissionen förväntas besluta om det nya standardiseringspaketet den </w:t>
      </w:r>
      <w:r w:rsidR="007D7C6A" w:rsidRPr="00924432">
        <w:t xml:space="preserve">1 juni </w:t>
      </w:r>
      <w:r w:rsidRPr="00924432">
        <w:t xml:space="preserve">2011. </w:t>
      </w:r>
    </w:p>
    <w:p w:rsidR="00B650A1" w:rsidRPr="00924432" w:rsidRDefault="00B650A1">
      <w:pPr>
        <w:pStyle w:val="RKrubrik"/>
      </w:pPr>
      <w:r w:rsidRPr="00924432">
        <w:t>Rättslig grund och beslutsförfarande</w:t>
      </w:r>
    </w:p>
    <w:p w:rsidR="00B650A1" w:rsidRPr="00924432" w:rsidRDefault="00B650A1">
      <w:pPr>
        <w:pStyle w:val="RKnormal"/>
      </w:pPr>
      <w:r w:rsidRPr="00924432">
        <w:t>Inte aktuellt; frågan utgör endast en informationspunkt.</w:t>
      </w:r>
    </w:p>
    <w:p w:rsidR="00B650A1" w:rsidRPr="00924432" w:rsidRDefault="00B650A1">
      <w:pPr>
        <w:pStyle w:val="RKrubrik"/>
        <w:rPr>
          <w:i/>
          <w:iCs/>
        </w:rPr>
      </w:pPr>
      <w:r w:rsidRPr="00924432">
        <w:rPr>
          <w:i/>
          <w:iCs/>
        </w:rPr>
        <w:t>Svensk ståndpunkt</w:t>
      </w:r>
    </w:p>
    <w:p w:rsidR="00007C11" w:rsidRPr="00924432" w:rsidRDefault="000804E8" w:rsidP="000804E8">
      <w:pPr>
        <w:pStyle w:val="RKnormal"/>
      </w:pPr>
      <w:r w:rsidRPr="00924432">
        <w:t xml:space="preserve">Sverige välkomnar </w:t>
      </w:r>
      <w:r w:rsidR="00A12701" w:rsidRPr="00924432">
        <w:t>övergripande k</w:t>
      </w:r>
      <w:r w:rsidR="005D6BCD" w:rsidRPr="00924432">
        <w:t xml:space="preserve">ommissionens </w:t>
      </w:r>
      <w:r w:rsidR="009D55E5" w:rsidRPr="00924432">
        <w:t>kommande standardiseringspaket</w:t>
      </w:r>
      <w:r w:rsidRPr="00924432">
        <w:t xml:space="preserve">. </w:t>
      </w:r>
      <w:r w:rsidR="00A12701" w:rsidRPr="00924432">
        <w:t xml:space="preserve">Beträffande enskilda bestämmelser finns ännu ingen ståndpunkt. </w:t>
      </w:r>
    </w:p>
    <w:p w:rsidR="00B650A1" w:rsidRPr="00924432" w:rsidRDefault="00B650A1">
      <w:pPr>
        <w:pStyle w:val="RKrubrik"/>
      </w:pPr>
      <w:r w:rsidRPr="00924432">
        <w:t>Europaparlamentets inställning</w:t>
      </w:r>
    </w:p>
    <w:p w:rsidR="00B650A1" w:rsidRPr="00924432" w:rsidRDefault="00A657B0">
      <w:pPr>
        <w:pStyle w:val="RKnormal"/>
      </w:pPr>
      <w:r w:rsidRPr="00924432">
        <w:t>Europaparlamentet</w:t>
      </w:r>
      <w:r w:rsidR="00D4262E" w:rsidRPr="00924432">
        <w:t xml:space="preserve">s inremarknadsutskott (IMCO) </w:t>
      </w:r>
      <w:r w:rsidR="009D55E5" w:rsidRPr="00924432">
        <w:t xml:space="preserve">presenterade i oktober 2010 en rapport om den europeiska standardiseringens framtid. </w:t>
      </w:r>
      <w:r w:rsidR="00D4262E" w:rsidRPr="00924432">
        <w:t>Rapportör i frågan är Europaparlaments</w:t>
      </w:r>
      <w:r w:rsidR="00D4262E" w:rsidRPr="00924432">
        <w:softHyphen/>
        <w:t xml:space="preserve">ledamoten </w:t>
      </w:r>
      <w:r w:rsidR="009D55E5" w:rsidRPr="00924432">
        <w:t>Edvard Kozusník</w:t>
      </w:r>
      <w:r w:rsidR="00D4262E" w:rsidRPr="00924432">
        <w:t xml:space="preserve">. </w:t>
      </w:r>
      <w:r w:rsidR="009D55E5" w:rsidRPr="00924432">
        <w:t xml:space="preserve">EP välkomnar </w:t>
      </w:r>
      <w:r w:rsidR="00A12701" w:rsidRPr="00924432">
        <w:t>kommissionen</w:t>
      </w:r>
      <w:r w:rsidR="009D55E5" w:rsidRPr="00924432">
        <w:t>s vilja att revidera det europeiska standardiseringssystemet och att bibehålla dess framgångsrika delar samtidigt som förbättringar</w:t>
      </w:r>
      <w:r w:rsidR="002F33DD" w:rsidRPr="00924432">
        <w:t xml:space="preserve"> görs för att effektivisera metoden. EP betonar vikten av att hitta rätt balans mellan nationell, europeisk och internationell standardisering och att de styrkor som de befintliga systemet besitter bibehålls. </w:t>
      </w:r>
    </w:p>
    <w:p w:rsidR="00B650A1" w:rsidRPr="00924432" w:rsidRDefault="00B650A1">
      <w:pPr>
        <w:pStyle w:val="RKrubrik"/>
        <w:rPr>
          <w:i/>
          <w:iCs/>
        </w:rPr>
      </w:pPr>
      <w:r w:rsidRPr="00924432">
        <w:rPr>
          <w:i/>
          <w:iCs/>
        </w:rPr>
        <w:t>Förslaget</w:t>
      </w:r>
    </w:p>
    <w:p w:rsidR="00B650A1" w:rsidRPr="00924432" w:rsidRDefault="002F33DD">
      <w:pPr>
        <w:pStyle w:val="RKnormal"/>
      </w:pPr>
      <w:r w:rsidRPr="00924432">
        <w:t xml:space="preserve">Förslaget till standardiseringspaket ska beslutas den </w:t>
      </w:r>
      <w:r w:rsidR="007D7C6A" w:rsidRPr="00924432">
        <w:t xml:space="preserve">1 juni </w:t>
      </w:r>
      <w:r w:rsidRPr="00924432">
        <w:t xml:space="preserve">2011. </w:t>
      </w:r>
    </w:p>
    <w:p w:rsidR="00A12701" w:rsidRPr="00924432" w:rsidRDefault="00A12701" w:rsidP="00A12701">
      <w:pPr>
        <w:pStyle w:val="RKnormal"/>
      </w:pPr>
      <w:r w:rsidRPr="00924432">
        <w:t xml:space="preserve">Paketet förväntas innehålla två delar; en </w:t>
      </w:r>
      <w:r w:rsidR="003B0D73" w:rsidRPr="00924432">
        <w:t xml:space="preserve">policydel </w:t>
      </w:r>
      <w:r w:rsidRPr="00924432">
        <w:t xml:space="preserve">och en </w:t>
      </w:r>
      <w:r w:rsidR="003B0D73" w:rsidRPr="00924432">
        <w:t>lagstiftningsdel</w:t>
      </w:r>
      <w:r w:rsidRPr="00924432">
        <w:t xml:space="preserve">. </w:t>
      </w:r>
    </w:p>
    <w:p w:rsidR="00A12701" w:rsidRPr="00924432" w:rsidRDefault="00A12701" w:rsidP="00A12701">
      <w:pPr>
        <w:pStyle w:val="RKnormal"/>
      </w:pPr>
    </w:p>
    <w:p w:rsidR="003B0D73" w:rsidRPr="00924432" w:rsidRDefault="003B0D73" w:rsidP="003B0D73">
      <w:pPr>
        <w:pStyle w:val="RKnormal"/>
      </w:pPr>
      <w:r w:rsidRPr="00924432">
        <w:rPr>
          <w:b/>
        </w:rPr>
        <w:t>Policydelen</w:t>
      </w:r>
      <w:r w:rsidRPr="00924432">
        <w:t xml:space="preserve"> förväntas publiceras i form av ett meddelande, som ska fastslå en EU-policy för det kommande årtiondet. Meddelandet kommer att behandla frågor kopplade till standardisering i en globaliserad ekonomi, stöd för innovation samt anpassning av standardisering som metod till nya sektorer, så som tjänster och immaterialrätt.</w:t>
      </w:r>
    </w:p>
    <w:p w:rsidR="003B0D73" w:rsidRPr="00924432" w:rsidRDefault="003B0D73" w:rsidP="00A12701">
      <w:pPr>
        <w:pStyle w:val="RKnormal"/>
      </w:pPr>
    </w:p>
    <w:p w:rsidR="00A12701" w:rsidRPr="00924432" w:rsidRDefault="00A12701" w:rsidP="00A12701">
      <w:pPr>
        <w:pStyle w:val="RKnormal"/>
      </w:pPr>
      <w:r w:rsidRPr="00924432">
        <w:t xml:space="preserve">I </w:t>
      </w:r>
      <w:r w:rsidRPr="00924432">
        <w:rPr>
          <w:b/>
        </w:rPr>
        <w:t xml:space="preserve">lagstiftningsdelen </w:t>
      </w:r>
      <w:r w:rsidRPr="00924432">
        <w:t>förväntas en revidering av det befintliga ramverket</w:t>
      </w:r>
      <w:r w:rsidR="001D46B9" w:rsidRPr="00924432">
        <w:t xml:space="preserve"> genom en förordning</w:t>
      </w:r>
      <w:r w:rsidRPr="00924432">
        <w:t>, nämligen:</w:t>
      </w:r>
    </w:p>
    <w:p w:rsidR="00A12701" w:rsidRPr="00924432" w:rsidRDefault="00A12701" w:rsidP="00A12701">
      <w:pPr>
        <w:pStyle w:val="RKnormal"/>
      </w:pPr>
    </w:p>
    <w:p w:rsidR="00A12701" w:rsidRPr="00924432" w:rsidRDefault="00A12701" w:rsidP="00A12701">
      <w:pPr>
        <w:pStyle w:val="RKnormal"/>
        <w:rPr>
          <w:i/>
        </w:rPr>
      </w:pPr>
      <w:r w:rsidRPr="00924432">
        <w:rPr>
          <w:i/>
        </w:rPr>
        <w:t xml:space="preserve">1. Direktiv 98/34/EG om ett informationsförfarande för tekniska standarder </w:t>
      </w:r>
    </w:p>
    <w:p w:rsidR="00A12701" w:rsidRPr="00924432" w:rsidRDefault="00A12701" w:rsidP="00A12701">
      <w:pPr>
        <w:pStyle w:val="RKnormal"/>
      </w:pPr>
      <w:r w:rsidRPr="00924432">
        <w:t xml:space="preserve">Direktivets tillämpningsområde öppnas upp för att även omfatta tjänstestandarder och nationella dokument som används som standarder, utan att de idag är ”stämplade” som standarder. Kommissionen förväntas också inkludera regler för att effektivisera det europeiska standardiseringssystemet och göra det mer transparent och tillgängligt. </w:t>
      </w:r>
    </w:p>
    <w:p w:rsidR="00A12701" w:rsidRPr="00924432" w:rsidRDefault="00A12701" w:rsidP="00A12701">
      <w:pPr>
        <w:pStyle w:val="RKnormal"/>
      </w:pPr>
    </w:p>
    <w:p w:rsidR="00A12701" w:rsidRPr="00924432" w:rsidRDefault="00A12701" w:rsidP="00A12701">
      <w:pPr>
        <w:pStyle w:val="RKnormal"/>
        <w:rPr>
          <w:i/>
        </w:rPr>
      </w:pPr>
      <w:r w:rsidRPr="00924432">
        <w:rPr>
          <w:i/>
        </w:rPr>
        <w:t>2. Beslut 1673/2006/EG om finansiering av standardisering</w:t>
      </w:r>
    </w:p>
    <w:p w:rsidR="00A12701" w:rsidRPr="00924432" w:rsidRDefault="00A12701" w:rsidP="00A12701">
      <w:pPr>
        <w:pStyle w:val="RKnormal"/>
      </w:pPr>
      <w:r w:rsidRPr="00924432">
        <w:t xml:space="preserve">Beslutet anpassas till de förändringar som görs i direktivet 98/34. </w:t>
      </w:r>
    </w:p>
    <w:p w:rsidR="00A12701" w:rsidRPr="00924432" w:rsidRDefault="00A12701" w:rsidP="00A12701">
      <w:pPr>
        <w:pStyle w:val="RKnormal"/>
      </w:pPr>
    </w:p>
    <w:p w:rsidR="00A12701" w:rsidRPr="00924432" w:rsidRDefault="00A12701" w:rsidP="00A12701">
      <w:pPr>
        <w:pStyle w:val="RKnormal"/>
        <w:rPr>
          <w:i/>
        </w:rPr>
      </w:pPr>
      <w:r w:rsidRPr="00924432">
        <w:rPr>
          <w:i/>
        </w:rPr>
        <w:t>3. Beslut 85/97/EG om ICT- standardisering</w:t>
      </w:r>
    </w:p>
    <w:p w:rsidR="00A12701" w:rsidRPr="00924432" w:rsidRDefault="00A12701" w:rsidP="00A12701">
      <w:pPr>
        <w:pStyle w:val="RKnormal"/>
      </w:pPr>
      <w:r w:rsidRPr="00924432">
        <w:t xml:space="preserve">Tillämpningsområdet begränsas till kommunikationsnätverk, tjänster och applikationer (d.v.s. inte varor) med fokus på interoperabilitet. En specifikation över vad som krävs av en standard för att det ska gå att användas för hänvisning i lagstiftning och policy införas. Flexibilitet för upphandling av IT införs. En möjlighet att referera till fora och konsortier införs. Förhållandet mellan IT och upphovsrätten klargörs. En plattform för intressenter etableras. </w:t>
      </w:r>
    </w:p>
    <w:p w:rsidR="00A12701" w:rsidRPr="00924432" w:rsidRDefault="00A12701" w:rsidP="00A12701">
      <w:pPr>
        <w:pStyle w:val="RKnormal"/>
      </w:pPr>
    </w:p>
    <w:p w:rsidR="00B650A1" w:rsidRPr="00924432" w:rsidRDefault="00B650A1">
      <w:pPr>
        <w:pStyle w:val="RKrubrik"/>
        <w:rPr>
          <w:i/>
          <w:iCs/>
        </w:rPr>
      </w:pPr>
      <w:r w:rsidRPr="00924432">
        <w:rPr>
          <w:i/>
          <w:iCs/>
        </w:rPr>
        <w:t>Gällande svenska regler och förslagets effekter på dessa</w:t>
      </w:r>
    </w:p>
    <w:p w:rsidR="000541D4" w:rsidRPr="00924432" w:rsidRDefault="00A12701">
      <w:pPr>
        <w:pStyle w:val="RKnormal"/>
      </w:pPr>
      <w:r w:rsidRPr="00924432">
        <w:t xml:space="preserve">Det finns idag få regler om standardisering, eftersom verktyget är privaträttsligt. Den vanligaste användningen idag är i </w:t>
      </w:r>
      <w:r w:rsidR="000541D4" w:rsidRPr="00924432">
        <w:t xml:space="preserve">harmoniserad </w:t>
      </w:r>
      <w:r w:rsidRPr="00924432">
        <w:t xml:space="preserve">lagstiftning om </w:t>
      </w:r>
      <w:r w:rsidR="000541D4" w:rsidRPr="00924432">
        <w:t xml:space="preserve">produkter, t.ex. maskiner, där hänvisning görs till harmoniserade standarder. </w:t>
      </w:r>
    </w:p>
    <w:p w:rsidR="000541D4" w:rsidRPr="00924432" w:rsidRDefault="000541D4">
      <w:pPr>
        <w:pStyle w:val="RKnormal"/>
      </w:pPr>
    </w:p>
    <w:p w:rsidR="000541D4" w:rsidRPr="00924432" w:rsidRDefault="000541D4">
      <w:pPr>
        <w:pStyle w:val="RKnormal"/>
      </w:pPr>
      <w:r w:rsidRPr="00924432">
        <w:t xml:space="preserve">Genom </w:t>
      </w:r>
      <w:r w:rsidR="000177D4" w:rsidRPr="00924432">
        <w:t xml:space="preserve">att </w:t>
      </w:r>
      <w:r w:rsidRPr="00924432">
        <w:t xml:space="preserve">förslaget </w:t>
      </w:r>
      <w:r w:rsidR="000177D4" w:rsidRPr="00924432">
        <w:t xml:space="preserve">har formen av en förordning </w:t>
      </w:r>
      <w:r w:rsidRPr="00924432">
        <w:t xml:space="preserve">får Sverige för första gången en lag om standardisering. </w:t>
      </w:r>
    </w:p>
    <w:p w:rsidR="00B650A1" w:rsidRPr="00924432" w:rsidRDefault="00B650A1">
      <w:pPr>
        <w:pStyle w:val="RKrubrik"/>
      </w:pPr>
      <w:r w:rsidRPr="00924432">
        <w:t>Ekonomiska konsekvenser</w:t>
      </w:r>
    </w:p>
    <w:p w:rsidR="0089009E" w:rsidRPr="00924432" w:rsidRDefault="000541D4" w:rsidP="0089009E">
      <w:pPr>
        <w:pStyle w:val="RKnormal"/>
      </w:pPr>
      <w:r w:rsidRPr="00924432">
        <w:t xml:space="preserve">Standarder är mycket viktiga för den ekonomiska tillväxten i EU. Enligt </w:t>
      </w:r>
      <w:r w:rsidR="00A66D39" w:rsidRPr="00924432">
        <w:t>olika</w:t>
      </w:r>
      <w:r w:rsidRPr="00924432">
        <w:t xml:space="preserve"> undersökning</w:t>
      </w:r>
      <w:r w:rsidR="00A66D39" w:rsidRPr="00924432">
        <w:t>ar</w:t>
      </w:r>
      <w:r w:rsidRPr="00924432">
        <w:t xml:space="preserve"> </w:t>
      </w:r>
      <w:r w:rsidR="00A66D39" w:rsidRPr="00924432">
        <w:t>kan standardernas bidra till upp till en fjärdedel av den årliga produktivitetsökningen inom EU.</w:t>
      </w:r>
      <w:r w:rsidRPr="00924432">
        <w:t xml:space="preserve"> Ett tydligt regelverk för standardisering bör ytterligare underlätta handeln </w:t>
      </w:r>
      <w:r w:rsidR="001D46B9" w:rsidRPr="00924432">
        <w:t xml:space="preserve">både </w:t>
      </w:r>
      <w:r w:rsidRPr="00924432">
        <w:t xml:space="preserve">mellan EU:s </w:t>
      </w:r>
      <w:r w:rsidR="001D46B9" w:rsidRPr="00924432">
        <w:t xml:space="preserve">medlemsstater </w:t>
      </w:r>
      <w:r w:rsidRPr="00924432">
        <w:t xml:space="preserve">och med tredje land. </w:t>
      </w:r>
      <w:r w:rsidR="0078138E" w:rsidRPr="00924432">
        <w:rPr>
          <w:rFonts w:cs="OrigGarmnd BT"/>
          <w:bCs/>
          <w:color w:val="000000"/>
          <w:szCs w:val="24"/>
          <w:lang w:eastAsia="sv-SE"/>
        </w:rPr>
        <w:t>Ett stärkt brukarinflytande kan främja miljöskydd och förebygga skador, med samhällsekonomiska besparingar som följd och konkurrensmässiga fördelar för svenska ekonomiska aktörer som ligger väl framme i dessa avseenden.</w:t>
      </w:r>
    </w:p>
    <w:p w:rsidR="00B650A1" w:rsidRPr="00924432" w:rsidRDefault="00B650A1">
      <w:pPr>
        <w:pStyle w:val="RKrubrik"/>
      </w:pPr>
      <w:r w:rsidRPr="00924432">
        <w:t>Övrigt</w:t>
      </w:r>
    </w:p>
    <w:p w:rsidR="00B650A1" w:rsidRPr="00924432" w:rsidRDefault="000541D4" w:rsidP="001D46B9">
      <w:pPr>
        <w:pStyle w:val="RKnormal"/>
      </w:pPr>
      <w:r w:rsidRPr="00924432">
        <w:t>-</w:t>
      </w:r>
    </w:p>
    <w:sectPr w:rsidR="00B650A1" w:rsidRPr="00924432">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6F29" w:rsidRPr="00924432" w:rsidRDefault="00396F29">
      <w:r w:rsidRPr="00924432">
        <w:separator/>
      </w:r>
    </w:p>
  </w:endnote>
  <w:endnote w:type="continuationSeparator" w:id="0">
    <w:p w:rsidR="00396F29" w:rsidRPr="00924432" w:rsidRDefault="00396F29">
      <w:r w:rsidRPr="009244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6F29" w:rsidRPr="00924432" w:rsidRDefault="00396F29">
      <w:r w:rsidRPr="00924432">
        <w:separator/>
      </w:r>
    </w:p>
  </w:footnote>
  <w:footnote w:type="continuationSeparator" w:id="0">
    <w:p w:rsidR="00396F29" w:rsidRPr="00924432" w:rsidRDefault="00396F29">
      <w:r w:rsidRPr="009244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C11" w:rsidRPr="00924432" w:rsidRDefault="00007C11">
    <w:pPr>
      <w:pStyle w:val="Sidhuvud"/>
      <w:framePr w:wrap="around" w:vAnchor="text" w:hAnchor="margin" w:xAlign="right" w:y="1"/>
      <w:rPr>
        <w:rStyle w:val="Sidnummer"/>
        <w:rPrChange w:id="1" w:author="Lars Brink" w:date="2025-12-18T04:58:00Z" w16du:dateUtc="2025-12-18T03:58:00Z">
          <w:rPr>
            <w:rStyle w:val="Sidnummer"/>
          </w:rPr>
        </w:rPrChange>
      </w:rPr>
    </w:pPr>
    <w:r w:rsidRPr="00924432">
      <w:rPr>
        <w:rStyle w:val="Sidnummer"/>
      </w:rPr>
      <w:fldChar w:fldCharType="begin" w:fldLock="1"/>
    </w:r>
    <w:r w:rsidRPr="00924432">
      <w:rPr>
        <w:rStyle w:val="Sidnummer"/>
      </w:rPr>
      <w:instrText xml:space="preserve">PAGE  </w:instrText>
    </w:r>
    <w:r w:rsidRPr="00924432">
      <w:rPr>
        <w:rStyle w:val="Sidnummer"/>
      </w:rPr>
      <w:fldChar w:fldCharType="separate"/>
    </w:r>
    <w:r w:rsidR="007D7C6A" w:rsidRPr="00924432">
      <w:rPr>
        <w:rStyle w:val="Sidnummer"/>
        <w:rPrChange w:id="2" w:author="Lars Brink" w:date="2025-12-18T04:58:00Z" w16du:dateUtc="2025-12-18T03:58:00Z">
          <w:rPr>
            <w:rStyle w:val="Sidnummer"/>
            <w:noProof/>
          </w:rPr>
        </w:rPrChange>
      </w:rPr>
      <w:t>2</w:t>
    </w:r>
    <w:r w:rsidRPr="00924432">
      <w:rPr>
        <w:rStyle w:val="Sidnummer"/>
        <w:rPrChange w:id="3" w:author="Lars Brink" w:date="2025-12-18T04:58:00Z" w16du:dateUtc="2025-12-18T03:58: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007C11" w:rsidRPr="00924432">
      <w:tblPrEx>
        <w:tblCellMar>
          <w:top w:w="0" w:type="dxa"/>
          <w:bottom w:w="0" w:type="dxa"/>
        </w:tblCellMar>
      </w:tblPrEx>
      <w:trPr>
        <w:cantSplit/>
      </w:trPr>
      <w:tc>
        <w:tcPr>
          <w:tcW w:w="3119" w:type="dxa"/>
        </w:tcPr>
        <w:p w:rsidR="00007C11" w:rsidRPr="00924432" w:rsidRDefault="00007C11">
          <w:pPr>
            <w:pStyle w:val="Sidhuvud"/>
            <w:spacing w:line="200" w:lineRule="atLeast"/>
            <w:ind w:right="357"/>
            <w:rPr>
              <w:rFonts w:ascii="TradeGothic" w:hAnsi="TradeGothic"/>
              <w:b/>
              <w:bCs/>
              <w:sz w:val="16"/>
              <w:rPrChange w:id="4" w:author="Lars Brink" w:date="2025-12-18T04:58:00Z" w16du:dateUtc="2025-12-18T03:58:00Z">
                <w:rPr>
                  <w:rFonts w:ascii="TradeGothic" w:hAnsi="TradeGothic"/>
                  <w:b/>
                  <w:bCs/>
                  <w:sz w:val="16"/>
                </w:rPr>
              </w:rPrChange>
            </w:rPr>
          </w:pPr>
        </w:p>
      </w:tc>
      <w:tc>
        <w:tcPr>
          <w:tcW w:w="4111" w:type="dxa"/>
          <w:tcMar>
            <w:left w:w="567" w:type="dxa"/>
          </w:tcMar>
        </w:tcPr>
        <w:p w:rsidR="00007C11" w:rsidRPr="00924432" w:rsidRDefault="00007C11">
          <w:pPr>
            <w:pStyle w:val="Sidhuvud"/>
            <w:ind w:right="360"/>
            <w:rPr>
              <w:rPrChange w:id="5" w:author="Lars Brink" w:date="2025-12-18T04:58:00Z" w16du:dateUtc="2025-12-18T03:58:00Z">
                <w:rPr/>
              </w:rPrChange>
            </w:rPr>
          </w:pPr>
        </w:p>
      </w:tc>
      <w:tc>
        <w:tcPr>
          <w:tcW w:w="1525" w:type="dxa"/>
        </w:tcPr>
        <w:p w:rsidR="00007C11" w:rsidRPr="00924432" w:rsidRDefault="00007C11">
          <w:pPr>
            <w:pStyle w:val="Sidhuvud"/>
            <w:ind w:right="360"/>
            <w:rPr>
              <w:rPrChange w:id="6" w:author="Lars Brink" w:date="2025-12-18T04:58:00Z" w16du:dateUtc="2025-12-18T03:58:00Z">
                <w:rPr/>
              </w:rPrChange>
            </w:rPr>
          </w:pPr>
        </w:p>
      </w:tc>
    </w:tr>
  </w:tbl>
  <w:p w:rsidR="00007C11" w:rsidRPr="00924432" w:rsidRDefault="00007C11">
    <w:pPr>
      <w:pStyle w:val="Sidhuvud"/>
      <w:ind w:right="357" w:firstLine="357"/>
      <w:rPr>
        <w:rPrChange w:id="7" w:author="Lars Brink" w:date="2025-12-18T04:58:00Z" w16du:dateUtc="2025-12-18T03:58: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C11" w:rsidRPr="00924432" w:rsidRDefault="00007C11">
    <w:pPr>
      <w:pStyle w:val="Sidhuvud"/>
      <w:framePr w:wrap="around" w:vAnchor="text" w:hAnchor="margin" w:xAlign="right" w:y="1"/>
      <w:rPr>
        <w:rStyle w:val="Sidnummer"/>
        <w:rPrChange w:id="8" w:author="Lars Brink" w:date="2025-12-18T04:58:00Z" w16du:dateUtc="2025-12-18T03:58:00Z">
          <w:rPr>
            <w:rStyle w:val="Sidnummer"/>
          </w:rPr>
        </w:rPrChange>
      </w:rPr>
    </w:pPr>
    <w:r w:rsidRPr="00924432">
      <w:rPr>
        <w:rStyle w:val="Sidnummer"/>
      </w:rPr>
      <w:fldChar w:fldCharType="begin" w:fldLock="1"/>
    </w:r>
    <w:r w:rsidRPr="00924432">
      <w:rPr>
        <w:rStyle w:val="Sidnummer"/>
      </w:rPr>
      <w:instrText xml:space="preserve">PAGE  </w:instrText>
    </w:r>
    <w:r w:rsidRPr="00924432">
      <w:rPr>
        <w:rStyle w:val="Sidnummer"/>
      </w:rPr>
      <w:fldChar w:fldCharType="separate"/>
    </w:r>
    <w:r w:rsidR="007D7C6A" w:rsidRPr="00924432">
      <w:rPr>
        <w:rStyle w:val="Sidnummer"/>
        <w:rPrChange w:id="9" w:author="Lars Brink" w:date="2025-12-18T04:58:00Z" w16du:dateUtc="2025-12-18T03:58:00Z">
          <w:rPr>
            <w:rStyle w:val="Sidnummer"/>
            <w:noProof/>
          </w:rPr>
        </w:rPrChange>
      </w:rPr>
      <w:t>3</w:t>
    </w:r>
    <w:r w:rsidRPr="00924432">
      <w:rPr>
        <w:rStyle w:val="Sidnummer"/>
        <w:rPrChange w:id="10" w:author="Lars Brink" w:date="2025-12-18T04:58:00Z" w16du:dateUtc="2025-12-18T03:58: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007C11" w:rsidRPr="00924432">
      <w:tblPrEx>
        <w:tblCellMar>
          <w:top w:w="0" w:type="dxa"/>
          <w:bottom w:w="0" w:type="dxa"/>
        </w:tblCellMar>
      </w:tblPrEx>
      <w:trPr>
        <w:cantSplit/>
      </w:trPr>
      <w:tc>
        <w:tcPr>
          <w:tcW w:w="3119" w:type="dxa"/>
        </w:tcPr>
        <w:p w:rsidR="00007C11" w:rsidRPr="00924432" w:rsidRDefault="00007C11">
          <w:pPr>
            <w:pStyle w:val="Sidhuvud"/>
            <w:spacing w:line="200" w:lineRule="atLeast"/>
            <w:ind w:right="357"/>
            <w:rPr>
              <w:rFonts w:ascii="TradeGothic" w:hAnsi="TradeGothic"/>
              <w:b/>
              <w:bCs/>
              <w:sz w:val="16"/>
              <w:rPrChange w:id="11" w:author="Lars Brink" w:date="2025-12-18T04:58:00Z" w16du:dateUtc="2025-12-18T03:58:00Z">
                <w:rPr>
                  <w:rFonts w:ascii="TradeGothic" w:hAnsi="TradeGothic"/>
                  <w:b/>
                  <w:bCs/>
                  <w:sz w:val="16"/>
                </w:rPr>
              </w:rPrChange>
            </w:rPr>
          </w:pPr>
        </w:p>
      </w:tc>
      <w:tc>
        <w:tcPr>
          <w:tcW w:w="4111" w:type="dxa"/>
          <w:tcMar>
            <w:left w:w="567" w:type="dxa"/>
          </w:tcMar>
        </w:tcPr>
        <w:p w:rsidR="00007C11" w:rsidRPr="00924432" w:rsidRDefault="00007C11">
          <w:pPr>
            <w:pStyle w:val="Sidhuvud"/>
            <w:ind w:right="360"/>
            <w:rPr>
              <w:rPrChange w:id="12" w:author="Lars Brink" w:date="2025-12-18T04:58:00Z" w16du:dateUtc="2025-12-18T03:58:00Z">
                <w:rPr/>
              </w:rPrChange>
            </w:rPr>
          </w:pPr>
        </w:p>
      </w:tc>
      <w:tc>
        <w:tcPr>
          <w:tcW w:w="1525" w:type="dxa"/>
        </w:tcPr>
        <w:p w:rsidR="00007C11" w:rsidRPr="00924432" w:rsidRDefault="00007C11">
          <w:pPr>
            <w:pStyle w:val="Sidhuvud"/>
            <w:ind w:right="360"/>
            <w:rPr>
              <w:rPrChange w:id="13" w:author="Lars Brink" w:date="2025-12-18T04:58:00Z" w16du:dateUtc="2025-12-18T03:58:00Z">
                <w:rPr/>
              </w:rPrChange>
            </w:rPr>
          </w:pPr>
        </w:p>
      </w:tc>
    </w:tr>
  </w:tbl>
  <w:p w:rsidR="00007C11" w:rsidRPr="00924432" w:rsidRDefault="00007C11">
    <w:pPr>
      <w:pStyle w:val="Sidhuvud"/>
      <w:ind w:right="357" w:firstLine="357"/>
      <w:rPr>
        <w:rPrChange w:id="14" w:author="Lars Brink" w:date="2025-12-18T04:58:00Z" w16du:dateUtc="2025-12-18T03:58: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C11" w:rsidRPr="00924432" w:rsidRDefault="00924432">
    <w:pPr>
      <w:framePr w:w="2948" w:h="1321" w:hRule="exact" w:wrap="notBeside" w:vAnchor="page" w:hAnchor="page" w:x="1362" w:y="653"/>
    </w:pPr>
    <w:r w:rsidRPr="0092443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07C11" w:rsidRPr="00924432" w:rsidRDefault="00007C11">
    <w:pPr>
      <w:pStyle w:val="RKrubrik"/>
      <w:keepNext w:val="0"/>
      <w:tabs>
        <w:tab w:val="clear" w:pos="1134"/>
        <w:tab w:val="clear" w:pos="2835"/>
      </w:tabs>
      <w:spacing w:before="0" w:after="0" w:line="320" w:lineRule="atLeast"/>
      <w:rPr>
        <w:bCs/>
      </w:rPr>
    </w:pPr>
  </w:p>
  <w:p w:rsidR="00007C11" w:rsidRPr="00924432" w:rsidRDefault="00007C11">
    <w:pPr>
      <w:rPr>
        <w:rFonts w:ascii="TradeGothic" w:hAnsi="TradeGothic"/>
        <w:b/>
        <w:bCs/>
        <w:spacing w:val="12"/>
        <w:sz w:val="22"/>
      </w:rPr>
    </w:pPr>
  </w:p>
  <w:p w:rsidR="00007C11" w:rsidRPr="00924432" w:rsidRDefault="00007C11">
    <w:pPr>
      <w:pStyle w:val="RKrubrik"/>
      <w:keepNext w:val="0"/>
      <w:tabs>
        <w:tab w:val="clear" w:pos="1134"/>
        <w:tab w:val="clear" w:pos="2835"/>
      </w:tabs>
      <w:spacing w:before="0" w:after="0" w:line="320" w:lineRule="atLeast"/>
      <w:rPr>
        <w:bCs/>
      </w:rPr>
    </w:pPr>
  </w:p>
  <w:p w:rsidR="00007C11" w:rsidRPr="00924432" w:rsidRDefault="00007C1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50BE4"/>
    <w:multiLevelType w:val="hybridMultilevel"/>
    <w:tmpl w:val="E1F04416"/>
    <w:lvl w:ilvl="0" w:tplc="5290DC60">
      <w:start w:val="2008"/>
      <w:numFmt w:val="bullet"/>
      <w:lvlText w:val="-"/>
      <w:lvlJc w:val="left"/>
      <w:pPr>
        <w:ind w:left="1800" w:hanging="360"/>
      </w:pPr>
      <w:rPr>
        <w:rFonts w:ascii="Calibri" w:eastAsia="Times New Roman" w:hAnsi="Calibri" w:hint="default"/>
      </w:rPr>
    </w:lvl>
    <w:lvl w:ilvl="1" w:tplc="040E0019">
      <w:start w:val="1"/>
      <w:numFmt w:val="bullet"/>
      <w:lvlText w:val="o"/>
      <w:lvlJc w:val="left"/>
      <w:pPr>
        <w:ind w:left="2520" w:hanging="360"/>
      </w:pPr>
      <w:rPr>
        <w:rFonts w:ascii="Courier New" w:hAnsi="Courier New" w:hint="default"/>
      </w:rPr>
    </w:lvl>
    <w:lvl w:ilvl="2" w:tplc="040E001B">
      <w:start w:val="1"/>
      <w:numFmt w:val="bullet"/>
      <w:lvlText w:val=""/>
      <w:lvlJc w:val="left"/>
      <w:pPr>
        <w:ind w:left="3240" w:hanging="360"/>
      </w:pPr>
      <w:rPr>
        <w:rFonts w:ascii="Wingdings" w:hAnsi="Wingdings" w:hint="default"/>
      </w:rPr>
    </w:lvl>
    <w:lvl w:ilvl="3" w:tplc="040E000F" w:tentative="1">
      <w:start w:val="1"/>
      <w:numFmt w:val="bullet"/>
      <w:lvlText w:val=""/>
      <w:lvlJc w:val="left"/>
      <w:pPr>
        <w:ind w:left="3960" w:hanging="360"/>
      </w:pPr>
      <w:rPr>
        <w:rFonts w:ascii="Symbol" w:hAnsi="Symbol" w:hint="default"/>
      </w:rPr>
    </w:lvl>
    <w:lvl w:ilvl="4" w:tplc="040E0019" w:tentative="1">
      <w:start w:val="1"/>
      <w:numFmt w:val="bullet"/>
      <w:lvlText w:val="o"/>
      <w:lvlJc w:val="left"/>
      <w:pPr>
        <w:ind w:left="4680" w:hanging="360"/>
      </w:pPr>
      <w:rPr>
        <w:rFonts w:ascii="Courier New" w:hAnsi="Courier New" w:hint="default"/>
      </w:rPr>
    </w:lvl>
    <w:lvl w:ilvl="5" w:tplc="040E001B" w:tentative="1">
      <w:start w:val="1"/>
      <w:numFmt w:val="bullet"/>
      <w:lvlText w:val=""/>
      <w:lvlJc w:val="left"/>
      <w:pPr>
        <w:ind w:left="5400" w:hanging="360"/>
      </w:pPr>
      <w:rPr>
        <w:rFonts w:ascii="Wingdings" w:hAnsi="Wingdings" w:hint="default"/>
      </w:rPr>
    </w:lvl>
    <w:lvl w:ilvl="6" w:tplc="040E000F" w:tentative="1">
      <w:start w:val="1"/>
      <w:numFmt w:val="bullet"/>
      <w:lvlText w:val=""/>
      <w:lvlJc w:val="left"/>
      <w:pPr>
        <w:ind w:left="6120" w:hanging="360"/>
      </w:pPr>
      <w:rPr>
        <w:rFonts w:ascii="Symbol" w:hAnsi="Symbol" w:hint="default"/>
      </w:rPr>
    </w:lvl>
    <w:lvl w:ilvl="7" w:tplc="040E0019" w:tentative="1">
      <w:start w:val="1"/>
      <w:numFmt w:val="bullet"/>
      <w:lvlText w:val="o"/>
      <w:lvlJc w:val="left"/>
      <w:pPr>
        <w:ind w:left="6840" w:hanging="360"/>
      </w:pPr>
      <w:rPr>
        <w:rFonts w:ascii="Courier New" w:hAnsi="Courier New" w:hint="default"/>
      </w:rPr>
    </w:lvl>
    <w:lvl w:ilvl="8" w:tplc="040E001B" w:tentative="1">
      <w:start w:val="1"/>
      <w:numFmt w:val="bullet"/>
      <w:lvlText w:val=""/>
      <w:lvlJc w:val="left"/>
      <w:pPr>
        <w:ind w:left="7560" w:hanging="360"/>
      </w:pPr>
      <w:rPr>
        <w:rFonts w:ascii="Wingdings" w:hAnsi="Wingdings" w:hint="default"/>
      </w:rPr>
    </w:lvl>
  </w:abstractNum>
  <w:num w:numId="1" w16cid:durableId="13044331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650A1"/>
    <w:rsid w:val="0000768C"/>
    <w:rsid w:val="00007C11"/>
    <w:rsid w:val="000177D4"/>
    <w:rsid w:val="0002432E"/>
    <w:rsid w:val="000541D4"/>
    <w:rsid w:val="000804E8"/>
    <w:rsid w:val="00120B03"/>
    <w:rsid w:val="001350A4"/>
    <w:rsid w:val="00150384"/>
    <w:rsid w:val="00151BF7"/>
    <w:rsid w:val="0017510D"/>
    <w:rsid w:val="001805B7"/>
    <w:rsid w:val="001D46B9"/>
    <w:rsid w:val="001D7EE4"/>
    <w:rsid w:val="002768B7"/>
    <w:rsid w:val="002F33DD"/>
    <w:rsid w:val="00357BFA"/>
    <w:rsid w:val="00395FCF"/>
    <w:rsid w:val="00396F29"/>
    <w:rsid w:val="003B0D73"/>
    <w:rsid w:val="003E391C"/>
    <w:rsid w:val="00406EBE"/>
    <w:rsid w:val="004216B5"/>
    <w:rsid w:val="00436094"/>
    <w:rsid w:val="004931A8"/>
    <w:rsid w:val="004A328D"/>
    <w:rsid w:val="004B4946"/>
    <w:rsid w:val="005537B9"/>
    <w:rsid w:val="005D6BCD"/>
    <w:rsid w:val="005F6606"/>
    <w:rsid w:val="006E4E11"/>
    <w:rsid w:val="006E7488"/>
    <w:rsid w:val="006F401E"/>
    <w:rsid w:val="00703482"/>
    <w:rsid w:val="007242A3"/>
    <w:rsid w:val="007248B5"/>
    <w:rsid w:val="00737405"/>
    <w:rsid w:val="0074631C"/>
    <w:rsid w:val="0078138E"/>
    <w:rsid w:val="007A1834"/>
    <w:rsid w:val="007A7C4B"/>
    <w:rsid w:val="007B2288"/>
    <w:rsid w:val="007C6BF9"/>
    <w:rsid w:val="007D7C6A"/>
    <w:rsid w:val="0084319D"/>
    <w:rsid w:val="0089009E"/>
    <w:rsid w:val="009142DB"/>
    <w:rsid w:val="00924432"/>
    <w:rsid w:val="00932C9E"/>
    <w:rsid w:val="009B377A"/>
    <w:rsid w:val="009D55E5"/>
    <w:rsid w:val="00A0214B"/>
    <w:rsid w:val="00A12701"/>
    <w:rsid w:val="00A657B0"/>
    <w:rsid w:val="00A66D39"/>
    <w:rsid w:val="00AC6751"/>
    <w:rsid w:val="00B11097"/>
    <w:rsid w:val="00B650A1"/>
    <w:rsid w:val="00B9586D"/>
    <w:rsid w:val="00C05D75"/>
    <w:rsid w:val="00D32574"/>
    <w:rsid w:val="00D4262E"/>
    <w:rsid w:val="00DB5936"/>
    <w:rsid w:val="00DC4D8A"/>
    <w:rsid w:val="00DC6727"/>
    <w:rsid w:val="00E14133"/>
    <w:rsid w:val="00E17C86"/>
    <w:rsid w:val="00E244F1"/>
    <w:rsid w:val="00E95D70"/>
    <w:rsid w:val="00EC25F9"/>
    <w:rsid w:val="00EC654F"/>
    <w:rsid w:val="00F42714"/>
    <w:rsid w:val="00F86DE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4C78ED4-DDE8-4E63-8A22-59916406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Revision">
    <w:name w:val="Revision"/>
    <w:hidden/>
    <w:uiPriority w:val="99"/>
    <w:semiHidden/>
    <w:rsid w:val="00924432"/>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C39AE8494ECEE949893514BD1CC39BB8" ma:contentTypeVersion="1" ma:contentTypeDescription="Skapa nytt Word dokument" ma:contentTypeScope="" ma:versionID="c46feb424034cedf8c1bf802ea86bb6c">
  <xsd:schema xmlns:xsd="http://www.w3.org/2001/XMLSchema" xmlns:p="http://schemas.microsoft.com/office/2006/metadata/properties" xmlns:ns2="5ffc9a52-c951-4044-9307-f6b5f371fdcb" targetNamespace="http://schemas.microsoft.com/office/2006/metadata/properties" ma:root="true" ma:fieldsID="e759276f0c7472e7ce54bc6bb97de297" ns2:_="">
    <xsd:import namespace="5ffc9a52-c951-4044-9307-f6b5f371fdcb"/>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5ffc9a52-c951-4044-9307-f6b5f371fdcb"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Class xmlns="5ffc9a52-c951-4044-9307-f6b5f371fdcb" xsi:nil="true"/>
    <RKOrdnaSearchKeywords xmlns="5ffc9a52-c951-4044-9307-f6b5f371fdcb" xsi:nil="true"/>
    <RKOrdnaSarskildSkyddsvard xmlns="5ffc9a52-c951-4044-9307-f6b5f371fdcb">0</RKOrdnaSarskildSkyddsvard>
    <RKOrdnaDepartement xmlns="5ffc9a52-c951-4044-9307-f6b5f371fdcb">Utrikesdepartementet</RKOrdnaDepartement>
    <QFMSP_x0020_source_x0020_name xmlns="5ffc9a52-c951-4044-9307-f6b5f371fdcb" xsi:nil="true"/>
    <RKOrdnaActivityCategory xmlns="5ffc9a52-c951-4044-9307-f6b5f371fdcb">4.1. Europeiska unionen</RKOrdnaActivityCategory>
    <RKOrdnaDiarienummer xmlns="5ffc9a52-c951-4044-9307-f6b5f371fdcb" xsi:nil="true"/>
    <RKOrdnaCheckInComment xmlns="5ffc9a52-c951-4044-9307-f6b5f371fdcb" xsi:nil="true"/>
  </documentManagement>
</p:properties>
</file>

<file path=customXml/itemProps1.xml><?xml version="1.0" encoding="utf-8"?>
<ds:datastoreItem xmlns:ds="http://schemas.openxmlformats.org/officeDocument/2006/customXml" ds:itemID="{29489F6D-0473-4AE4-AB2C-5CC174DCC366}">
  <ds:schemaRefs>
    <ds:schemaRef ds:uri="http://schemas.microsoft.com/sharepoint/v3/contenttype/forms"/>
  </ds:schemaRefs>
</ds:datastoreItem>
</file>

<file path=customXml/itemProps2.xml><?xml version="1.0" encoding="utf-8"?>
<ds:datastoreItem xmlns:ds="http://schemas.openxmlformats.org/officeDocument/2006/customXml" ds:itemID="{638C6476-2425-433A-9937-636609B6071F}">
  <ds:schemaRefs>
    <ds:schemaRef ds:uri="http://schemas.microsoft.com/sharepoint/events"/>
  </ds:schemaRefs>
</ds:datastoreItem>
</file>

<file path=customXml/itemProps3.xml><?xml version="1.0" encoding="utf-8"?>
<ds:datastoreItem xmlns:ds="http://schemas.openxmlformats.org/officeDocument/2006/customXml" ds:itemID="{C97BE5A3-ABAE-4901-95B4-8486B9D89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c9a52-c951-4044-9307-f6b5f371fdc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5661FC9-4399-477F-8DB1-308407518B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5154</Characters>
  <Application>Microsoft Office Word</Application>
  <DocSecurity>4</DocSecurity>
  <Lines>147</Lines>
  <Paragraphs>49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2011-05-23T09:41:00Z</cp:lastPrinted>
  <dcterms:created xsi:type="dcterms:W3CDTF">2025-12-18T03:58:00Z</dcterms:created>
  <dcterms:modified xsi:type="dcterms:W3CDTF">2025-12-18T03:58:00Z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