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81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2C7570" w:rsidRPr="008123E8" w:rsidRDefault="002C7570">
            <w:pPr>
              <w:pStyle w:val="HuvudRubrik"/>
            </w:pPr>
            <w:r w:rsidRPr="008123E8">
              <w:t>Regeringskansliet</w:t>
            </w:r>
          </w:p>
          <w:p w:rsidR="002C7570" w:rsidRPr="008123E8" w:rsidRDefault="002C7570">
            <w:pPr>
              <w:pStyle w:val="HuvudRubrik"/>
            </w:pPr>
            <w:r w:rsidRPr="008123E8">
              <w:t>Faktapromemoria  2010/11:FPM97</w:t>
            </w:r>
          </w:p>
        </w:tc>
      </w:tr>
      <w:tr w:rsidR="00000000" w:rsidRPr="0081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2C7570" w:rsidRPr="008123E8" w:rsidRDefault="002C7570">
            <w:pPr>
              <w:pStyle w:val="HuvudRubrik"/>
            </w:pPr>
            <w:r w:rsidRPr="008123E8">
              <w:t xml:space="preserve">EU:s öppenhetsförordning – nytt ändringsförslag </w:t>
            </w:r>
          </w:p>
        </w:tc>
      </w:tr>
      <w:tr w:rsidR="00000000" w:rsidRPr="0081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2C7570" w:rsidRPr="008123E8" w:rsidRDefault="002C7570">
            <w:pPr>
              <w:pStyle w:val="Departement"/>
              <w:rPr>
                <w:sz w:val="28"/>
              </w:rPr>
            </w:pPr>
            <w:r w:rsidRPr="008123E8">
              <w:t>Justitiedepartementet</w:t>
            </w:r>
          </w:p>
        </w:tc>
      </w:tr>
      <w:tr w:rsidR="00000000" w:rsidRPr="0081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2C7570" w:rsidRPr="008123E8" w:rsidRDefault="002C7570">
            <w:pPr>
              <w:pStyle w:val="Dokumentdatum"/>
            </w:pPr>
            <w:r w:rsidRPr="008123E8">
              <w:t>2011-04-20</w:t>
            </w:r>
          </w:p>
        </w:tc>
      </w:tr>
      <w:tr w:rsidR="00000000" w:rsidRPr="0081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2C7570" w:rsidRPr="008123E8" w:rsidRDefault="002C7570">
            <w:pPr>
              <w:pStyle w:val="Dokumentbeteckning"/>
            </w:pPr>
            <w:r w:rsidRPr="008123E8">
              <w:t>Dokumentbeteckning</w:t>
            </w:r>
          </w:p>
        </w:tc>
      </w:tr>
      <w:tr w:rsidR="00000000" w:rsidRPr="0081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2C7570" w:rsidRPr="008123E8" w:rsidRDefault="002C7570">
            <w:bookmarkStart w:id="0" w:name="KomNr"/>
            <w:bookmarkEnd w:id="0"/>
            <w:r w:rsidRPr="008123E8">
              <w:t>KOM (2008) 229</w:t>
            </w:r>
          </w:p>
        </w:tc>
      </w:tr>
      <w:tr w:rsidR="00000000" w:rsidRPr="0081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2C7570" w:rsidRPr="008123E8" w:rsidRDefault="002C7570">
            <w:pPr>
              <w:pStyle w:val="Dokumentbeteckning-titel"/>
            </w:pPr>
            <w:r w:rsidRPr="008123E8">
              <w:t>Förslag till Europaparlamentets och rådets förordning om allmänhetens tillgång till Europaparlamentets, rådets och kommissionens handlingar (omarbetning)</w:t>
            </w:r>
          </w:p>
        </w:tc>
      </w:tr>
      <w:tr w:rsidR="00000000" w:rsidRPr="0081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2C7570" w:rsidRPr="008123E8" w:rsidRDefault="002C7570">
            <w:r w:rsidRPr="008123E8">
              <w:t>KOM (2011) 137</w:t>
            </w:r>
          </w:p>
        </w:tc>
      </w:tr>
      <w:tr w:rsidR="00000000" w:rsidRPr="0081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2C7570" w:rsidRPr="008123E8" w:rsidRDefault="002C7570">
            <w:pPr>
              <w:pStyle w:val="Dokumentbeteckning-titel"/>
            </w:pPr>
            <w:r w:rsidRPr="008123E8">
              <w:t>Förslag till Europaparlamentets och rådets förordning om ändring av förordning (EG) nr 1049/2001 om allmänhetens tillgång till Europaparlamentets, rådets och kommissionens handlingar</w:t>
            </w:r>
          </w:p>
        </w:tc>
      </w:tr>
      <w:tr w:rsidR="00000000" w:rsidRPr="0081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2C7570" w:rsidRPr="008123E8" w:rsidRDefault="002C7570">
            <w:r w:rsidRPr="008123E8">
              <w:t>2007/08:FPM117</w:t>
            </w:r>
          </w:p>
        </w:tc>
      </w:tr>
      <w:tr w:rsidR="00000000" w:rsidRPr="0081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2C7570" w:rsidRPr="008123E8" w:rsidRDefault="002C7570">
            <w:pPr>
              <w:pStyle w:val="Dokumentbeteckning-titel"/>
            </w:pPr>
            <w:r w:rsidRPr="008123E8">
              <w:t>Tidigare faktapromemoria i ärendet</w:t>
            </w:r>
          </w:p>
        </w:tc>
      </w:tr>
    </w:tbl>
    <w:p w:rsidR="002C7570" w:rsidRPr="008123E8" w:rsidRDefault="002C7570">
      <w:pPr>
        <w:pStyle w:val="Rubrik1"/>
        <w:numPr>
          <w:ilvl w:val="0"/>
          <w:numId w:val="0"/>
        </w:numPr>
      </w:pPr>
      <w:r w:rsidRPr="008123E8">
        <w:t>Sammanfattning</w:t>
      </w:r>
    </w:p>
    <w:p w:rsidR="002C7570" w:rsidRPr="008123E8" w:rsidRDefault="002C7570">
      <w:r w:rsidRPr="008123E8">
        <w:t xml:space="preserve">Kommissionens föreslagna ändringar i den s.k. öppenhetsförordningen syftar till att tekniskt anpassa förordningen till artikel 15 FEUF, som utvidgar allmänhetens rätt till tillgång till handlingar till att omfatta EU:s samtliga institutioner, organ och byråer. Enligt kommissionen ska förslaget inte påverka det pågående förfarandet för en omarbetning på grundval av ett tidigare lagt förslag (KOM(2008) 229). </w:t>
      </w:r>
    </w:p>
    <w:p w:rsidR="002C7570" w:rsidRPr="008123E8" w:rsidRDefault="002C7570">
      <w:r w:rsidRPr="008123E8">
        <w:t xml:space="preserve">Regeringen är positiv till förslaget. Sverige har under lång tid agerat för att allmänheten genom  regler om handlingsoffentlighet ska ges rätt till tillgång till handlingar som innehas av alla EU:s organ. </w:t>
      </w:r>
    </w:p>
    <w:p w:rsidR="002C7570" w:rsidRPr="008123E8" w:rsidRDefault="002C7570">
      <w:pPr>
        <w:pStyle w:val="Rubrik1"/>
      </w:pPr>
      <w:r w:rsidRPr="008123E8">
        <w:t>Förslaget</w:t>
      </w:r>
    </w:p>
    <w:p w:rsidR="002C7570" w:rsidRPr="008123E8" w:rsidRDefault="002C7570">
      <w:pPr>
        <w:pStyle w:val="Rubrik2"/>
      </w:pPr>
      <w:r w:rsidRPr="008123E8">
        <w:t>Ärendets bakgrund</w:t>
      </w:r>
    </w:p>
    <w:p w:rsidR="002C7570" w:rsidRPr="008123E8" w:rsidRDefault="002C7570">
      <w:r w:rsidRPr="008123E8">
        <w:t xml:space="preserve">Öppenhetsförordningen antogs under det svenska ordförandeskapet år 2001. Förordningen innebär att alla handlingar som finns hos Europaparlamentet, </w:t>
      </w:r>
      <w:r w:rsidRPr="008123E8">
        <w:lastRenderedPageBreak/>
        <w:t xml:space="preserve">rådet och kommissionen (institutionerna) är offentliga om inte innehållet omfattas av något av sekretessundantagen i denna förordning. </w:t>
      </w:r>
    </w:p>
    <w:p w:rsidR="002C7570" w:rsidRPr="008123E8" w:rsidRDefault="002C7570">
      <w:r w:rsidRPr="008123E8">
        <w:t>Kommissionens ursprungliga förslag till omarbetning av öppenhetsförordningen lades fram den 30 april 2008. Kommissionen anförde i motiveringen till förslaget att öppenhetsförordningen tillämpats i sex år samt att rättspraxis har utvecklats varför institutionerna nu kan göra en bedömning av hur förordningen fungerar och ändra den enligt detta.</w:t>
      </w:r>
      <w:r w:rsidRPr="008123E8">
        <w:rPr>
          <w:b/>
        </w:rPr>
        <w:t xml:space="preserve"> </w:t>
      </w:r>
      <w:r w:rsidRPr="008123E8">
        <w:t xml:space="preserve">Europaparlamentet röstade i mars 2009 igenom ett antal ändringsförslag, men beslutade att inte anta ett formellt yttrande. I december 2009 antog Europaparlamentet en resolution om Lissabonfördragets betydelse för förhandlingarna. Någon tidplan för Europaparlamentets hantering av förslaget finns inte. Rådet har i en arbetsgrupp avslutat en teknisk behandling av kommissionens förslag och avvaktar Europaparlamentets yttrande. </w:t>
      </w:r>
    </w:p>
    <w:p w:rsidR="002C7570" w:rsidRPr="008123E8" w:rsidRDefault="002C7570">
      <w:r w:rsidRPr="008123E8">
        <w:t>I samband med Lissabonfördragets ikraftträdande uttalade kommissionen att det var u</w:t>
      </w:r>
      <w:r w:rsidRPr="008123E8">
        <w:t>pp till de lagstiftande parterna att inom ramen för den pågående översynen av öppenhetsförordningen föreslå anpassningar till den nya rättsliga grunden i artikel 15 FEUF. Mot bakgrund av den bristande händelseutvecklingen i de pågående förhandlingarna presenterar kommissionen nu ett förslag med sådana anpassningar. Förslaget är inte avsett att påverka förhandlingarna om det ursprungliga förslaget.</w:t>
      </w:r>
    </w:p>
    <w:p w:rsidR="002C7570" w:rsidRPr="008123E8" w:rsidRDefault="002C7570">
      <w:pPr>
        <w:pStyle w:val="Rubrik2"/>
      </w:pPr>
      <w:r w:rsidRPr="008123E8">
        <w:t>Förslagets innehåll</w:t>
      </w:r>
    </w:p>
    <w:p w:rsidR="002C7570" w:rsidRPr="008123E8" w:rsidRDefault="002C7570">
      <w:r w:rsidRPr="008123E8">
        <w:t>Förslaget innebär att öppenhetsförordningens tillämpningsområde utsträcks till samtliga EU:s institutioner och organ istället för att som idag vara tillämplig endast på Europaparlamentet, rådet och kommissionen.</w:t>
      </w:r>
    </w:p>
    <w:p w:rsidR="002C7570" w:rsidRPr="008123E8" w:rsidRDefault="002C7570">
      <w:pPr>
        <w:pStyle w:val="Rubrik2"/>
      </w:pPr>
      <w:r w:rsidRPr="008123E8">
        <w:t>Gällande svenska regler och förslagets effekt på dessa</w:t>
      </w:r>
    </w:p>
    <w:p w:rsidR="002C7570" w:rsidRPr="008123E8" w:rsidRDefault="002C7570">
      <w:r w:rsidRPr="008123E8">
        <w:t>Förslaget behandlar endast tillgång till handlingar som innehas av EU:s institutioner, organ och myndigheter. Gällande svenska regler berörs inte. Innehållet i förslaget får alltså inte någon påverkan på den svenska offentlighetsprincipen.</w:t>
      </w:r>
    </w:p>
    <w:p w:rsidR="002C7570" w:rsidRPr="008123E8" w:rsidRDefault="002C7570">
      <w:pPr>
        <w:pStyle w:val="Rubrik2"/>
      </w:pPr>
      <w:r w:rsidRPr="008123E8">
        <w:t>Budgetära konsekvenser / Konsekvensanalys</w:t>
      </w:r>
    </w:p>
    <w:p w:rsidR="002C7570" w:rsidRPr="008123E8" w:rsidRDefault="002C7570">
      <w:r w:rsidRPr="008123E8">
        <w:t>Förordningen får inga budgetära konsekvenser.</w:t>
      </w:r>
    </w:p>
    <w:p w:rsidR="002C7570" w:rsidRPr="008123E8" w:rsidRDefault="002C7570">
      <w:pPr>
        <w:pStyle w:val="Rubrik1"/>
      </w:pPr>
      <w:r w:rsidRPr="008123E8">
        <w:t>Ståndpunkter</w:t>
      </w:r>
    </w:p>
    <w:p w:rsidR="002C7570" w:rsidRPr="008123E8" w:rsidRDefault="002C7570">
      <w:pPr>
        <w:pStyle w:val="Rubrik2"/>
      </w:pPr>
      <w:r w:rsidRPr="008123E8">
        <w:t>Preliminär svensk ståndpunkt</w:t>
      </w:r>
    </w:p>
    <w:p w:rsidR="002C7570" w:rsidRPr="008123E8" w:rsidRDefault="002C7570">
      <w:r w:rsidRPr="008123E8">
        <w:t xml:space="preserve">Regeringen välkomnar förslaget. Sverige har under lång tid agerat för att regler om handlingsoffentlighet ska gälla för alla EU:s organ. Nu finns en skyldighet för samtliga institutioner, organ och byråer att anta regler om handlingsoffentlighet. Regeringen anser att öppenhetsförordningens institutionella tillämpningsområde bör vidgas så snart som möjligt. </w:t>
      </w:r>
    </w:p>
    <w:p w:rsidR="002C7570" w:rsidRPr="008123E8" w:rsidRDefault="002C7570">
      <w:pPr>
        <w:pStyle w:val="Rubrik2"/>
      </w:pPr>
      <w:r w:rsidRPr="008123E8">
        <w:t>Medlemsstaternas ståndpunkter</w:t>
      </w:r>
    </w:p>
    <w:p w:rsidR="002C7570" w:rsidRPr="008123E8" w:rsidRDefault="002C7570">
      <w:r w:rsidRPr="008123E8">
        <w:t xml:space="preserve">Övriga medlemsstaters ståndpunkter är inte kända. </w:t>
      </w:r>
    </w:p>
    <w:p w:rsidR="002C7570" w:rsidRPr="008123E8" w:rsidRDefault="002C7570">
      <w:pPr>
        <w:pStyle w:val="Rubrik2"/>
      </w:pPr>
      <w:r w:rsidRPr="008123E8">
        <w:t>Institutionernas ståndpunkter</w:t>
      </w:r>
    </w:p>
    <w:p w:rsidR="002C7570" w:rsidRPr="008123E8" w:rsidRDefault="002C7570">
      <w:r w:rsidRPr="008123E8">
        <w:t>Någon inställning från rådet eller Europaparlamentet finns ännu inte.</w:t>
      </w:r>
    </w:p>
    <w:p w:rsidR="002C7570" w:rsidRPr="008123E8" w:rsidRDefault="002C7570">
      <w:pPr>
        <w:pStyle w:val="Rubrik2"/>
      </w:pPr>
      <w:r w:rsidRPr="008123E8">
        <w:t>Remissinstansernas ståndpunkter</w:t>
      </w:r>
    </w:p>
    <w:p w:rsidR="002C7570" w:rsidRPr="008123E8" w:rsidRDefault="002C7570">
      <w:r w:rsidRPr="008123E8">
        <w:t>Förslaget har inte remitterats.</w:t>
      </w:r>
    </w:p>
    <w:p w:rsidR="002C7570" w:rsidRPr="008123E8" w:rsidRDefault="002C7570">
      <w:pPr>
        <w:pStyle w:val="Rubrik1"/>
      </w:pPr>
      <w:r w:rsidRPr="008123E8">
        <w:t>Förslagets förutsättningar</w:t>
      </w:r>
    </w:p>
    <w:p w:rsidR="002C7570" w:rsidRPr="008123E8" w:rsidRDefault="002C7570">
      <w:pPr>
        <w:pStyle w:val="Rubrik2"/>
      </w:pPr>
      <w:r w:rsidRPr="008123E8">
        <w:t>Rättslig grund och beslutsförfarande</w:t>
      </w:r>
    </w:p>
    <w:p w:rsidR="002C7570" w:rsidRPr="008123E8" w:rsidRDefault="002C7570">
      <w:r w:rsidRPr="008123E8">
        <w:t>Den rättsliga grunden för allmänhetens tillgång till handlingar är numera artikel 15.3 FEUF.</w:t>
      </w:r>
      <w:r w:rsidRPr="008123E8">
        <w:t xml:space="preserve"> Rådet fattar beslut med kvalificerad majoritet. Europaparlamentet har medbeslutanderätt.</w:t>
      </w:r>
    </w:p>
    <w:p w:rsidR="002C7570" w:rsidRPr="008123E8" w:rsidRDefault="002C7570">
      <w:pPr>
        <w:pStyle w:val="Rubrik2"/>
      </w:pPr>
      <w:r w:rsidRPr="008123E8">
        <w:t>Subsidiaritets- och proportionalitetsprincipen</w:t>
      </w:r>
    </w:p>
    <w:p w:rsidR="002C7570" w:rsidRPr="008123E8" w:rsidRDefault="002C7570">
      <w:r w:rsidRPr="008123E8">
        <w:t>----------------------------------------</w:t>
      </w:r>
    </w:p>
    <w:p w:rsidR="002C7570" w:rsidRPr="008123E8" w:rsidRDefault="002C7570">
      <w:pPr>
        <w:pStyle w:val="Rubrik1"/>
      </w:pPr>
      <w:r w:rsidRPr="008123E8">
        <w:t>Övrigt</w:t>
      </w:r>
    </w:p>
    <w:p w:rsidR="002C7570" w:rsidRPr="008123E8" w:rsidRDefault="002C7570">
      <w:pPr>
        <w:pStyle w:val="Rubrik2"/>
      </w:pPr>
      <w:r w:rsidRPr="008123E8">
        <w:t>Fortsatt behandling av ärendet</w:t>
      </w:r>
    </w:p>
    <w:p w:rsidR="002C7570" w:rsidRPr="008123E8" w:rsidRDefault="002C7570">
      <w:r w:rsidRPr="008123E8">
        <w:t xml:space="preserve">Förslaget har presenterats i en rådsarbetsgrupp i april 2011. Det finns ännu ingen tidplan för de kommande förhandlingarna. </w:t>
      </w:r>
    </w:p>
    <w:p w:rsidR="002C7570" w:rsidRPr="008123E8" w:rsidRDefault="002C7570">
      <w:pPr>
        <w:pStyle w:val="Rubrik2"/>
      </w:pPr>
      <w:r w:rsidRPr="008123E8">
        <w:t>Fackuttryck/termer</w:t>
      </w:r>
    </w:p>
    <w:p w:rsidR="002C7570" w:rsidRPr="008123E8" w:rsidRDefault="002C7570">
      <w:r w:rsidRPr="008123E8">
        <w:t>---------------------------------------</w:t>
      </w:r>
    </w:p>
    <w:sectPr w:rsidR="002C7570" w:rsidRPr="00812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7570" w:rsidRPr="008123E8" w:rsidRDefault="002C7570">
      <w:r w:rsidRPr="008123E8">
        <w:separator/>
      </w:r>
    </w:p>
  </w:endnote>
  <w:endnote w:type="continuationSeparator" w:id="0">
    <w:p w:rsidR="002C7570" w:rsidRPr="008123E8" w:rsidRDefault="002C7570">
      <w:r w:rsidRPr="008123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570" w:rsidRPr="008123E8" w:rsidRDefault="002C75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570" w:rsidRPr="008123E8" w:rsidRDefault="002C7570">
    <w:pPr>
      <w:pStyle w:val="SidfotH"/>
      <w:framePr w:wrap="around"/>
    </w:pPr>
    <w:r w:rsidRPr="008123E8">
      <w:t>3</w:t>
    </w:r>
  </w:p>
  <w:p w:rsidR="002C7570" w:rsidRPr="008123E8" w:rsidRDefault="002C757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570" w:rsidRPr="008123E8" w:rsidRDefault="002C7570">
    <w:pPr>
      <w:pStyle w:val="SidfotH"/>
      <w:framePr w:wrap="around"/>
    </w:pPr>
    <w:r w:rsidRPr="008123E8">
      <w:t>1</w:t>
    </w:r>
  </w:p>
  <w:p w:rsidR="002C7570" w:rsidRPr="008123E8" w:rsidRDefault="002C75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7570" w:rsidRPr="008123E8" w:rsidRDefault="002C7570">
      <w:r w:rsidRPr="008123E8">
        <w:separator/>
      </w:r>
    </w:p>
  </w:footnote>
  <w:footnote w:type="continuationSeparator" w:id="0">
    <w:p w:rsidR="002C7570" w:rsidRPr="008123E8" w:rsidRDefault="002C7570">
      <w:r w:rsidRPr="008123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570" w:rsidRPr="008123E8" w:rsidRDefault="002C75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570" w:rsidRPr="008123E8" w:rsidRDefault="002C7570">
    <w:pPr>
      <w:pStyle w:val="Kantrubrik"/>
      <w:framePr w:h="1157" w:hRule="exact" w:wrap="around" w:y="738"/>
    </w:pPr>
    <w:r w:rsidRPr="008123E8">
      <w:t>2010/11:FPM97</w:t>
    </w:r>
  </w:p>
  <w:p w:rsidR="002C7570" w:rsidRPr="008123E8" w:rsidRDefault="002C757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570" w:rsidRPr="008123E8" w:rsidRDefault="008123E8">
    <w:pPr>
      <w:pStyle w:val="Sidhuvud"/>
    </w:pPr>
    <w:r w:rsidRPr="008123E8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18385687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570" w:rsidRDefault="002C7570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521593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2C7570" w:rsidRDefault="002C7570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521593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41223668">
    <w:abstractNumId w:val="4"/>
  </w:num>
  <w:num w:numId="2" w16cid:durableId="1332832226">
    <w:abstractNumId w:val="1"/>
  </w:num>
  <w:num w:numId="3" w16cid:durableId="391735185">
    <w:abstractNumId w:val="2"/>
  </w:num>
  <w:num w:numId="4" w16cid:durableId="2128506178">
    <w:abstractNumId w:val="3"/>
  </w:num>
  <w:num w:numId="5" w16cid:durableId="1133405597">
    <w:abstractNumId w:val="5"/>
  </w:num>
  <w:num w:numId="6" w16cid:durableId="12728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11-04-20"/>
    <w:docVar w:name="Ar" w:val="2010/11"/>
    <w:docVar w:name="Dep" w:val="Justitiedepartementet"/>
    <w:docVar w:name="DepWeb" w:val="Justitiedepartementet"/>
    <w:docVar w:name="GDB1" w:val="KOM (2008) 229"/>
    <w:docVar w:name="GDB10" w:val=" "/>
    <w:docVar w:name="GDB11" w:val=" "/>
    <w:docVar w:name="GDB12" w:val=" "/>
    <w:docVar w:name="GDB13" w:val=" "/>
    <w:docVar w:name="GDB2" w:val="KOM (2011) 137"/>
    <w:docVar w:name="GDB3" w:val="2007/08:FPM117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Europaparlamentets och rådets förordning om allmänhetens tillgång till Europaparlamentets, rådets och kommissionens handlingar (omarbetning)"/>
    <w:docVar w:name="GDT10" w:val=" "/>
    <w:docVar w:name="GDT11" w:val=" "/>
    <w:docVar w:name="GDT12" w:val=" "/>
    <w:docVar w:name="GDT13" w:val=" "/>
    <w:docVar w:name="GDT2" w:val="Förslag till Europaparlamentets och rådets förordning om ändring av förordning (EG) nr 1049/2001 om allmänhetens tillgång till Europaparlamentets, rådets och kommissionens handlingar"/>
    <w:docVar w:name="GDT3" w:val="Tidigare faktapromemoria i ärendet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8) 229, KOM (2011) 137, 2007/08:FPM117"/>
    <w:docVar w:name="Nr" w:val="97"/>
    <w:docVar w:name="RD_APPVERSION" w:val="3.00"/>
    <w:docVar w:name="Rub" w:val="EU:s öppenhetsförordning – nytt ändringsförslag"/>
    <w:docVar w:name="UppDat" w:val="2011-04-20"/>
    <w:docVar w:name="Utsk" w:val="Konstitutionsutskottet"/>
  </w:docVars>
  <w:rsids>
    <w:rsidRoot w:val="007505B8"/>
    <w:rsid w:val="002C7570"/>
    <w:rsid w:val="007505B8"/>
    <w:rsid w:val="0081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829419-ACDF-483D-9352-9A87C0B6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link w:val="FotnotstextChar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pPr>
      <w:tabs>
        <w:tab w:val="left" w:pos="2835"/>
      </w:tabs>
      <w:overflowPunct w:val="0"/>
      <w:autoSpaceDE w:val="0"/>
      <w:autoSpaceDN w:val="0"/>
      <w:adjustRightInd w:val="0"/>
      <w:spacing w:before="0" w:line="240" w:lineRule="atLeast"/>
      <w:jc w:val="left"/>
      <w:textAlignment w:val="baseline"/>
    </w:pPr>
    <w:rPr>
      <w:rFonts w:ascii="OrigGarmnd BT" w:hAnsi="OrigGarmnd BT"/>
      <w:sz w:val="24"/>
      <w:lang w:eastAsia="en-US"/>
    </w:rPr>
  </w:style>
  <w:style w:type="character" w:customStyle="1" w:styleId="FotnotstextChar">
    <w:name w:val="Fotnotstext Char"/>
    <w:basedOn w:val="Standardstycketeckensnitt"/>
    <w:link w:val="Fotnotstext"/>
    <w:rPr>
      <w:sz w:val="17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0203aa\Application%20Data\Microsoft\Mallar\Centralkansliet\Fakta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FaktaPM.dot</Template>
  <TotalTime>0</TotalTime>
  <Pages>2</Pages>
  <Words>566</Words>
  <Characters>4031</Characters>
  <Application>Microsoft Office Word</Application>
  <DocSecurity>4</DocSecurity>
  <Lines>87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FPM_201011__97</vt:lpstr>
    </vt:vector>
  </TitlesOfParts>
  <Company>RD-DTSL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FPM_201011__97</dc:title>
  <dc:subject>FPM_201011__97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2011-04-21T06:32:00Z</cp:lastPrinted>
  <dcterms:created xsi:type="dcterms:W3CDTF">2025-12-17T18:18:00Z</dcterms:created>
  <dcterms:modified xsi:type="dcterms:W3CDTF">2025-12-17T18:18:00Z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97</vt:lpwstr>
  </property>
  <property fmtid="{D5CDD505-2E9C-101B-9397-08002B2CF9AE}" pid="4" name="GDB1">
    <vt:lpwstr>KOM (2008) 229</vt:lpwstr>
  </property>
  <property fmtid="{D5CDD505-2E9C-101B-9397-08002B2CF9AE}" pid="5" name="GDT1">
    <vt:lpwstr> </vt:lpwstr>
  </property>
  <property fmtid="{D5CDD505-2E9C-101B-9397-08002B2CF9AE}" pid="6" name="Dep">
    <vt:lpwstr>Justitiedepartementet</vt:lpwstr>
  </property>
  <property fmtid="{D5CDD505-2E9C-101B-9397-08002B2CF9AE}" pid="7" name="Rub">
    <vt:lpwstr>EU:s öppenhetsförordning – nytt ändringsförslag</vt:lpwstr>
  </property>
  <property fmtid="{D5CDD505-2E9C-101B-9397-08002B2CF9AE}" pid="8" name="UppDat">
    <vt:lpwstr>2011-04-20</vt:lpwstr>
  </property>
  <property fmtid="{D5CDD505-2E9C-101B-9397-08002B2CF9AE}" pid="9" name="AnkDat">
    <vt:lpwstr>2011-04-20</vt:lpwstr>
  </property>
  <property fmtid="{D5CDD505-2E9C-101B-9397-08002B2CF9AE}" pid="10" name="Utsk">
    <vt:lpwstr>Konstitutionsutskottet</vt:lpwstr>
  </property>
  <property fmtid="{D5CDD505-2E9C-101B-9397-08002B2CF9AE}" pid="11" name="Ar">
    <vt:lpwstr>2010/11</vt:lpwstr>
  </property>
  <property fmtid="{D5CDD505-2E9C-101B-9397-08002B2CF9AE}" pid="12" name="Dokumenttyp">
    <vt:lpwstr> FaktaPM</vt:lpwstr>
  </property>
  <property fmtid="{D5CDD505-2E9C-101B-9397-08002B2CF9AE}" pid="13" name="Epostadress">
    <vt:lpwstr>jb0203aa</vt:lpwstr>
  </property>
  <property fmtid="{D5CDD505-2E9C-101B-9397-08002B2CF9AE}" pid="14" name="GDB2">
    <vt:lpwstr>KOM (2011) 137</vt:lpwstr>
  </property>
  <property fmtid="{D5CDD505-2E9C-101B-9397-08002B2CF9AE}" pid="15" name="GDB3">
    <vt:lpwstr>2007/08:FPM117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JA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Landsbygd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DepID">
    <vt:lpwstr>2;0;0;205</vt:lpwstr>
  </property>
  <property fmtid="{D5CDD505-2E9C-101B-9397-08002B2CF9AE}" pid="41" name="Sprak">
    <vt:lpwstr>Svenska</vt:lpwstr>
  </property>
  <property fmtid="{D5CDD505-2E9C-101B-9397-08002B2CF9AE}" pid="42" name="DokID">
    <vt:i4>80</vt:i4>
  </property>
  <property fmtid="{D5CDD505-2E9C-101B-9397-08002B2CF9AE}" pid="43" name="ContentType">
    <vt:lpwstr>Word</vt:lpwstr>
  </property>
  <property fmtid="{D5CDD505-2E9C-101B-9397-08002B2CF9AE}" pid="44" name="RKOrdnaDepartement">
    <vt:lpwstr>Finansdepartementet</vt:lpwstr>
  </property>
  <property fmtid="{D5CDD505-2E9C-101B-9397-08002B2CF9AE}" pid="45" name="RKOrdnaActivityCategory">
    <vt:lpwstr>4.1. Europeiska unionen</vt:lpwstr>
  </property>
  <property fmtid="{D5CDD505-2E9C-101B-9397-08002B2CF9AE}" pid="46" name="RKOrdnaDiarienummer">
    <vt:lpwstr/>
  </property>
  <property fmtid="{D5CDD505-2E9C-101B-9397-08002B2CF9AE}" pid="47" name="RKOrdnaSearchKeywords">
    <vt:lpwstr/>
  </property>
  <property fmtid="{D5CDD505-2E9C-101B-9397-08002B2CF9AE}" pid="48" name="RKOrdnaSarskildSkyddsvard">
    <vt:lpwstr>0</vt:lpwstr>
  </property>
  <property fmtid="{D5CDD505-2E9C-101B-9397-08002B2CF9AE}" pid="49" name="Jordbruksdepartementet">
    <vt:lpwstr>NEJ</vt:lpwstr>
  </property>
</Properties>
</file>