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bookmarkStart w:id="0" w:name="_GoBack"/>
            <w:bookmarkEnd w:id="0"/>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5AEC632D" w14:textId="6F87FB41" w:rsidR="00E367BE" w:rsidRDefault="00E367BE" w:rsidP="0096348C">
      <w:pPr>
        <w:rPr>
          <w:szCs w:val="24"/>
        </w:rPr>
      </w:pPr>
    </w:p>
    <w:p w14:paraId="4EBEE566" w14:textId="77777777" w:rsidR="004B155E" w:rsidRPr="0024734C" w:rsidRDefault="004B155E"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2F4212CF" w:rsidR="00BF5B1A" w:rsidRPr="0024734C" w:rsidRDefault="00B96F91" w:rsidP="0096348C">
            <w:pPr>
              <w:rPr>
                <w:b/>
                <w:szCs w:val="24"/>
              </w:rPr>
            </w:pPr>
            <w:r w:rsidRPr="0024734C">
              <w:rPr>
                <w:b/>
                <w:szCs w:val="24"/>
              </w:rPr>
              <w:t>UTSKOTTSSAMMANTRÄDE 20</w:t>
            </w:r>
            <w:r w:rsidR="00A36F5C">
              <w:rPr>
                <w:b/>
                <w:szCs w:val="24"/>
              </w:rPr>
              <w:t>20</w:t>
            </w:r>
            <w:r w:rsidRPr="0024734C">
              <w:rPr>
                <w:b/>
                <w:szCs w:val="24"/>
              </w:rPr>
              <w:t>/</w:t>
            </w:r>
            <w:r w:rsidR="00A924F6">
              <w:rPr>
                <w:b/>
                <w:szCs w:val="24"/>
              </w:rPr>
              <w:t>2</w:t>
            </w:r>
            <w:r w:rsidR="00A36F5C">
              <w:rPr>
                <w:b/>
                <w:szCs w:val="24"/>
              </w:rPr>
              <w:t>1</w:t>
            </w:r>
            <w:r w:rsidR="000D522A" w:rsidRPr="0024734C">
              <w:rPr>
                <w:b/>
                <w:szCs w:val="24"/>
              </w:rPr>
              <w:t>:</w:t>
            </w:r>
            <w:r w:rsidR="00737F4C">
              <w:rPr>
                <w:b/>
                <w:szCs w:val="24"/>
              </w:rPr>
              <w:t>12</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680FA884" w:rsidR="00BF5B1A" w:rsidRPr="0024734C" w:rsidRDefault="00B96F91" w:rsidP="0096348C">
            <w:pPr>
              <w:rPr>
                <w:szCs w:val="24"/>
              </w:rPr>
            </w:pPr>
            <w:r w:rsidRPr="00F12717">
              <w:rPr>
                <w:szCs w:val="24"/>
              </w:rPr>
              <w:t>20</w:t>
            </w:r>
            <w:r w:rsidR="00317CD0" w:rsidRPr="00F12717">
              <w:rPr>
                <w:szCs w:val="24"/>
              </w:rPr>
              <w:t>20</w:t>
            </w:r>
            <w:r w:rsidRPr="00F12717">
              <w:rPr>
                <w:szCs w:val="24"/>
              </w:rPr>
              <w:t>-</w:t>
            </w:r>
            <w:r w:rsidR="006B1362" w:rsidRPr="00F12717">
              <w:rPr>
                <w:szCs w:val="24"/>
              </w:rPr>
              <w:t>1</w:t>
            </w:r>
            <w:r w:rsidR="00737F4C">
              <w:rPr>
                <w:szCs w:val="24"/>
              </w:rPr>
              <w:t>1</w:t>
            </w:r>
            <w:r w:rsidR="00222310" w:rsidRPr="00F12717">
              <w:rPr>
                <w:szCs w:val="24"/>
              </w:rPr>
              <w:t>-</w:t>
            </w:r>
            <w:r w:rsidR="00737F4C">
              <w:rPr>
                <w:szCs w:val="24"/>
              </w:rPr>
              <w:t>12</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68488421" w:rsidR="00F90728" w:rsidRPr="0024734C" w:rsidRDefault="00A36F5C" w:rsidP="00EE1733">
            <w:pPr>
              <w:rPr>
                <w:szCs w:val="24"/>
              </w:rPr>
            </w:pPr>
            <w:r w:rsidRPr="00EE6FD5">
              <w:rPr>
                <w:szCs w:val="24"/>
              </w:rPr>
              <w:t>1</w:t>
            </w:r>
            <w:r w:rsidR="00737F4C" w:rsidRPr="00EE6FD5">
              <w:rPr>
                <w:szCs w:val="24"/>
              </w:rPr>
              <w:t>0</w:t>
            </w:r>
            <w:r w:rsidR="0024734C" w:rsidRPr="00EE6FD5">
              <w:rPr>
                <w:szCs w:val="24"/>
              </w:rPr>
              <w:t>.</w:t>
            </w:r>
            <w:r w:rsidR="00685034" w:rsidRPr="00EE6FD5">
              <w:rPr>
                <w:szCs w:val="24"/>
              </w:rPr>
              <w:t>0</w:t>
            </w:r>
            <w:r w:rsidR="000705B3" w:rsidRPr="00EE6FD5">
              <w:rPr>
                <w:szCs w:val="24"/>
              </w:rPr>
              <w:t>0</w:t>
            </w:r>
            <w:r w:rsidR="00953995" w:rsidRPr="00EE6FD5">
              <w:rPr>
                <w:szCs w:val="24"/>
              </w:rPr>
              <w:t>–</w:t>
            </w:r>
            <w:r w:rsidR="00EE6FD5" w:rsidRPr="00EE6FD5">
              <w:rPr>
                <w:szCs w:val="24"/>
              </w:rPr>
              <w:t>11</w:t>
            </w:r>
            <w:r w:rsidR="00A14E4B" w:rsidRPr="00EE6FD5">
              <w:rPr>
                <w:szCs w:val="24"/>
              </w:rPr>
              <w:t>.</w:t>
            </w:r>
            <w:r w:rsidR="00EE6FD5" w:rsidRPr="00EE6FD5">
              <w:rPr>
                <w:szCs w:val="24"/>
              </w:rPr>
              <w:t>2</w:t>
            </w:r>
            <w:r w:rsidR="00737F4C" w:rsidRPr="00EE6FD5">
              <w:rPr>
                <w:szCs w:val="24"/>
              </w:rPr>
              <w:t>0</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5DF3C4B3" w14:textId="0C734C68" w:rsidR="001D72BF" w:rsidRDefault="001D72BF" w:rsidP="00D15874">
      <w:pPr>
        <w:tabs>
          <w:tab w:val="left" w:pos="1418"/>
        </w:tabs>
        <w:rPr>
          <w:snapToGrid w:val="0"/>
          <w:szCs w:val="24"/>
        </w:rPr>
      </w:pPr>
    </w:p>
    <w:p w14:paraId="3C3FA2DF" w14:textId="77777777" w:rsidR="00067358" w:rsidRPr="0024734C" w:rsidRDefault="00067358"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5F4AB0" w:rsidRPr="005F4AB0" w14:paraId="17EC3645" w14:textId="77777777" w:rsidTr="006568DC">
        <w:tc>
          <w:tcPr>
            <w:tcW w:w="567" w:type="dxa"/>
          </w:tcPr>
          <w:p w14:paraId="54E20EB0" w14:textId="77777777" w:rsidR="0086408F" w:rsidRPr="005F4AB0" w:rsidRDefault="009137F0" w:rsidP="0096348C">
            <w:pPr>
              <w:tabs>
                <w:tab w:val="left" w:pos="1701"/>
              </w:tabs>
              <w:rPr>
                <w:b/>
                <w:snapToGrid w:val="0"/>
                <w:szCs w:val="24"/>
              </w:rPr>
            </w:pPr>
            <w:r w:rsidRPr="005F4AB0">
              <w:rPr>
                <w:b/>
                <w:snapToGrid w:val="0"/>
                <w:szCs w:val="24"/>
              </w:rPr>
              <w:t>§1</w:t>
            </w:r>
          </w:p>
        </w:tc>
        <w:tc>
          <w:tcPr>
            <w:tcW w:w="7017" w:type="dxa"/>
          </w:tcPr>
          <w:p w14:paraId="0AC9A80F" w14:textId="77777777" w:rsidR="00737F4C" w:rsidRPr="005F4AB0" w:rsidRDefault="00737F4C" w:rsidP="00737F4C">
            <w:pPr>
              <w:rPr>
                <w:b/>
                <w:bCs/>
                <w:szCs w:val="24"/>
              </w:rPr>
            </w:pPr>
            <w:r w:rsidRPr="005F4AB0">
              <w:rPr>
                <w:b/>
                <w:bCs/>
                <w:szCs w:val="24"/>
              </w:rPr>
              <w:t>Medgivande att delta på distans</w:t>
            </w:r>
          </w:p>
          <w:p w14:paraId="7540ED96" w14:textId="77777777" w:rsidR="00737F4C" w:rsidRPr="005F4AB0" w:rsidRDefault="00737F4C" w:rsidP="00737F4C">
            <w:pPr>
              <w:rPr>
                <w:bCs/>
                <w:szCs w:val="24"/>
              </w:rPr>
            </w:pPr>
          </w:p>
          <w:p w14:paraId="56E77ECA" w14:textId="5A149725" w:rsidR="00737F4C" w:rsidRPr="00EE6FD5" w:rsidRDefault="00737F4C" w:rsidP="00737F4C">
            <w:pPr>
              <w:ind w:right="69"/>
              <w:rPr>
                <w:szCs w:val="26"/>
              </w:rPr>
            </w:pPr>
            <w:r w:rsidRPr="005F4AB0">
              <w:rPr>
                <w:bCs/>
              </w:rPr>
              <w:t xml:space="preserve">Utskottet medgav deltagande på distans för följande ordinarie ledamöter och </w:t>
            </w:r>
            <w:r w:rsidRPr="00B057C7">
              <w:rPr>
                <w:bCs/>
              </w:rPr>
              <w:t>suppleanter</w:t>
            </w:r>
            <w:r w:rsidRPr="00B057C7">
              <w:rPr>
                <w:szCs w:val="26"/>
              </w:rPr>
              <w:t xml:space="preserve">: </w:t>
            </w:r>
            <w:r w:rsidRPr="00EE6FD5">
              <w:rPr>
                <w:szCs w:val="26"/>
              </w:rPr>
              <w:t>Kristina Nilsson (S), Camilla Waltersson Grönvall (M), Ann-Christin Ahlberg (S), Johan Hultberg (M), Mikael Dahlqvist (S), Sofia Nilsson (C), Karin Rågsjö (V), Carina Ståhl Herrstedt (SD), Dag Larsson (S), Lina Nordquist (L), Christina Östberg (SD), Pernilla Stålhammar (MP), Michael Anefur (KD), Mats Wiking (S), Ulrika Jörgensen (M), Anders W Jonsson (C), Maj Karlsson (V), Ann-Christine From Utterstedt (SD), Pia Steensland (KD), Barbro Westerholm (L), Bengt Eliasson (L), Lena Emilsson (S) och Mats Sander (M). Även</w:t>
            </w:r>
            <w:r w:rsidR="00EE6FD5" w:rsidRPr="00EE6FD5">
              <w:rPr>
                <w:szCs w:val="26"/>
              </w:rPr>
              <w:t xml:space="preserve"> fem</w:t>
            </w:r>
            <w:r w:rsidRPr="00EE6FD5">
              <w:rPr>
                <w:szCs w:val="26"/>
              </w:rPr>
              <w:t xml:space="preserve"> tjänstemän från utskottets kansli</w:t>
            </w:r>
            <w:r w:rsidR="002A0B07">
              <w:rPr>
                <w:szCs w:val="26"/>
              </w:rPr>
              <w:t xml:space="preserve"> och en tjänsteman från EU-nämndens kansli</w:t>
            </w:r>
            <w:r w:rsidRPr="00EE6FD5">
              <w:rPr>
                <w:szCs w:val="26"/>
              </w:rPr>
              <w:t xml:space="preserve"> medgavs att delta på distans.</w:t>
            </w:r>
          </w:p>
          <w:p w14:paraId="4C3B3EFC" w14:textId="77777777" w:rsidR="0086408F" w:rsidRPr="005F4AB0" w:rsidRDefault="0086408F" w:rsidP="0018159D">
            <w:pPr>
              <w:widowControl/>
              <w:autoSpaceDE w:val="0"/>
              <w:autoSpaceDN w:val="0"/>
              <w:adjustRightInd w:val="0"/>
              <w:textAlignment w:val="center"/>
              <w:rPr>
                <w:bCs/>
                <w:szCs w:val="24"/>
              </w:rPr>
            </w:pPr>
          </w:p>
        </w:tc>
      </w:tr>
      <w:tr w:rsidR="005F4AB0" w:rsidRPr="005F4AB0" w14:paraId="277EAEDC" w14:textId="77777777" w:rsidTr="006568DC">
        <w:tc>
          <w:tcPr>
            <w:tcW w:w="567" w:type="dxa"/>
          </w:tcPr>
          <w:p w14:paraId="1F28DA27" w14:textId="2FB8AFA5" w:rsidR="00541144" w:rsidRPr="005F4AB0" w:rsidRDefault="00541144" w:rsidP="0096348C">
            <w:pPr>
              <w:tabs>
                <w:tab w:val="left" w:pos="1701"/>
              </w:tabs>
              <w:rPr>
                <w:b/>
                <w:snapToGrid w:val="0"/>
                <w:szCs w:val="24"/>
              </w:rPr>
            </w:pPr>
            <w:r w:rsidRPr="005F4AB0">
              <w:rPr>
                <w:b/>
                <w:snapToGrid w:val="0"/>
                <w:szCs w:val="24"/>
              </w:rPr>
              <w:t xml:space="preserve">§ </w:t>
            </w:r>
            <w:r w:rsidR="008F5B30" w:rsidRPr="005F4AB0">
              <w:rPr>
                <w:b/>
                <w:snapToGrid w:val="0"/>
                <w:szCs w:val="24"/>
              </w:rPr>
              <w:t>2</w:t>
            </w:r>
          </w:p>
        </w:tc>
        <w:tc>
          <w:tcPr>
            <w:tcW w:w="7017" w:type="dxa"/>
          </w:tcPr>
          <w:p w14:paraId="56B0C14A" w14:textId="3803ECD6" w:rsidR="00C754A4" w:rsidRPr="005F4AB0" w:rsidRDefault="00F65FE0" w:rsidP="00C754A4">
            <w:pPr>
              <w:rPr>
                <w:b/>
                <w:bCs/>
                <w:szCs w:val="24"/>
              </w:rPr>
            </w:pPr>
            <w:r w:rsidRPr="005F4AB0">
              <w:rPr>
                <w:b/>
                <w:bCs/>
                <w:szCs w:val="24"/>
              </w:rPr>
              <w:t>Information från S</w:t>
            </w:r>
            <w:r w:rsidR="000F6D52" w:rsidRPr="005F4AB0">
              <w:rPr>
                <w:b/>
                <w:bCs/>
                <w:szCs w:val="24"/>
              </w:rPr>
              <w:t>ocialdepartementet</w:t>
            </w:r>
          </w:p>
          <w:p w14:paraId="39DC50DF" w14:textId="77777777" w:rsidR="00F65FE0" w:rsidRPr="005F4AB0" w:rsidRDefault="00F65FE0" w:rsidP="00C754A4">
            <w:pPr>
              <w:rPr>
                <w:b/>
                <w:bCs/>
                <w:szCs w:val="24"/>
              </w:rPr>
            </w:pPr>
          </w:p>
          <w:p w14:paraId="44DE07FF" w14:textId="422463B3" w:rsidR="000F6D52" w:rsidRDefault="000F6D52" w:rsidP="00F65FE0">
            <w:pPr>
              <w:rPr>
                <w:bCs/>
                <w:szCs w:val="24"/>
              </w:rPr>
            </w:pPr>
            <w:r w:rsidRPr="00787C3A">
              <w:rPr>
                <w:bCs/>
                <w:szCs w:val="24"/>
              </w:rPr>
              <w:t xml:space="preserve">Statssekreterare Maja Fjaestad, </w:t>
            </w:r>
            <w:r w:rsidR="002327ED" w:rsidRPr="00787C3A">
              <w:rPr>
                <w:bCs/>
                <w:szCs w:val="24"/>
              </w:rPr>
              <w:t xml:space="preserve">Socialdepartementet, </w:t>
            </w:r>
            <w:r w:rsidRPr="00787C3A">
              <w:rPr>
                <w:bCs/>
                <w:szCs w:val="24"/>
              </w:rPr>
              <w:t xml:space="preserve">med medarbetare </w:t>
            </w:r>
            <w:r w:rsidR="00787C3A" w:rsidRPr="00787C3A">
              <w:rPr>
                <w:bCs/>
                <w:szCs w:val="24"/>
              </w:rPr>
              <w:t>informerade</w:t>
            </w:r>
            <w:r w:rsidR="00787C3A">
              <w:rPr>
                <w:bCs/>
                <w:szCs w:val="24"/>
              </w:rPr>
              <w:t xml:space="preserve"> </w:t>
            </w:r>
            <w:r w:rsidR="00787C3A" w:rsidRPr="00787C3A">
              <w:rPr>
                <w:bCs/>
                <w:szCs w:val="24"/>
              </w:rPr>
              <w:t>på distans</w:t>
            </w:r>
            <w:r w:rsidRPr="00787C3A">
              <w:rPr>
                <w:bCs/>
                <w:szCs w:val="24"/>
              </w:rPr>
              <w:t xml:space="preserve"> </w:t>
            </w:r>
            <w:r w:rsidR="00787C3A" w:rsidRPr="00787C3A">
              <w:rPr>
                <w:bCs/>
                <w:szCs w:val="24"/>
              </w:rPr>
              <w:t xml:space="preserve">om dagordningen för EPSCO-möten </w:t>
            </w:r>
            <w:r w:rsidR="00EE6FD5" w:rsidRPr="00787C3A">
              <w:rPr>
                <w:bCs/>
                <w:szCs w:val="24"/>
              </w:rPr>
              <w:t>2–3</w:t>
            </w:r>
            <w:r w:rsidR="00787C3A" w:rsidRPr="00787C3A">
              <w:rPr>
                <w:bCs/>
                <w:szCs w:val="24"/>
              </w:rPr>
              <w:t xml:space="preserve"> december och om aktuella EU-frågor.</w:t>
            </w:r>
          </w:p>
          <w:p w14:paraId="0D5F9909" w14:textId="25B8FD66" w:rsidR="00787C3A" w:rsidRPr="00787C3A" w:rsidRDefault="00787C3A" w:rsidP="00F65FE0">
            <w:pPr>
              <w:rPr>
                <w:bCs/>
                <w:szCs w:val="24"/>
              </w:rPr>
            </w:pPr>
          </w:p>
        </w:tc>
      </w:tr>
      <w:tr w:rsidR="005F4AB0" w:rsidRPr="005F4AB0" w14:paraId="0EE5FA2A" w14:textId="77777777" w:rsidTr="00FD112B">
        <w:tc>
          <w:tcPr>
            <w:tcW w:w="567" w:type="dxa"/>
          </w:tcPr>
          <w:p w14:paraId="27AC3A4A" w14:textId="22895AB5" w:rsidR="002327ED" w:rsidRPr="005F4AB0" w:rsidRDefault="002327ED" w:rsidP="002327ED">
            <w:pPr>
              <w:tabs>
                <w:tab w:val="left" w:pos="1701"/>
              </w:tabs>
              <w:rPr>
                <w:b/>
                <w:snapToGrid w:val="0"/>
                <w:szCs w:val="24"/>
              </w:rPr>
            </w:pPr>
            <w:r w:rsidRPr="005F4AB0">
              <w:rPr>
                <w:b/>
                <w:snapToGrid w:val="0"/>
                <w:szCs w:val="24"/>
              </w:rPr>
              <w:t>§ 3</w:t>
            </w:r>
          </w:p>
        </w:tc>
        <w:tc>
          <w:tcPr>
            <w:tcW w:w="7017" w:type="dxa"/>
            <w:shd w:val="clear" w:color="auto" w:fill="auto"/>
          </w:tcPr>
          <w:p w14:paraId="500BE6E1" w14:textId="77777777" w:rsidR="002327ED" w:rsidRPr="00FD112B" w:rsidRDefault="002327ED" w:rsidP="002327ED">
            <w:pPr>
              <w:rPr>
                <w:b/>
                <w:bCs/>
                <w:szCs w:val="24"/>
              </w:rPr>
            </w:pPr>
            <w:r w:rsidRPr="00FD112B">
              <w:rPr>
                <w:b/>
                <w:bCs/>
                <w:szCs w:val="24"/>
              </w:rPr>
              <w:t xml:space="preserve">Överläggning - under förutsättning av utskottets beslut - med företrädare för regeringen </w:t>
            </w:r>
          </w:p>
          <w:p w14:paraId="73A5286A" w14:textId="77777777" w:rsidR="002327ED" w:rsidRPr="00FD112B" w:rsidRDefault="002327ED" w:rsidP="002327ED">
            <w:pPr>
              <w:rPr>
                <w:bCs/>
                <w:szCs w:val="24"/>
              </w:rPr>
            </w:pPr>
          </w:p>
          <w:p w14:paraId="220C732E" w14:textId="69F61230" w:rsidR="002327ED" w:rsidRPr="00FD112B" w:rsidRDefault="002327ED" w:rsidP="002327ED">
            <w:pPr>
              <w:rPr>
                <w:rStyle w:val="bold"/>
                <w:bCs/>
                <w:szCs w:val="24"/>
              </w:rPr>
            </w:pPr>
            <w:r w:rsidRPr="00FD112B">
              <w:rPr>
                <w:rStyle w:val="bold"/>
                <w:rFonts w:eastAsia="Calibri"/>
                <w:bCs/>
                <w:szCs w:val="24"/>
                <w:lang w:eastAsia="en-US"/>
              </w:rPr>
              <w:t xml:space="preserve">Utskottet beslutade med stöd av 7 kap. 12 § riksdagsordningen att överlägga med regeringen om ett </w:t>
            </w:r>
            <w:r w:rsidR="00787C3A" w:rsidRPr="00FD112B">
              <w:rPr>
                <w:rStyle w:val="bold"/>
                <w:rFonts w:eastAsia="Calibri"/>
                <w:bCs/>
                <w:szCs w:val="24"/>
                <w:lang w:eastAsia="en-US"/>
              </w:rPr>
              <w:t>förslag till rådsslutsatser om lärdomar från covid-19</w:t>
            </w:r>
            <w:r w:rsidRPr="00FD112B">
              <w:rPr>
                <w:bCs/>
                <w:szCs w:val="24"/>
              </w:rPr>
              <w:t xml:space="preserve"> </w:t>
            </w:r>
            <w:r w:rsidRPr="00FD112B">
              <w:rPr>
                <w:rStyle w:val="bold"/>
                <w:rFonts w:eastAsia="Calibri"/>
                <w:bCs/>
                <w:szCs w:val="24"/>
                <w:lang w:eastAsia="en-US"/>
              </w:rPr>
              <w:t xml:space="preserve">och överlade därefter med statssekreterare </w:t>
            </w:r>
            <w:r w:rsidRPr="00FD112B">
              <w:t>Maja Fjaestad</w:t>
            </w:r>
            <w:r w:rsidRPr="00FD112B">
              <w:rPr>
                <w:rStyle w:val="bold"/>
                <w:rFonts w:eastAsia="Calibri"/>
                <w:bCs/>
                <w:szCs w:val="24"/>
                <w:lang w:eastAsia="en-US"/>
              </w:rPr>
              <w:t xml:space="preserve">, Socialdepartementet, med medarbetare. </w:t>
            </w:r>
          </w:p>
          <w:p w14:paraId="52AB6B2D" w14:textId="77777777" w:rsidR="002327ED" w:rsidRPr="00FD112B" w:rsidRDefault="002327ED" w:rsidP="002327ED">
            <w:pPr>
              <w:tabs>
                <w:tab w:val="left" w:pos="1701"/>
              </w:tabs>
              <w:rPr>
                <w:rStyle w:val="bold"/>
                <w:rFonts w:eastAsia="Calibri"/>
                <w:bCs/>
                <w:szCs w:val="24"/>
                <w:lang w:eastAsia="en-US"/>
              </w:rPr>
            </w:pPr>
          </w:p>
          <w:p w14:paraId="153B716C" w14:textId="69014D08" w:rsidR="002327ED" w:rsidRPr="00FD112B" w:rsidRDefault="002327ED" w:rsidP="002327ED">
            <w:pPr>
              <w:tabs>
                <w:tab w:val="left" w:pos="1701"/>
              </w:tabs>
              <w:rPr>
                <w:rStyle w:val="bold"/>
                <w:rFonts w:eastAsia="Calibri"/>
                <w:bCs/>
                <w:szCs w:val="24"/>
                <w:lang w:eastAsia="en-US"/>
              </w:rPr>
            </w:pPr>
            <w:r w:rsidRPr="00FD112B">
              <w:rPr>
                <w:rStyle w:val="bold"/>
                <w:rFonts w:eastAsia="Calibri"/>
                <w:bCs/>
                <w:szCs w:val="24"/>
                <w:lang w:eastAsia="en-US"/>
              </w:rPr>
              <w:t xml:space="preserve">Underlaget utgjordes av </w:t>
            </w:r>
            <w:r w:rsidR="00201F57">
              <w:rPr>
                <w:rStyle w:val="bold"/>
                <w:rFonts w:eastAsia="Calibri"/>
                <w:bCs/>
                <w:szCs w:val="24"/>
                <w:lang w:eastAsia="en-US"/>
              </w:rPr>
              <w:t>det tyska ordförandeskapets</w:t>
            </w:r>
            <w:r w:rsidRPr="00FD112B">
              <w:rPr>
                <w:rStyle w:val="bold"/>
                <w:rFonts w:eastAsia="Calibri"/>
                <w:bCs/>
                <w:szCs w:val="24"/>
                <w:lang w:eastAsia="en-US"/>
              </w:rPr>
              <w:t xml:space="preserve"> förslag till rådsslutsatser och en överläggningspromemoria från Socialdepartementet (dnr. </w:t>
            </w:r>
            <w:r w:rsidR="00FD112B" w:rsidRPr="00FD112B">
              <w:rPr>
                <w:rStyle w:val="bold"/>
                <w:rFonts w:eastAsia="Calibri"/>
                <w:bCs/>
                <w:szCs w:val="24"/>
                <w:lang w:eastAsia="en-US"/>
              </w:rPr>
              <w:t>606</w:t>
            </w:r>
            <w:r w:rsidRPr="00FD112B">
              <w:rPr>
                <w:rStyle w:val="bold"/>
                <w:rFonts w:eastAsia="Calibri"/>
                <w:bCs/>
                <w:szCs w:val="24"/>
                <w:lang w:eastAsia="en-US"/>
              </w:rPr>
              <w:t>–2020/21).</w:t>
            </w:r>
          </w:p>
          <w:p w14:paraId="247AE812" w14:textId="77777777" w:rsidR="002327ED" w:rsidRPr="00FD112B" w:rsidRDefault="002327ED" w:rsidP="002327ED">
            <w:pPr>
              <w:tabs>
                <w:tab w:val="left" w:pos="1701"/>
              </w:tabs>
              <w:rPr>
                <w:rStyle w:val="bold"/>
                <w:rFonts w:eastAsia="Calibri"/>
                <w:bCs/>
                <w:szCs w:val="24"/>
                <w:lang w:eastAsia="en-US"/>
              </w:rPr>
            </w:pPr>
          </w:p>
          <w:p w14:paraId="1A25B7FC" w14:textId="29D1131C" w:rsidR="002327ED" w:rsidRPr="00FD112B" w:rsidRDefault="002327ED" w:rsidP="002327ED">
            <w:pPr>
              <w:tabs>
                <w:tab w:val="left" w:pos="1701"/>
              </w:tabs>
              <w:rPr>
                <w:rStyle w:val="bold"/>
                <w:rFonts w:eastAsia="Calibri"/>
                <w:bCs/>
                <w:szCs w:val="24"/>
                <w:lang w:eastAsia="en-US"/>
              </w:rPr>
            </w:pPr>
            <w:r w:rsidRPr="00FD112B">
              <w:rPr>
                <w:rStyle w:val="bold"/>
                <w:rFonts w:eastAsia="Calibri"/>
                <w:bCs/>
                <w:szCs w:val="24"/>
                <w:lang w:eastAsia="en-US"/>
              </w:rPr>
              <w:t xml:space="preserve">Statssekreteraren redogjorde för regeringens ståndpunkt i enlighet med </w:t>
            </w:r>
            <w:r w:rsidR="00201F57">
              <w:rPr>
                <w:rStyle w:val="bold"/>
                <w:rFonts w:eastAsia="Calibri"/>
                <w:bCs/>
                <w:szCs w:val="24"/>
                <w:lang w:eastAsia="en-US"/>
              </w:rPr>
              <w:t>överläggningspromemorian</w:t>
            </w:r>
            <w:r w:rsidRPr="00FD112B">
              <w:rPr>
                <w:rStyle w:val="bold"/>
                <w:rFonts w:eastAsia="Calibri"/>
                <w:bCs/>
                <w:szCs w:val="24"/>
                <w:lang w:eastAsia="en-US"/>
              </w:rPr>
              <w:t>:</w:t>
            </w:r>
          </w:p>
          <w:p w14:paraId="340FEFED" w14:textId="77777777" w:rsidR="002327ED" w:rsidRPr="00FD112B" w:rsidRDefault="002327ED" w:rsidP="002327ED">
            <w:pPr>
              <w:tabs>
                <w:tab w:val="left" w:pos="1701"/>
              </w:tabs>
              <w:rPr>
                <w:rStyle w:val="bold"/>
                <w:rFonts w:eastAsia="Calibri"/>
                <w:bCs/>
                <w:szCs w:val="24"/>
                <w:lang w:eastAsia="en-US"/>
              </w:rPr>
            </w:pPr>
          </w:p>
          <w:p w14:paraId="12077908" w14:textId="0F84F670" w:rsidR="0035389B" w:rsidRPr="00FD112B" w:rsidRDefault="0035389B" w:rsidP="0035389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välkomnar att det tyska ordförandeskapet har presenterat ett förslag till rådslutsatser. Det är angeläget att dra lärdomar av pandemin. Regeringen anser dock att utkastet till rådsslutsatser skulle tjäna på att tydligare fokusera på frågor som är kopplade till pandemin.</w:t>
            </w:r>
          </w:p>
          <w:p w14:paraId="3759D8C2" w14:textId="77777777" w:rsidR="0035389B" w:rsidRPr="00FD112B" w:rsidRDefault="0035389B" w:rsidP="0035389B">
            <w:pPr>
              <w:tabs>
                <w:tab w:val="left" w:pos="1701"/>
              </w:tabs>
              <w:ind w:left="280" w:right="495"/>
              <w:rPr>
                <w:rStyle w:val="bold"/>
                <w:rFonts w:eastAsia="Calibri"/>
                <w:bCs/>
                <w:sz w:val="22"/>
                <w:szCs w:val="22"/>
                <w:lang w:eastAsia="en-US"/>
              </w:rPr>
            </w:pPr>
          </w:p>
          <w:p w14:paraId="43BAD8FC" w14:textId="7AEED477" w:rsidR="0035389B" w:rsidRPr="00FD112B" w:rsidRDefault="0035389B" w:rsidP="0035389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lastRenderedPageBreak/>
              <w:t xml:space="preserve">Regeringen anser att det är angeläget att identifiera ytterligare områden där det är relevant med samarbete, och där EU-gemensamma åtgärder har ett mervärde. Det kan till exempel handla om förbättrat samarbete inom krishantering och försörjning av medicinprodukter. Samtidigt bör man beakta att smittskydd huvudsakligen är medlemsstaternas ansvar. Regeringen anser också att en viktig lärdom från pandemin är vikten av att säkerställa att grundläggande </w:t>
            </w:r>
            <w:proofErr w:type="spellStart"/>
            <w:r w:rsidRPr="00FD112B">
              <w:rPr>
                <w:rStyle w:val="bold"/>
                <w:rFonts w:eastAsia="Calibri"/>
                <w:bCs/>
                <w:sz w:val="22"/>
                <w:szCs w:val="22"/>
                <w:lang w:eastAsia="en-US"/>
              </w:rPr>
              <w:t>EU-regelverk</w:t>
            </w:r>
            <w:proofErr w:type="spellEnd"/>
            <w:r w:rsidRPr="00FD112B">
              <w:rPr>
                <w:rStyle w:val="bold"/>
                <w:rFonts w:eastAsia="Calibri"/>
                <w:bCs/>
                <w:sz w:val="22"/>
                <w:szCs w:val="22"/>
                <w:lang w:eastAsia="en-US"/>
              </w:rPr>
              <w:t>, som den inre marknadens funktionssätt, upprätthålls även när samhället utsätts för prövningar.</w:t>
            </w:r>
          </w:p>
          <w:p w14:paraId="25443EC1" w14:textId="77777777" w:rsidR="0035389B" w:rsidRPr="00FD112B" w:rsidRDefault="0035389B" w:rsidP="0035389B">
            <w:pPr>
              <w:tabs>
                <w:tab w:val="left" w:pos="1701"/>
              </w:tabs>
              <w:ind w:left="280" w:right="495"/>
              <w:rPr>
                <w:rStyle w:val="bold"/>
                <w:rFonts w:eastAsia="Calibri"/>
                <w:bCs/>
                <w:sz w:val="22"/>
                <w:szCs w:val="22"/>
                <w:lang w:eastAsia="en-US"/>
              </w:rPr>
            </w:pPr>
          </w:p>
          <w:p w14:paraId="60C01B2D" w14:textId="11531959" w:rsidR="002327ED" w:rsidRPr="00FD112B" w:rsidRDefault="0035389B" w:rsidP="0035389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avser verka för skrivningar om europeisk hälsosuveränitet som tar hänsyn till behovet av en öppen ekonomi och värnandet av den inre marknaden, även i kristider. Vidare anser regeringen att utkastet till rådsslutsatser inte bör föregripa kommande förslag avseende exempelvis ECDC:s mandat.</w:t>
            </w:r>
          </w:p>
          <w:p w14:paraId="398EFB56" w14:textId="77777777" w:rsidR="002327ED" w:rsidRPr="00FD112B" w:rsidRDefault="002327ED" w:rsidP="002327ED">
            <w:pPr>
              <w:tabs>
                <w:tab w:val="left" w:pos="1701"/>
              </w:tabs>
              <w:rPr>
                <w:rStyle w:val="bold"/>
                <w:rFonts w:eastAsia="Calibri"/>
                <w:bCs/>
                <w:szCs w:val="24"/>
                <w:lang w:eastAsia="en-US"/>
              </w:rPr>
            </w:pPr>
          </w:p>
          <w:p w14:paraId="3D4CDC7F" w14:textId="77777777" w:rsidR="002327ED" w:rsidRPr="00FD112B" w:rsidRDefault="002327ED" w:rsidP="002327ED">
            <w:pPr>
              <w:tabs>
                <w:tab w:val="left" w:pos="1701"/>
              </w:tabs>
              <w:rPr>
                <w:rStyle w:val="bold"/>
                <w:rFonts w:eastAsia="Calibri"/>
                <w:bCs/>
                <w:szCs w:val="24"/>
                <w:lang w:eastAsia="en-US"/>
              </w:rPr>
            </w:pPr>
            <w:r w:rsidRPr="00FD112B">
              <w:rPr>
                <w:rStyle w:val="bold"/>
                <w:rFonts w:eastAsia="Calibri"/>
                <w:bCs/>
                <w:szCs w:val="24"/>
                <w:lang w:eastAsia="en-US"/>
              </w:rPr>
              <w:t>Ordföranden konstaterade att det fanns stöd för regeringens ståndpunkt.</w:t>
            </w:r>
          </w:p>
          <w:p w14:paraId="418E8217" w14:textId="77777777" w:rsidR="002327ED" w:rsidRPr="00FD112B" w:rsidRDefault="002327ED" w:rsidP="002327ED">
            <w:pPr>
              <w:tabs>
                <w:tab w:val="left" w:pos="1701"/>
              </w:tabs>
              <w:rPr>
                <w:rStyle w:val="bold"/>
                <w:rFonts w:eastAsia="Calibri"/>
                <w:bCs/>
                <w:szCs w:val="24"/>
                <w:lang w:eastAsia="en-US"/>
              </w:rPr>
            </w:pPr>
          </w:p>
          <w:p w14:paraId="132193E9" w14:textId="77777777" w:rsidR="002327ED" w:rsidRPr="00FD112B" w:rsidRDefault="002327ED" w:rsidP="002327ED">
            <w:pPr>
              <w:tabs>
                <w:tab w:val="left" w:pos="1701"/>
              </w:tabs>
              <w:rPr>
                <w:rFonts w:eastAsia="Calibri"/>
                <w:bCs/>
                <w:szCs w:val="24"/>
                <w:lang w:eastAsia="en-US"/>
              </w:rPr>
            </w:pPr>
            <w:r w:rsidRPr="00FD112B">
              <w:rPr>
                <w:rStyle w:val="bold"/>
                <w:rFonts w:eastAsia="Calibri"/>
                <w:bCs/>
                <w:szCs w:val="24"/>
                <w:lang w:eastAsia="en-US"/>
              </w:rPr>
              <w:t>Denna paragraf förklarades omedelbart justerad.</w:t>
            </w:r>
          </w:p>
          <w:p w14:paraId="1544E3DB" w14:textId="79E33732" w:rsidR="002327ED" w:rsidRPr="00FD112B" w:rsidRDefault="002327ED" w:rsidP="002327ED">
            <w:pPr>
              <w:rPr>
                <w:b/>
                <w:bCs/>
                <w:szCs w:val="24"/>
              </w:rPr>
            </w:pPr>
          </w:p>
        </w:tc>
      </w:tr>
      <w:tr w:rsidR="00965A44" w:rsidRPr="005F4AB0" w14:paraId="1F42B6BB" w14:textId="77777777" w:rsidTr="00FD112B">
        <w:tc>
          <w:tcPr>
            <w:tcW w:w="567" w:type="dxa"/>
          </w:tcPr>
          <w:p w14:paraId="351E6887" w14:textId="4489C32E" w:rsidR="00965A44" w:rsidRPr="005F4AB0" w:rsidRDefault="00965A44" w:rsidP="00965A44">
            <w:pPr>
              <w:tabs>
                <w:tab w:val="left" w:pos="1701"/>
              </w:tabs>
              <w:rPr>
                <w:b/>
                <w:snapToGrid w:val="0"/>
                <w:szCs w:val="24"/>
              </w:rPr>
            </w:pPr>
            <w:r>
              <w:rPr>
                <w:b/>
                <w:snapToGrid w:val="0"/>
                <w:szCs w:val="24"/>
              </w:rPr>
              <w:lastRenderedPageBreak/>
              <w:t>§ 4</w:t>
            </w:r>
          </w:p>
        </w:tc>
        <w:tc>
          <w:tcPr>
            <w:tcW w:w="7017" w:type="dxa"/>
            <w:shd w:val="clear" w:color="auto" w:fill="auto"/>
          </w:tcPr>
          <w:p w14:paraId="5724B729" w14:textId="77777777" w:rsidR="00965A44" w:rsidRPr="00FD112B" w:rsidRDefault="00965A44" w:rsidP="00965A44">
            <w:pPr>
              <w:rPr>
                <w:b/>
                <w:bCs/>
                <w:szCs w:val="24"/>
              </w:rPr>
            </w:pPr>
            <w:r w:rsidRPr="00FD112B">
              <w:rPr>
                <w:b/>
                <w:bCs/>
                <w:szCs w:val="24"/>
              </w:rPr>
              <w:t xml:space="preserve">Överläggning - under förutsättning av utskottets beslut - med företrädare för regeringen </w:t>
            </w:r>
          </w:p>
          <w:p w14:paraId="369380DA" w14:textId="77777777" w:rsidR="00965A44" w:rsidRPr="00FD112B" w:rsidRDefault="00965A44" w:rsidP="00965A44">
            <w:pPr>
              <w:rPr>
                <w:bCs/>
                <w:szCs w:val="24"/>
              </w:rPr>
            </w:pPr>
          </w:p>
          <w:p w14:paraId="53C306AF" w14:textId="73FEEDA8" w:rsidR="00965A44" w:rsidRPr="00FD112B" w:rsidRDefault="00965A44" w:rsidP="00965A44">
            <w:pPr>
              <w:rPr>
                <w:rStyle w:val="bold"/>
                <w:bCs/>
                <w:szCs w:val="24"/>
              </w:rPr>
            </w:pPr>
            <w:r w:rsidRPr="00FD112B">
              <w:rPr>
                <w:rStyle w:val="bold"/>
                <w:rFonts w:eastAsia="Calibri"/>
                <w:bCs/>
                <w:szCs w:val="24"/>
                <w:lang w:eastAsia="en-US"/>
              </w:rPr>
              <w:t>Utskottet beslutade med stöd av 7 kap. 12 § riksdagsordningen att överlägga med regeringen om ett förslag till rådsslutsatser om EU:s narkotikastrategi</w:t>
            </w:r>
            <w:r w:rsidRPr="00FD112B">
              <w:rPr>
                <w:bCs/>
                <w:szCs w:val="24"/>
              </w:rPr>
              <w:t xml:space="preserve"> </w:t>
            </w:r>
            <w:r w:rsidRPr="00FD112B">
              <w:rPr>
                <w:rStyle w:val="bold"/>
                <w:rFonts w:eastAsia="Calibri"/>
                <w:bCs/>
                <w:szCs w:val="24"/>
                <w:lang w:eastAsia="en-US"/>
              </w:rPr>
              <w:t xml:space="preserve">och överlade därefter med statssekreterare </w:t>
            </w:r>
            <w:r w:rsidRPr="00FD112B">
              <w:t>Maja Fjaestad</w:t>
            </w:r>
            <w:r w:rsidRPr="00FD112B">
              <w:rPr>
                <w:rStyle w:val="bold"/>
                <w:rFonts w:eastAsia="Calibri"/>
                <w:bCs/>
                <w:szCs w:val="24"/>
                <w:lang w:eastAsia="en-US"/>
              </w:rPr>
              <w:t xml:space="preserve">, Socialdepartementet, med medarbetare. </w:t>
            </w:r>
          </w:p>
          <w:p w14:paraId="7BE43918" w14:textId="77777777" w:rsidR="00965A44" w:rsidRPr="00FD112B" w:rsidRDefault="00965A44" w:rsidP="00965A44">
            <w:pPr>
              <w:tabs>
                <w:tab w:val="left" w:pos="1701"/>
              </w:tabs>
              <w:rPr>
                <w:rStyle w:val="bold"/>
                <w:rFonts w:eastAsia="Calibri"/>
                <w:bCs/>
                <w:szCs w:val="24"/>
                <w:lang w:eastAsia="en-US"/>
              </w:rPr>
            </w:pPr>
          </w:p>
          <w:p w14:paraId="7D6F3F88" w14:textId="0858A3F8" w:rsidR="00965A44" w:rsidRPr="00FD112B" w:rsidRDefault="00965A44" w:rsidP="00965A44">
            <w:pPr>
              <w:tabs>
                <w:tab w:val="left" w:pos="1701"/>
              </w:tabs>
              <w:rPr>
                <w:rStyle w:val="bold"/>
                <w:rFonts w:eastAsia="Calibri"/>
                <w:bCs/>
                <w:szCs w:val="24"/>
                <w:lang w:eastAsia="en-US"/>
              </w:rPr>
            </w:pPr>
            <w:r w:rsidRPr="00FD112B">
              <w:rPr>
                <w:rStyle w:val="bold"/>
                <w:rFonts w:eastAsia="Calibri"/>
                <w:bCs/>
                <w:szCs w:val="24"/>
                <w:lang w:eastAsia="en-US"/>
              </w:rPr>
              <w:t xml:space="preserve">Underlaget utgjordes av </w:t>
            </w:r>
            <w:r w:rsidR="00201F57">
              <w:rPr>
                <w:rStyle w:val="bold"/>
                <w:rFonts w:eastAsia="Calibri"/>
                <w:bCs/>
                <w:szCs w:val="24"/>
                <w:lang w:eastAsia="en-US"/>
              </w:rPr>
              <w:t>det tyska ordförandeskapets</w:t>
            </w:r>
            <w:r w:rsidRPr="00FD112B">
              <w:rPr>
                <w:rStyle w:val="bold"/>
                <w:rFonts w:eastAsia="Calibri"/>
                <w:bCs/>
                <w:szCs w:val="24"/>
                <w:lang w:eastAsia="en-US"/>
              </w:rPr>
              <w:t xml:space="preserve"> förslag till </w:t>
            </w:r>
            <w:r w:rsidR="00201F57">
              <w:rPr>
                <w:rStyle w:val="bold"/>
                <w:rFonts w:eastAsia="Calibri"/>
                <w:bCs/>
                <w:szCs w:val="24"/>
                <w:lang w:eastAsia="en-US"/>
              </w:rPr>
              <w:t>strategi</w:t>
            </w:r>
            <w:r w:rsidRPr="00FD112B">
              <w:rPr>
                <w:rStyle w:val="bold"/>
                <w:rFonts w:eastAsia="Calibri"/>
                <w:bCs/>
                <w:szCs w:val="24"/>
                <w:lang w:eastAsia="en-US"/>
              </w:rPr>
              <w:t xml:space="preserve"> och en överläggningspromemoria från Socialdepartementet (dnr. </w:t>
            </w:r>
            <w:r w:rsidR="00FD112B" w:rsidRPr="00FD112B">
              <w:rPr>
                <w:rStyle w:val="bold"/>
                <w:rFonts w:eastAsia="Calibri"/>
                <w:bCs/>
                <w:szCs w:val="24"/>
                <w:lang w:eastAsia="en-US"/>
              </w:rPr>
              <w:t>604</w:t>
            </w:r>
            <w:r w:rsidRPr="00FD112B">
              <w:rPr>
                <w:rStyle w:val="bold"/>
                <w:rFonts w:eastAsia="Calibri"/>
                <w:bCs/>
                <w:szCs w:val="24"/>
                <w:lang w:eastAsia="en-US"/>
              </w:rPr>
              <w:t>–2020/21).</w:t>
            </w:r>
          </w:p>
          <w:p w14:paraId="2FE54150" w14:textId="77777777" w:rsidR="00965A44" w:rsidRPr="00FD112B" w:rsidRDefault="00965A44" w:rsidP="00965A44">
            <w:pPr>
              <w:tabs>
                <w:tab w:val="left" w:pos="1701"/>
              </w:tabs>
              <w:rPr>
                <w:rStyle w:val="bold"/>
                <w:rFonts w:eastAsia="Calibri"/>
                <w:bCs/>
                <w:szCs w:val="24"/>
                <w:lang w:eastAsia="en-US"/>
              </w:rPr>
            </w:pPr>
          </w:p>
          <w:p w14:paraId="09076C1D" w14:textId="1991C657" w:rsidR="00965A44" w:rsidRPr="00FD112B" w:rsidRDefault="00965A44" w:rsidP="00965A44">
            <w:pPr>
              <w:tabs>
                <w:tab w:val="left" w:pos="1701"/>
              </w:tabs>
              <w:rPr>
                <w:rStyle w:val="bold"/>
                <w:rFonts w:eastAsia="Calibri"/>
                <w:bCs/>
                <w:szCs w:val="24"/>
                <w:lang w:eastAsia="en-US"/>
              </w:rPr>
            </w:pPr>
            <w:r w:rsidRPr="00FD112B">
              <w:rPr>
                <w:rStyle w:val="bold"/>
                <w:rFonts w:eastAsia="Calibri"/>
                <w:bCs/>
                <w:szCs w:val="24"/>
                <w:lang w:eastAsia="en-US"/>
              </w:rPr>
              <w:t xml:space="preserve">Statssekreteraren redogjorde för regeringens ståndpunkt i enlighet med </w:t>
            </w:r>
            <w:r w:rsidR="00201F57">
              <w:rPr>
                <w:rStyle w:val="bold"/>
                <w:rFonts w:eastAsia="Calibri"/>
                <w:bCs/>
                <w:szCs w:val="24"/>
                <w:lang w:eastAsia="en-US"/>
              </w:rPr>
              <w:t>överläggningspromemoria</w:t>
            </w:r>
            <w:r w:rsidRPr="00FD112B">
              <w:rPr>
                <w:rStyle w:val="bold"/>
                <w:rFonts w:eastAsia="Calibri"/>
                <w:bCs/>
                <w:szCs w:val="24"/>
                <w:lang w:eastAsia="en-US"/>
              </w:rPr>
              <w:t>:</w:t>
            </w:r>
          </w:p>
          <w:p w14:paraId="7CCB4409" w14:textId="77777777" w:rsidR="00965A44" w:rsidRPr="00FD112B" w:rsidRDefault="00965A44" w:rsidP="00965A44">
            <w:pPr>
              <w:tabs>
                <w:tab w:val="left" w:pos="1701"/>
              </w:tabs>
              <w:rPr>
                <w:rStyle w:val="bold"/>
                <w:rFonts w:eastAsia="Calibri"/>
                <w:bCs/>
                <w:szCs w:val="24"/>
                <w:lang w:eastAsia="en-US"/>
              </w:rPr>
            </w:pPr>
          </w:p>
          <w:p w14:paraId="66873039" w14:textId="62960650"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välkomnar det tyska EU-ordförandeskapets förslag på ny narkotikastrategi för EU.</w:t>
            </w:r>
          </w:p>
          <w:p w14:paraId="49512B26" w14:textId="77777777" w:rsidR="00731E1B" w:rsidRPr="00FD112B" w:rsidRDefault="00731E1B" w:rsidP="00731E1B">
            <w:pPr>
              <w:tabs>
                <w:tab w:val="left" w:pos="1701"/>
              </w:tabs>
              <w:ind w:left="280" w:right="495"/>
              <w:rPr>
                <w:rStyle w:val="bold"/>
                <w:rFonts w:eastAsia="Calibri"/>
                <w:bCs/>
                <w:sz w:val="22"/>
                <w:szCs w:val="22"/>
                <w:lang w:eastAsia="en-US"/>
              </w:rPr>
            </w:pPr>
          </w:p>
          <w:p w14:paraId="6B51F8BC" w14:textId="307D1310"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ser positivt på att den nya narkotikastrategin har fått ett tydligt fokus på folkhälsa och menar att rätten till hälsa är en mänsklig rättighet som bör vara vägledande i EU:s arbete med narkotikafrågor.</w:t>
            </w:r>
          </w:p>
          <w:p w14:paraId="422F026F" w14:textId="77777777" w:rsidR="00731E1B" w:rsidRPr="00FD112B" w:rsidRDefault="00731E1B" w:rsidP="00731E1B">
            <w:pPr>
              <w:tabs>
                <w:tab w:val="left" w:pos="1701"/>
              </w:tabs>
              <w:ind w:left="280" w:right="495"/>
              <w:rPr>
                <w:rStyle w:val="bold"/>
                <w:rFonts w:eastAsia="Calibri"/>
                <w:bCs/>
                <w:sz w:val="22"/>
                <w:szCs w:val="22"/>
                <w:lang w:eastAsia="en-US"/>
              </w:rPr>
            </w:pPr>
          </w:p>
          <w:p w14:paraId="42C03211" w14:textId="49F11E94"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är generellt positivt inställd till innehållet i strategin om förebyggande insatser, skademinskning samt vård och stöd. Regeringen anser dock att det är viktigt att medlemsstaterna ges utrymme att anpassa åtgärder utifrån nationella behov och förutsättningar.</w:t>
            </w:r>
          </w:p>
          <w:p w14:paraId="0034882E" w14:textId="77777777" w:rsidR="00731E1B" w:rsidRPr="00FD112B" w:rsidRDefault="00731E1B" w:rsidP="00731E1B">
            <w:pPr>
              <w:tabs>
                <w:tab w:val="left" w:pos="1701"/>
              </w:tabs>
              <w:ind w:left="280" w:right="495"/>
              <w:rPr>
                <w:rStyle w:val="bold"/>
                <w:rFonts w:eastAsia="Calibri"/>
                <w:bCs/>
                <w:sz w:val="22"/>
                <w:szCs w:val="22"/>
                <w:lang w:eastAsia="en-US"/>
              </w:rPr>
            </w:pPr>
          </w:p>
          <w:p w14:paraId="624D940F" w14:textId="207D4108"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välkomnar åtgärderna för att minska tillgången på narkotika och är positiv till att förslagen från kommissionens meddelande om EU:s narkotikaagenda har behållits. Regeringen ser behov av kraftfullare åtgärder mot narkotikarelaterad brottslighet, särskilt organiserad brottslighet.</w:t>
            </w:r>
          </w:p>
          <w:p w14:paraId="45C787D3" w14:textId="77777777" w:rsidR="00731E1B" w:rsidRPr="00FD112B" w:rsidRDefault="00731E1B" w:rsidP="00731E1B">
            <w:pPr>
              <w:tabs>
                <w:tab w:val="left" w:pos="1701"/>
              </w:tabs>
              <w:ind w:left="280" w:right="495"/>
              <w:rPr>
                <w:rStyle w:val="bold"/>
                <w:rFonts w:eastAsia="Calibri"/>
                <w:bCs/>
                <w:sz w:val="22"/>
                <w:szCs w:val="22"/>
                <w:lang w:eastAsia="en-US"/>
              </w:rPr>
            </w:pPr>
          </w:p>
          <w:p w14:paraId="5535F424" w14:textId="7A590FFE"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anser att strategin bör genomsyras av ett tydligt jämställdhets- och jämlikhetsperspektiv liksom att den ska bidra till att uppnå målen i Agenda 2030.</w:t>
            </w:r>
          </w:p>
          <w:p w14:paraId="63B09E5C" w14:textId="77777777" w:rsidR="00731E1B" w:rsidRPr="00FD112B" w:rsidRDefault="00731E1B" w:rsidP="00731E1B">
            <w:pPr>
              <w:tabs>
                <w:tab w:val="left" w:pos="1701"/>
              </w:tabs>
              <w:ind w:left="280" w:right="495"/>
              <w:rPr>
                <w:rStyle w:val="bold"/>
                <w:rFonts w:eastAsia="Calibri"/>
                <w:bCs/>
                <w:sz w:val="22"/>
                <w:szCs w:val="22"/>
                <w:lang w:eastAsia="en-US"/>
              </w:rPr>
            </w:pPr>
          </w:p>
          <w:p w14:paraId="11E3EA1D" w14:textId="12B277F5" w:rsidR="00731E1B"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är positiv till det tydliga fokuset i strategin på internationellt samarbete kring narkotikafrågorna samt att man framhåller vikten av respekt för mänskliga rättigheter och rättsstatens principer.</w:t>
            </w:r>
          </w:p>
          <w:p w14:paraId="7755FDD5" w14:textId="77777777" w:rsidR="00731E1B" w:rsidRPr="00FD112B" w:rsidRDefault="00731E1B" w:rsidP="00731E1B">
            <w:pPr>
              <w:tabs>
                <w:tab w:val="left" w:pos="1701"/>
              </w:tabs>
              <w:ind w:left="280" w:right="495"/>
              <w:rPr>
                <w:rStyle w:val="bold"/>
                <w:rFonts w:eastAsia="Calibri"/>
                <w:bCs/>
                <w:sz w:val="22"/>
                <w:szCs w:val="22"/>
                <w:lang w:eastAsia="en-US"/>
              </w:rPr>
            </w:pPr>
          </w:p>
          <w:p w14:paraId="1CFE139E" w14:textId="2D013C7A" w:rsidR="00965A44" w:rsidRPr="00FD112B" w:rsidRDefault="00731E1B" w:rsidP="00731E1B">
            <w:pPr>
              <w:tabs>
                <w:tab w:val="left" w:pos="1701"/>
              </w:tabs>
              <w:ind w:left="280" w:right="495"/>
              <w:rPr>
                <w:rStyle w:val="bold"/>
                <w:rFonts w:eastAsia="Calibri"/>
                <w:bCs/>
                <w:sz w:val="22"/>
                <w:szCs w:val="22"/>
                <w:lang w:eastAsia="en-US"/>
              </w:rPr>
            </w:pPr>
            <w:r w:rsidRPr="00FD112B">
              <w:rPr>
                <w:rStyle w:val="bold"/>
                <w:rFonts w:eastAsia="Calibri"/>
                <w:bCs/>
                <w:sz w:val="22"/>
                <w:szCs w:val="22"/>
                <w:lang w:eastAsia="en-US"/>
              </w:rPr>
              <w:t>Regeringen välkomnar även att strategin har ett tydligt fokus på forskning och innovation samt en framtidsorienterad ansats.</w:t>
            </w:r>
          </w:p>
          <w:p w14:paraId="5A436219" w14:textId="77777777" w:rsidR="00965A44" w:rsidRPr="00FD112B" w:rsidRDefault="00965A44" w:rsidP="00965A44">
            <w:pPr>
              <w:tabs>
                <w:tab w:val="left" w:pos="1701"/>
              </w:tabs>
              <w:rPr>
                <w:rStyle w:val="bold"/>
                <w:rFonts w:eastAsia="Calibri"/>
                <w:bCs/>
                <w:szCs w:val="24"/>
                <w:lang w:eastAsia="en-US"/>
              </w:rPr>
            </w:pPr>
          </w:p>
          <w:p w14:paraId="661740C8" w14:textId="77777777" w:rsidR="00965A44" w:rsidRPr="00FD112B" w:rsidRDefault="00965A44" w:rsidP="00965A44">
            <w:pPr>
              <w:tabs>
                <w:tab w:val="left" w:pos="1701"/>
              </w:tabs>
              <w:rPr>
                <w:rStyle w:val="bold"/>
                <w:rFonts w:eastAsia="Calibri"/>
                <w:bCs/>
                <w:szCs w:val="24"/>
                <w:lang w:eastAsia="en-US"/>
              </w:rPr>
            </w:pPr>
            <w:r w:rsidRPr="00FD112B">
              <w:rPr>
                <w:rStyle w:val="bold"/>
                <w:rFonts w:eastAsia="Calibri"/>
                <w:bCs/>
                <w:szCs w:val="24"/>
                <w:lang w:eastAsia="en-US"/>
              </w:rPr>
              <w:t>Ordföranden konstaterade att det fanns stöd för regeringens ståndpunkt.</w:t>
            </w:r>
          </w:p>
          <w:p w14:paraId="251D217C" w14:textId="77777777" w:rsidR="00965A44" w:rsidRPr="00FD112B" w:rsidRDefault="00965A44" w:rsidP="00965A44">
            <w:pPr>
              <w:tabs>
                <w:tab w:val="left" w:pos="1701"/>
              </w:tabs>
              <w:rPr>
                <w:rStyle w:val="bold"/>
                <w:rFonts w:eastAsia="Calibri"/>
                <w:bCs/>
                <w:szCs w:val="24"/>
                <w:lang w:eastAsia="en-US"/>
              </w:rPr>
            </w:pPr>
          </w:p>
          <w:p w14:paraId="699A49F1" w14:textId="77777777" w:rsidR="00965A44" w:rsidRPr="00FD112B" w:rsidRDefault="00965A44" w:rsidP="00965A44">
            <w:pPr>
              <w:tabs>
                <w:tab w:val="left" w:pos="1701"/>
              </w:tabs>
              <w:rPr>
                <w:rFonts w:eastAsia="Calibri"/>
                <w:bCs/>
                <w:szCs w:val="24"/>
                <w:lang w:eastAsia="en-US"/>
              </w:rPr>
            </w:pPr>
            <w:r w:rsidRPr="00FD112B">
              <w:rPr>
                <w:rStyle w:val="bold"/>
                <w:rFonts w:eastAsia="Calibri"/>
                <w:bCs/>
                <w:szCs w:val="24"/>
                <w:lang w:eastAsia="en-US"/>
              </w:rPr>
              <w:t>Denna paragraf förklarades omedelbart justerad.</w:t>
            </w:r>
          </w:p>
          <w:p w14:paraId="6A9CDFCD" w14:textId="77777777" w:rsidR="00965A44" w:rsidRPr="00FD112B" w:rsidRDefault="00965A44" w:rsidP="00965A44">
            <w:pPr>
              <w:rPr>
                <w:b/>
                <w:bCs/>
                <w:szCs w:val="24"/>
              </w:rPr>
            </w:pPr>
          </w:p>
        </w:tc>
      </w:tr>
      <w:tr w:rsidR="009C2D1A" w:rsidRPr="005F4AB0" w14:paraId="04B2C514" w14:textId="77777777" w:rsidTr="006568DC">
        <w:tc>
          <w:tcPr>
            <w:tcW w:w="567" w:type="dxa"/>
          </w:tcPr>
          <w:p w14:paraId="7E238A13" w14:textId="772C8A6B" w:rsidR="009C2D1A" w:rsidRPr="00EE6FD5" w:rsidRDefault="009C2D1A" w:rsidP="00965A44">
            <w:pPr>
              <w:tabs>
                <w:tab w:val="left" w:pos="1701"/>
              </w:tabs>
              <w:rPr>
                <w:b/>
                <w:snapToGrid w:val="0"/>
                <w:szCs w:val="24"/>
              </w:rPr>
            </w:pPr>
            <w:r w:rsidRPr="00EE6FD5">
              <w:rPr>
                <w:b/>
                <w:snapToGrid w:val="0"/>
                <w:szCs w:val="24"/>
              </w:rPr>
              <w:lastRenderedPageBreak/>
              <w:t>§ 5</w:t>
            </w:r>
          </w:p>
        </w:tc>
        <w:tc>
          <w:tcPr>
            <w:tcW w:w="7017" w:type="dxa"/>
          </w:tcPr>
          <w:p w14:paraId="01D285AE" w14:textId="77777777" w:rsidR="009C2D1A" w:rsidRPr="00EE6FD5" w:rsidRDefault="009C2D1A" w:rsidP="009C2D1A">
            <w:pPr>
              <w:rPr>
                <w:b/>
                <w:bCs/>
                <w:szCs w:val="24"/>
              </w:rPr>
            </w:pPr>
            <w:r w:rsidRPr="00EE6FD5">
              <w:rPr>
                <w:b/>
                <w:bCs/>
                <w:szCs w:val="24"/>
              </w:rPr>
              <w:t>Medgivande att delta på distans</w:t>
            </w:r>
          </w:p>
          <w:p w14:paraId="4E141882" w14:textId="77777777" w:rsidR="009C2D1A" w:rsidRPr="00EE6FD5" w:rsidRDefault="009C2D1A" w:rsidP="009C2D1A">
            <w:pPr>
              <w:ind w:right="69"/>
              <w:rPr>
                <w:bCs/>
              </w:rPr>
            </w:pPr>
          </w:p>
          <w:p w14:paraId="593F367A" w14:textId="11582AC3" w:rsidR="009C2D1A" w:rsidRPr="00EE6FD5" w:rsidRDefault="009C2D1A" w:rsidP="009C2D1A">
            <w:pPr>
              <w:ind w:right="69"/>
              <w:rPr>
                <w:szCs w:val="26"/>
              </w:rPr>
            </w:pPr>
            <w:r w:rsidRPr="00EE6FD5">
              <w:rPr>
                <w:bCs/>
              </w:rPr>
              <w:t>Utskottet medgav deltagande på distans under informationen från Smer för följande ledamöter från civilutskottet</w:t>
            </w:r>
            <w:r w:rsidRPr="00EE6FD5">
              <w:rPr>
                <w:szCs w:val="26"/>
              </w:rPr>
              <w:t>: Cecilie Tenfjord Toftby (M), Mikael Eskilandersson (SD), Angelica Lundberg (SD) och Martina Johansson (C) Även en tjänsteman från civilutskottets kansli medgavs att delta på distans.</w:t>
            </w:r>
          </w:p>
          <w:p w14:paraId="3474ECF2" w14:textId="77777777" w:rsidR="009C2D1A" w:rsidRPr="00EE6FD5" w:rsidRDefault="009C2D1A" w:rsidP="00965A44">
            <w:pPr>
              <w:rPr>
                <w:b/>
                <w:bCs/>
                <w:szCs w:val="24"/>
              </w:rPr>
            </w:pPr>
          </w:p>
        </w:tc>
      </w:tr>
      <w:tr w:rsidR="00965A44" w:rsidRPr="005F4AB0" w14:paraId="4A0CB887" w14:textId="77777777" w:rsidTr="006568DC">
        <w:tc>
          <w:tcPr>
            <w:tcW w:w="567" w:type="dxa"/>
          </w:tcPr>
          <w:p w14:paraId="5514D4F9" w14:textId="3E6E4166" w:rsidR="00965A44" w:rsidRDefault="00965A44" w:rsidP="00965A44">
            <w:pPr>
              <w:tabs>
                <w:tab w:val="left" w:pos="1701"/>
              </w:tabs>
              <w:rPr>
                <w:b/>
                <w:snapToGrid w:val="0"/>
                <w:szCs w:val="24"/>
              </w:rPr>
            </w:pPr>
            <w:r>
              <w:rPr>
                <w:b/>
                <w:snapToGrid w:val="0"/>
                <w:szCs w:val="24"/>
              </w:rPr>
              <w:t xml:space="preserve">§ </w:t>
            </w:r>
            <w:r w:rsidR="009C2D1A">
              <w:rPr>
                <w:b/>
                <w:snapToGrid w:val="0"/>
                <w:szCs w:val="24"/>
              </w:rPr>
              <w:t>6</w:t>
            </w:r>
          </w:p>
        </w:tc>
        <w:tc>
          <w:tcPr>
            <w:tcW w:w="7017" w:type="dxa"/>
          </w:tcPr>
          <w:p w14:paraId="129030ED" w14:textId="77777777" w:rsidR="00965A44" w:rsidRPr="00965A44" w:rsidRDefault="00965A44" w:rsidP="00965A44">
            <w:pPr>
              <w:rPr>
                <w:b/>
                <w:bCs/>
                <w:szCs w:val="24"/>
              </w:rPr>
            </w:pPr>
            <w:r w:rsidRPr="00965A44">
              <w:rPr>
                <w:b/>
                <w:bCs/>
                <w:szCs w:val="24"/>
              </w:rPr>
              <w:t>Information från Statens medicinsk-etiska råd (Smer)</w:t>
            </w:r>
          </w:p>
          <w:p w14:paraId="6C9D15FB" w14:textId="77777777" w:rsidR="00965A44" w:rsidRPr="00965A44" w:rsidRDefault="00965A44" w:rsidP="00965A44">
            <w:pPr>
              <w:rPr>
                <w:bCs/>
                <w:szCs w:val="24"/>
              </w:rPr>
            </w:pPr>
          </w:p>
          <w:p w14:paraId="676D12B2" w14:textId="70E7D354" w:rsidR="00965A44" w:rsidRPr="00965A44" w:rsidRDefault="00965A44" w:rsidP="00965A44">
            <w:pPr>
              <w:rPr>
                <w:bCs/>
                <w:szCs w:val="24"/>
              </w:rPr>
            </w:pPr>
            <w:r w:rsidRPr="00965A44">
              <w:rPr>
                <w:bCs/>
                <w:szCs w:val="24"/>
              </w:rPr>
              <w:t>Ordförande Kenneth Johansson med medarbetare informerade på distans om frågan om patienter med bristande beslutsförmåga i hälso- och sjukvården.</w:t>
            </w:r>
          </w:p>
          <w:p w14:paraId="1B3B392A" w14:textId="616128F4" w:rsidR="00965A44" w:rsidRPr="005F4AB0" w:rsidRDefault="00965A44" w:rsidP="00965A44">
            <w:pPr>
              <w:rPr>
                <w:b/>
                <w:bCs/>
                <w:szCs w:val="24"/>
              </w:rPr>
            </w:pPr>
          </w:p>
        </w:tc>
      </w:tr>
      <w:tr w:rsidR="00965A44" w:rsidRPr="005F4AB0" w14:paraId="66A8D96C" w14:textId="77777777" w:rsidTr="006568DC">
        <w:tc>
          <w:tcPr>
            <w:tcW w:w="567" w:type="dxa"/>
          </w:tcPr>
          <w:p w14:paraId="2E67BBB4" w14:textId="0A9FCA44" w:rsidR="00965A44" w:rsidRPr="005F4AB0" w:rsidRDefault="00965A44" w:rsidP="00965A44">
            <w:pPr>
              <w:tabs>
                <w:tab w:val="left" w:pos="1701"/>
              </w:tabs>
              <w:rPr>
                <w:b/>
                <w:snapToGrid w:val="0"/>
                <w:szCs w:val="24"/>
              </w:rPr>
            </w:pPr>
            <w:r w:rsidRPr="005F4AB0">
              <w:rPr>
                <w:b/>
                <w:snapToGrid w:val="0"/>
                <w:szCs w:val="24"/>
              </w:rPr>
              <w:t xml:space="preserve">§ </w:t>
            </w:r>
            <w:r w:rsidR="009C2D1A">
              <w:rPr>
                <w:b/>
                <w:snapToGrid w:val="0"/>
                <w:szCs w:val="24"/>
              </w:rPr>
              <w:t>7</w:t>
            </w:r>
          </w:p>
        </w:tc>
        <w:tc>
          <w:tcPr>
            <w:tcW w:w="7017" w:type="dxa"/>
          </w:tcPr>
          <w:p w14:paraId="5261E7E3" w14:textId="77777777" w:rsidR="00965A44" w:rsidRPr="005F4AB0" w:rsidRDefault="00965A44" w:rsidP="00965A44">
            <w:pPr>
              <w:rPr>
                <w:b/>
                <w:bCs/>
                <w:szCs w:val="24"/>
              </w:rPr>
            </w:pPr>
            <w:r w:rsidRPr="005F4AB0">
              <w:rPr>
                <w:b/>
                <w:bCs/>
                <w:szCs w:val="24"/>
              </w:rPr>
              <w:t>Justering av protokoll</w:t>
            </w:r>
          </w:p>
          <w:p w14:paraId="1109DC1D" w14:textId="77777777" w:rsidR="00965A44" w:rsidRPr="005F4AB0" w:rsidRDefault="00965A44" w:rsidP="00965A44">
            <w:pPr>
              <w:rPr>
                <w:b/>
                <w:bCs/>
                <w:szCs w:val="24"/>
              </w:rPr>
            </w:pPr>
          </w:p>
          <w:p w14:paraId="424E068C" w14:textId="0C76A9A6" w:rsidR="00965A44" w:rsidRPr="005F4AB0" w:rsidRDefault="00965A44" w:rsidP="00965A44">
            <w:pPr>
              <w:rPr>
                <w:bCs/>
                <w:szCs w:val="24"/>
              </w:rPr>
            </w:pPr>
            <w:r w:rsidRPr="005F4AB0">
              <w:rPr>
                <w:bCs/>
                <w:szCs w:val="24"/>
              </w:rPr>
              <w:t>Utskottet justerade protokoll 2020/21:</w:t>
            </w:r>
            <w:r>
              <w:rPr>
                <w:bCs/>
                <w:szCs w:val="24"/>
              </w:rPr>
              <w:t>10</w:t>
            </w:r>
            <w:r w:rsidRPr="005F4AB0">
              <w:rPr>
                <w:bCs/>
                <w:szCs w:val="24"/>
              </w:rPr>
              <w:t>.</w:t>
            </w:r>
          </w:p>
          <w:p w14:paraId="5C98A2C2" w14:textId="2CA80C52" w:rsidR="00965A44" w:rsidRPr="005F4AB0" w:rsidRDefault="00965A44" w:rsidP="00965A44">
            <w:pPr>
              <w:rPr>
                <w:b/>
                <w:bCs/>
                <w:szCs w:val="24"/>
              </w:rPr>
            </w:pPr>
          </w:p>
        </w:tc>
      </w:tr>
      <w:tr w:rsidR="00965A44" w:rsidRPr="005F4AB0" w14:paraId="1E9BE58A" w14:textId="77777777" w:rsidTr="006568DC">
        <w:tc>
          <w:tcPr>
            <w:tcW w:w="567" w:type="dxa"/>
          </w:tcPr>
          <w:p w14:paraId="58F2A7A4" w14:textId="5BC33C2D" w:rsidR="00965A44" w:rsidRPr="005F4AB0" w:rsidRDefault="00965A44" w:rsidP="00965A44">
            <w:pPr>
              <w:tabs>
                <w:tab w:val="left" w:pos="1701"/>
              </w:tabs>
              <w:rPr>
                <w:b/>
                <w:snapToGrid w:val="0"/>
                <w:szCs w:val="24"/>
              </w:rPr>
            </w:pPr>
            <w:r>
              <w:rPr>
                <w:b/>
                <w:snapToGrid w:val="0"/>
                <w:szCs w:val="24"/>
              </w:rPr>
              <w:t xml:space="preserve">§ </w:t>
            </w:r>
            <w:r w:rsidR="009C2D1A">
              <w:rPr>
                <w:b/>
                <w:snapToGrid w:val="0"/>
                <w:szCs w:val="24"/>
              </w:rPr>
              <w:t>8</w:t>
            </w:r>
          </w:p>
        </w:tc>
        <w:tc>
          <w:tcPr>
            <w:tcW w:w="7017" w:type="dxa"/>
          </w:tcPr>
          <w:p w14:paraId="22B560A3" w14:textId="77777777" w:rsidR="00965A44" w:rsidRDefault="00965A44" w:rsidP="00965A44">
            <w:pPr>
              <w:rPr>
                <w:b/>
                <w:bCs/>
                <w:szCs w:val="24"/>
              </w:rPr>
            </w:pPr>
            <w:r w:rsidRPr="00965A44">
              <w:rPr>
                <w:b/>
                <w:bCs/>
                <w:szCs w:val="24"/>
              </w:rPr>
              <w:t>Redovisning av fördelning av medel från Allmänna arvsfonden under budgetåret 2019 (SoU3)</w:t>
            </w:r>
          </w:p>
          <w:p w14:paraId="2B7FE177" w14:textId="77777777" w:rsidR="007C1B42" w:rsidRDefault="007C1B42" w:rsidP="007C1B42">
            <w:pPr>
              <w:rPr>
                <w:bCs/>
                <w:szCs w:val="24"/>
              </w:rPr>
            </w:pPr>
          </w:p>
          <w:p w14:paraId="759423F6" w14:textId="4F347BD8" w:rsidR="007C1B42" w:rsidRPr="006147BE" w:rsidRDefault="007C1B42" w:rsidP="007C1B42">
            <w:r w:rsidRPr="006147BE">
              <w:rPr>
                <w:bCs/>
                <w:szCs w:val="24"/>
              </w:rPr>
              <w:t xml:space="preserve">Utskottet </w:t>
            </w:r>
            <w:r>
              <w:rPr>
                <w:bCs/>
                <w:szCs w:val="24"/>
              </w:rPr>
              <w:t xml:space="preserve">fortsatte </w:t>
            </w:r>
            <w:r w:rsidRPr="006147BE">
              <w:rPr>
                <w:bCs/>
                <w:szCs w:val="24"/>
              </w:rPr>
              <w:t>behandl</w:t>
            </w:r>
            <w:r>
              <w:rPr>
                <w:bCs/>
                <w:szCs w:val="24"/>
              </w:rPr>
              <w:t>ingen av</w:t>
            </w:r>
            <w:r w:rsidRPr="006147BE">
              <w:rPr>
                <w:bCs/>
                <w:szCs w:val="24"/>
              </w:rPr>
              <w:t xml:space="preserve"> </w:t>
            </w:r>
            <w:r>
              <w:rPr>
                <w:color w:val="000000"/>
                <w:szCs w:val="24"/>
              </w:rPr>
              <w:t>skrivelse 2019/20:</w:t>
            </w:r>
            <w:r w:rsidRPr="001373C9">
              <w:rPr>
                <w:szCs w:val="24"/>
              </w:rPr>
              <w:t>1</w:t>
            </w:r>
            <w:r>
              <w:rPr>
                <w:szCs w:val="24"/>
              </w:rPr>
              <w:t>80 och motioner</w:t>
            </w:r>
            <w:r w:rsidRPr="001373C9">
              <w:rPr>
                <w:szCs w:val="24"/>
              </w:rPr>
              <w:t>.</w:t>
            </w:r>
            <w:r w:rsidRPr="001373C9">
              <w:t xml:space="preserve"> </w:t>
            </w:r>
          </w:p>
          <w:p w14:paraId="545CDFD1" w14:textId="77777777" w:rsidR="007C1B42" w:rsidRDefault="007C1B42" w:rsidP="007C1B42">
            <w:pPr>
              <w:tabs>
                <w:tab w:val="left" w:pos="1701"/>
              </w:tabs>
              <w:rPr>
                <w:bCs/>
                <w:szCs w:val="24"/>
              </w:rPr>
            </w:pPr>
          </w:p>
          <w:p w14:paraId="0E2F5091" w14:textId="397BCBFA" w:rsidR="007C1B42" w:rsidRDefault="007C1B42" w:rsidP="007C1B42">
            <w:pPr>
              <w:tabs>
                <w:tab w:val="left" w:pos="1701"/>
              </w:tabs>
              <w:rPr>
                <w:bCs/>
                <w:szCs w:val="24"/>
              </w:rPr>
            </w:pPr>
            <w:r>
              <w:rPr>
                <w:bCs/>
                <w:szCs w:val="24"/>
              </w:rPr>
              <w:t>Utskottet justerade betänkande 2020/</w:t>
            </w:r>
            <w:proofErr w:type="gramStart"/>
            <w:r>
              <w:rPr>
                <w:bCs/>
                <w:szCs w:val="24"/>
              </w:rPr>
              <w:t>21:SoU</w:t>
            </w:r>
            <w:proofErr w:type="gramEnd"/>
            <w:r>
              <w:rPr>
                <w:bCs/>
                <w:szCs w:val="24"/>
              </w:rPr>
              <w:t>3</w:t>
            </w:r>
            <w:r w:rsidRPr="00536743">
              <w:rPr>
                <w:bCs/>
                <w:szCs w:val="24"/>
              </w:rPr>
              <w:t>.</w:t>
            </w:r>
          </w:p>
          <w:p w14:paraId="48327A41" w14:textId="77777777" w:rsidR="007C1B42" w:rsidRDefault="007C1B42" w:rsidP="007C1B42">
            <w:pPr>
              <w:tabs>
                <w:tab w:val="left" w:pos="1701"/>
              </w:tabs>
              <w:rPr>
                <w:bCs/>
                <w:szCs w:val="24"/>
              </w:rPr>
            </w:pPr>
          </w:p>
          <w:p w14:paraId="1475CFF6" w14:textId="77777777" w:rsidR="00965A44" w:rsidRDefault="007C1B42" w:rsidP="007C1B42">
            <w:pPr>
              <w:rPr>
                <w:bCs/>
                <w:szCs w:val="24"/>
              </w:rPr>
            </w:pPr>
            <w:r w:rsidRPr="00CB5EDD">
              <w:rPr>
                <w:bCs/>
                <w:szCs w:val="24"/>
              </w:rPr>
              <w:t xml:space="preserve">SD-ledamöterna anmälde </w:t>
            </w:r>
            <w:r>
              <w:rPr>
                <w:bCs/>
                <w:szCs w:val="24"/>
              </w:rPr>
              <w:t xml:space="preserve">en </w:t>
            </w:r>
            <w:r w:rsidRPr="00CB5EDD">
              <w:rPr>
                <w:bCs/>
                <w:szCs w:val="24"/>
              </w:rPr>
              <w:t>reservation.</w:t>
            </w:r>
          </w:p>
          <w:p w14:paraId="7016327D" w14:textId="6FE08C5D" w:rsidR="007C1B42" w:rsidRPr="005F4AB0" w:rsidRDefault="007C1B42" w:rsidP="007C1B42">
            <w:pPr>
              <w:rPr>
                <w:b/>
                <w:bCs/>
                <w:szCs w:val="24"/>
              </w:rPr>
            </w:pPr>
          </w:p>
        </w:tc>
      </w:tr>
      <w:tr w:rsidR="00965A44" w:rsidRPr="005F4AB0" w14:paraId="62E03F2F" w14:textId="77777777" w:rsidTr="006568DC">
        <w:tc>
          <w:tcPr>
            <w:tcW w:w="567" w:type="dxa"/>
          </w:tcPr>
          <w:p w14:paraId="3042E33F" w14:textId="51ADE530" w:rsidR="00965A44" w:rsidRPr="005F4AB0" w:rsidRDefault="00965A44" w:rsidP="00965A44">
            <w:pPr>
              <w:tabs>
                <w:tab w:val="left" w:pos="1701"/>
              </w:tabs>
              <w:rPr>
                <w:b/>
                <w:snapToGrid w:val="0"/>
                <w:szCs w:val="24"/>
              </w:rPr>
            </w:pPr>
            <w:r>
              <w:rPr>
                <w:b/>
                <w:snapToGrid w:val="0"/>
                <w:szCs w:val="24"/>
              </w:rPr>
              <w:t xml:space="preserve">§ </w:t>
            </w:r>
            <w:r w:rsidR="009C2D1A">
              <w:rPr>
                <w:b/>
                <w:snapToGrid w:val="0"/>
                <w:szCs w:val="24"/>
              </w:rPr>
              <w:t>9</w:t>
            </w:r>
          </w:p>
        </w:tc>
        <w:tc>
          <w:tcPr>
            <w:tcW w:w="7017" w:type="dxa"/>
          </w:tcPr>
          <w:p w14:paraId="44AC00F4" w14:textId="77777777" w:rsidR="00965A44" w:rsidRDefault="00965A44" w:rsidP="00965A44">
            <w:pPr>
              <w:rPr>
                <w:b/>
                <w:bCs/>
                <w:szCs w:val="24"/>
              </w:rPr>
            </w:pPr>
            <w:r w:rsidRPr="00965A44">
              <w:rPr>
                <w:b/>
                <w:bCs/>
                <w:szCs w:val="24"/>
              </w:rPr>
              <w:t>Kommissionens arbetsprogram 2021 (SoU2y)</w:t>
            </w:r>
          </w:p>
          <w:p w14:paraId="5B2170E6" w14:textId="77777777" w:rsidR="001E1DEF" w:rsidRDefault="001E1DEF" w:rsidP="001E1DEF">
            <w:pPr>
              <w:rPr>
                <w:bCs/>
                <w:szCs w:val="24"/>
              </w:rPr>
            </w:pPr>
          </w:p>
          <w:p w14:paraId="239195CE" w14:textId="501EE472" w:rsidR="001E1DEF" w:rsidRPr="000077B2" w:rsidRDefault="001E1DEF" w:rsidP="001E1DEF">
            <w:pPr>
              <w:rPr>
                <w:bCs/>
                <w:szCs w:val="24"/>
              </w:rPr>
            </w:pPr>
            <w:r w:rsidRPr="00CA0584">
              <w:rPr>
                <w:bCs/>
                <w:szCs w:val="24"/>
              </w:rPr>
              <w:t xml:space="preserve">Utskottet </w:t>
            </w:r>
            <w:r>
              <w:rPr>
                <w:bCs/>
                <w:szCs w:val="24"/>
              </w:rPr>
              <w:t xml:space="preserve">fortsatte </w:t>
            </w:r>
            <w:r w:rsidRPr="00CA0584">
              <w:rPr>
                <w:bCs/>
                <w:szCs w:val="24"/>
              </w:rPr>
              <w:t>behandl</w:t>
            </w:r>
            <w:r>
              <w:rPr>
                <w:bCs/>
                <w:szCs w:val="24"/>
              </w:rPr>
              <w:t>ingen av</w:t>
            </w:r>
            <w:r w:rsidRPr="00CA0584">
              <w:rPr>
                <w:bCs/>
                <w:szCs w:val="24"/>
              </w:rPr>
              <w:t xml:space="preserve"> fråga om yttrande till </w:t>
            </w:r>
            <w:r>
              <w:rPr>
                <w:bCs/>
                <w:szCs w:val="24"/>
              </w:rPr>
              <w:t>utrikes</w:t>
            </w:r>
            <w:r w:rsidRPr="00CA0584">
              <w:rPr>
                <w:bCs/>
                <w:szCs w:val="24"/>
              </w:rPr>
              <w:t>utskottet öv</w:t>
            </w:r>
            <w:r>
              <w:rPr>
                <w:bCs/>
                <w:szCs w:val="24"/>
              </w:rPr>
              <w:t>er</w:t>
            </w:r>
            <w:r w:rsidRPr="000077B2">
              <w:rPr>
                <w:b/>
                <w:bCs/>
                <w:szCs w:val="24"/>
              </w:rPr>
              <w:t xml:space="preserve"> </w:t>
            </w:r>
            <w:r>
              <w:rPr>
                <w:bCs/>
                <w:szCs w:val="24"/>
              </w:rPr>
              <w:t>k</w:t>
            </w:r>
            <w:r w:rsidRPr="000077B2">
              <w:rPr>
                <w:bCs/>
                <w:szCs w:val="24"/>
              </w:rPr>
              <w:t xml:space="preserve">ommissionens arbetsprogram </w:t>
            </w:r>
            <w:r>
              <w:rPr>
                <w:bCs/>
                <w:szCs w:val="24"/>
              </w:rPr>
              <w:t xml:space="preserve">för </w:t>
            </w:r>
            <w:r w:rsidRPr="000077B2">
              <w:rPr>
                <w:bCs/>
                <w:szCs w:val="24"/>
              </w:rPr>
              <w:t>2021.</w:t>
            </w:r>
          </w:p>
          <w:p w14:paraId="232CCCB7" w14:textId="77777777" w:rsidR="001E1DEF" w:rsidRPr="00083465" w:rsidRDefault="001E1DEF" w:rsidP="001E1DEF">
            <w:pPr>
              <w:tabs>
                <w:tab w:val="left" w:pos="1701"/>
              </w:tabs>
              <w:rPr>
                <w:bCs/>
                <w:szCs w:val="24"/>
              </w:rPr>
            </w:pPr>
          </w:p>
          <w:p w14:paraId="3C4C06A0" w14:textId="77777777" w:rsidR="00965A44" w:rsidRDefault="001E1DEF" w:rsidP="00EE6FD5">
            <w:r>
              <w:t>Utskottet justerade yttrande 2020/</w:t>
            </w:r>
            <w:proofErr w:type="gramStart"/>
            <w:r>
              <w:t>21:SoU</w:t>
            </w:r>
            <w:proofErr w:type="gramEnd"/>
            <w:r>
              <w:t>2y.</w:t>
            </w:r>
          </w:p>
          <w:p w14:paraId="1114B7EA" w14:textId="6A0426A9" w:rsidR="00EE6FD5" w:rsidRPr="00EE6FD5" w:rsidRDefault="00EE6FD5" w:rsidP="00EE6FD5"/>
        </w:tc>
      </w:tr>
      <w:tr w:rsidR="00965A44" w:rsidRPr="005F4AB0" w14:paraId="1644BF2E" w14:textId="77777777" w:rsidTr="006568DC">
        <w:tc>
          <w:tcPr>
            <w:tcW w:w="567" w:type="dxa"/>
          </w:tcPr>
          <w:p w14:paraId="0C2A1837" w14:textId="55E22651" w:rsidR="00965A44" w:rsidRPr="005F4AB0" w:rsidRDefault="00965A44" w:rsidP="00965A44">
            <w:pPr>
              <w:tabs>
                <w:tab w:val="left" w:pos="1701"/>
              </w:tabs>
              <w:rPr>
                <w:b/>
                <w:snapToGrid w:val="0"/>
                <w:szCs w:val="24"/>
              </w:rPr>
            </w:pPr>
            <w:r>
              <w:rPr>
                <w:b/>
                <w:snapToGrid w:val="0"/>
                <w:szCs w:val="24"/>
              </w:rPr>
              <w:lastRenderedPageBreak/>
              <w:t xml:space="preserve">§ </w:t>
            </w:r>
            <w:r w:rsidR="009C2D1A">
              <w:rPr>
                <w:b/>
                <w:snapToGrid w:val="0"/>
                <w:szCs w:val="24"/>
              </w:rPr>
              <w:t>10</w:t>
            </w:r>
          </w:p>
        </w:tc>
        <w:tc>
          <w:tcPr>
            <w:tcW w:w="7017" w:type="dxa"/>
          </w:tcPr>
          <w:p w14:paraId="38174B27" w14:textId="0A906263" w:rsidR="00965A44" w:rsidRDefault="00965A44" w:rsidP="00965A44">
            <w:pPr>
              <w:rPr>
                <w:b/>
                <w:bCs/>
                <w:szCs w:val="24"/>
              </w:rPr>
            </w:pPr>
            <w:r w:rsidRPr="00965A44">
              <w:rPr>
                <w:b/>
                <w:bCs/>
                <w:szCs w:val="24"/>
              </w:rPr>
              <w:t>Huvudmannaskap för personlig assistans</w:t>
            </w:r>
            <w:r w:rsidR="00EE6FD5">
              <w:rPr>
                <w:b/>
                <w:bCs/>
                <w:szCs w:val="24"/>
              </w:rPr>
              <w:t xml:space="preserve"> (SoU10)</w:t>
            </w:r>
          </w:p>
          <w:p w14:paraId="6692A0CB" w14:textId="77777777" w:rsidR="001E1DEF" w:rsidRDefault="001E1DEF" w:rsidP="001E1DEF">
            <w:pPr>
              <w:rPr>
                <w:bCs/>
                <w:szCs w:val="24"/>
              </w:rPr>
            </w:pPr>
          </w:p>
          <w:p w14:paraId="0B827461" w14:textId="3664D627" w:rsidR="001E1DEF" w:rsidRDefault="001E1DEF" w:rsidP="001E1DEF">
            <w:pPr>
              <w:rPr>
                <w:bCs/>
                <w:szCs w:val="24"/>
              </w:rPr>
            </w:pPr>
            <w:r w:rsidRPr="000A4CE8">
              <w:rPr>
                <w:bCs/>
                <w:szCs w:val="24"/>
              </w:rPr>
              <w:t>Utskottet fortsatte behandlingen av förslaget till utskottsinitiativ om förstatligande av huvudmannaskapet för personlig assistans.</w:t>
            </w:r>
          </w:p>
          <w:p w14:paraId="55786EA8" w14:textId="083A10BB" w:rsidR="001E1DEF" w:rsidRDefault="001E1DEF" w:rsidP="001E1DEF">
            <w:pPr>
              <w:rPr>
                <w:bCs/>
                <w:szCs w:val="24"/>
              </w:rPr>
            </w:pPr>
          </w:p>
          <w:p w14:paraId="36A0866A" w14:textId="5C2D59F5" w:rsidR="001E1DEF" w:rsidRPr="000A4CE8" w:rsidRDefault="001E1DEF" w:rsidP="001E1DEF">
            <w:pPr>
              <w:rPr>
                <w:bCs/>
                <w:szCs w:val="24"/>
              </w:rPr>
            </w:pPr>
            <w:r>
              <w:rPr>
                <w:bCs/>
                <w:szCs w:val="24"/>
              </w:rPr>
              <w:t>Ärendet bordlades.</w:t>
            </w:r>
          </w:p>
          <w:p w14:paraId="45EFA975" w14:textId="15AD6563" w:rsidR="00965A44" w:rsidRPr="005F4AB0" w:rsidRDefault="00965A44" w:rsidP="00965A44">
            <w:pPr>
              <w:rPr>
                <w:b/>
                <w:bCs/>
                <w:szCs w:val="24"/>
              </w:rPr>
            </w:pPr>
          </w:p>
        </w:tc>
      </w:tr>
      <w:tr w:rsidR="00965A44" w:rsidRPr="005F4AB0" w14:paraId="7FB2A4AB" w14:textId="77777777" w:rsidTr="006568DC">
        <w:tc>
          <w:tcPr>
            <w:tcW w:w="567" w:type="dxa"/>
          </w:tcPr>
          <w:p w14:paraId="074BBA39" w14:textId="69258C8D" w:rsidR="00965A44" w:rsidRPr="005F4AB0" w:rsidRDefault="00965A44" w:rsidP="00965A44">
            <w:pPr>
              <w:tabs>
                <w:tab w:val="left" w:pos="1701"/>
              </w:tabs>
              <w:rPr>
                <w:b/>
                <w:snapToGrid w:val="0"/>
                <w:szCs w:val="24"/>
              </w:rPr>
            </w:pPr>
            <w:r>
              <w:rPr>
                <w:b/>
                <w:snapToGrid w:val="0"/>
                <w:szCs w:val="24"/>
              </w:rPr>
              <w:t>§ 1</w:t>
            </w:r>
            <w:r w:rsidR="009C2D1A">
              <w:rPr>
                <w:b/>
                <w:snapToGrid w:val="0"/>
                <w:szCs w:val="24"/>
              </w:rPr>
              <w:t>1</w:t>
            </w:r>
          </w:p>
        </w:tc>
        <w:tc>
          <w:tcPr>
            <w:tcW w:w="7017" w:type="dxa"/>
          </w:tcPr>
          <w:p w14:paraId="64DC1A36" w14:textId="11ED9FC2" w:rsidR="00965A44" w:rsidRDefault="00965A44" w:rsidP="00965A44">
            <w:pPr>
              <w:rPr>
                <w:b/>
                <w:bCs/>
                <w:szCs w:val="24"/>
              </w:rPr>
            </w:pPr>
            <w:r w:rsidRPr="00965A44">
              <w:rPr>
                <w:b/>
                <w:bCs/>
                <w:szCs w:val="24"/>
              </w:rPr>
              <w:t>Avgiftsfritt pneumokockvaccin för vissa grupper</w:t>
            </w:r>
            <w:r w:rsidR="00EE6FD5">
              <w:rPr>
                <w:b/>
                <w:bCs/>
                <w:szCs w:val="24"/>
              </w:rPr>
              <w:t xml:space="preserve"> (SoU11)</w:t>
            </w:r>
          </w:p>
          <w:p w14:paraId="7EF2DDDC" w14:textId="4636362F" w:rsidR="001E1DEF" w:rsidRDefault="001E1DEF" w:rsidP="00965A44">
            <w:pPr>
              <w:rPr>
                <w:b/>
                <w:bCs/>
                <w:szCs w:val="24"/>
              </w:rPr>
            </w:pPr>
          </w:p>
          <w:p w14:paraId="28C98D41" w14:textId="18C7622E" w:rsidR="001E1DEF" w:rsidRDefault="001E1DEF" w:rsidP="00965A44">
            <w:pPr>
              <w:rPr>
                <w:bCs/>
                <w:szCs w:val="24"/>
              </w:rPr>
            </w:pPr>
            <w:r w:rsidRPr="000A4CE8">
              <w:rPr>
                <w:bCs/>
                <w:szCs w:val="24"/>
              </w:rPr>
              <w:t xml:space="preserve">Utskottet fortsatte behandlingen av förslaget till utskottsinitiativ om avgiftsfritt pneumokockvaccin för </w:t>
            </w:r>
            <w:r>
              <w:rPr>
                <w:bCs/>
                <w:szCs w:val="24"/>
              </w:rPr>
              <w:t>vissa grupper</w:t>
            </w:r>
            <w:r w:rsidRPr="000A4CE8">
              <w:rPr>
                <w:bCs/>
                <w:szCs w:val="24"/>
              </w:rPr>
              <w:t>.</w:t>
            </w:r>
          </w:p>
          <w:p w14:paraId="340E2C58" w14:textId="1EC7F733" w:rsidR="001E1DEF" w:rsidRDefault="001E1DEF" w:rsidP="00965A44">
            <w:pPr>
              <w:rPr>
                <w:bCs/>
                <w:szCs w:val="24"/>
              </w:rPr>
            </w:pPr>
          </w:p>
          <w:p w14:paraId="78632116" w14:textId="2F1AF941" w:rsidR="001E1DEF" w:rsidRPr="001E1DEF" w:rsidRDefault="001E1DEF" w:rsidP="00965A44">
            <w:pPr>
              <w:rPr>
                <w:bCs/>
                <w:szCs w:val="24"/>
              </w:rPr>
            </w:pPr>
            <w:r>
              <w:rPr>
                <w:bCs/>
                <w:szCs w:val="24"/>
              </w:rPr>
              <w:t>Ärendet bordlades.</w:t>
            </w:r>
          </w:p>
          <w:p w14:paraId="7F33C251" w14:textId="70AAD5E1" w:rsidR="00965A44" w:rsidRPr="005F4AB0" w:rsidRDefault="00965A44" w:rsidP="00965A44">
            <w:pPr>
              <w:rPr>
                <w:b/>
                <w:bCs/>
                <w:szCs w:val="24"/>
              </w:rPr>
            </w:pPr>
          </w:p>
        </w:tc>
      </w:tr>
      <w:tr w:rsidR="00965A44" w:rsidRPr="005F4AB0" w14:paraId="6561D7E8" w14:textId="77777777" w:rsidTr="006568DC">
        <w:tc>
          <w:tcPr>
            <w:tcW w:w="567" w:type="dxa"/>
          </w:tcPr>
          <w:p w14:paraId="7BD1D490" w14:textId="407CC493" w:rsidR="00965A44" w:rsidRPr="005F4AB0" w:rsidRDefault="00965A44" w:rsidP="00965A44">
            <w:pPr>
              <w:tabs>
                <w:tab w:val="left" w:pos="1701"/>
              </w:tabs>
              <w:rPr>
                <w:b/>
                <w:snapToGrid w:val="0"/>
                <w:szCs w:val="24"/>
              </w:rPr>
            </w:pPr>
            <w:r>
              <w:rPr>
                <w:b/>
                <w:snapToGrid w:val="0"/>
                <w:szCs w:val="24"/>
              </w:rPr>
              <w:t>§ 1</w:t>
            </w:r>
            <w:r w:rsidR="009C2D1A">
              <w:rPr>
                <w:b/>
                <w:snapToGrid w:val="0"/>
                <w:szCs w:val="24"/>
              </w:rPr>
              <w:t>2</w:t>
            </w:r>
          </w:p>
        </w:tc>
        <w:tc>
          <w:tcPr>
            <w:tcW w:w="7017" w:type="dxa"/>
          </w:tcPr>
          <w:p w14:paraId="288A173D" w14:textId="77777777" w:rsidR="00965A44" w:rsidRDefault="00965A44" w:rsidP="00965A44">
            <w:pPr>
              <w:rPr>
                <w:b/>
                <w:bCs/>
                <w:szCs w:val="24"/>
              </w:rPr>
            </w:pPr>
            <w:r w:rsidRPr="00965A44">
              <w:rPr>
                <w:b/>
                <w:bCs/>
                <w:szCs w:val="24"/>
              </w:rPr>
              <w:t>Överlämnande av motion</w:t>
            </w:r>
          </w:p>
          <w:p w14:paraId="3C9BE118" w14:textId="77777777" w:rsidR="00E511A4" w:rsidRDefault="00E511A4" w:rsidP="006808F4">
            <w:pPr>
              <w:tabs>
                <w:tab w:val="left" w:pos="1701"/>
              </w:tabs>
              <w:rPr>
                <w:bCs/>
                <w:szCs w:val="24"/>
              </w:rPr>
            </w:pPr>
          </w:p>
          <w:p w14:paraId="77C3F0E6" w14:textId="102A7A18" w:rsidR="006808F4" w:rsidRPr="00FC669B" w:rsidRDefault="006808F4" w:rsidP="006808F4">
            <w:pPr>
              <w:tabs>
                <w:tab w:val="left" w:pos="1701"/>
              </w:tabs>
              <w:rPr>
                <w:bCs/>
                <w:szCs w:val="24"/>
              </w:rPr>
            </w:pPr>
            <w:r w:rsidRPr="00FC669B">
              <w:rPr>
                <w:bCs/>
                <w:szCs w:val="24"/>
              </w:rPr>
              <w:t>Utskottet överlämnande motion 20</w:t>
            </w:r>
            <w:r>
              <w:rPr>
                <w:bCs/>
                <w:szCs w:val="24"/>
              </w:rPr>
              <w:t>20</w:t>
            </w:r>
            <w:r w:rsidRPr="00FC669B">
              <w:rPr>
                <w:bCs/>
                <w:szCs w:val="24"/>
              </w:rPr>
              <w:t>/2</w:t>
            </w:r>
            <w:r>
              <w:rPr>
                <w:bCs/>
                <w:szCs w:val="24"/>
              </w:rPr>
              <w:t>1</w:t>
            </w:r>
            <w:r w:rsidRPr="00FC669B">
              <w:rPr>
                <w:bCs/>
                <w:szCs w:val="24"/>
              </w:rPr>
              <w:t>:</w:t>
            </w:r>
            <w:r>
              <w:rPr>
                <w:bCs/>
                <w:szCs w:val="24"/>
              </w:rPr>
              <w:t>169 yrkande 9</w:t>
            </w:r>
            <w:r w:rsidRPr="00FC669B">
              <w:rPr>
                <w:bCs/>
                <w:szCs w:val="24"/>
              </w:rPr>
              <w:t xml:space="preserve"> av </w:t>
            </w:r>
            <w:r>
              <w:rPr>
                <w:bCs/>
                <w:szCs w:val="24"/>
              </w:rPr>
              <w:t xml:space="preserve">Karin Rågsjö m.fl. </w:t>
            </w:r>
            <w:r w:rsidRPr="00FC669B">
              <w:rPr>
                <w:bCs/>
                <w:szCs w:val="24"/>
              </w:rPr>
              <w:t>(</w:t>
            </w:r>
            <w:r>
              <w:rPr>
                <w:bCs/>
                <w:szCs w:val="24"/>
              </w:rPr>
              <w:t>V</w:t>
            </w:r>
            <w:r w:rsidRPr="00FC669B">
              <w:rPr>
                <w:bCs/>
                <w:szCs w:val="24"/>
              </w:rPr>
              <w:t xml:space="preserve">) till </w:t>
            </w:r>
            <w:r>
              <w:rPr>
                <w:bCs/>
                <w:szCs w:val="24"/>
              </w:rPr>
              <w:t>justitie</w:t>
            </w:r>
            <w:r w:rsidRPr="00FC669B">
              <w:rPr>
                <w:bCs/>
                <w:szCs w:val="24"/>
              </w:rPr>
              <w:t>utskottet under förutsättning att det mottagande utskottet tar emot motion</w:t>
            </w:r>
            <w:r w:rsidR="00EE6FD5">
              <w:rPr>
                <w:bCs/>
                <w:szCs w:val="24"/>
              </w:rPr>
              <w:t>syrkandet</w:t>
            </w:r>
            <w:r w:rsidRPr="00FC669B">
              <w:rPr>
                <w:bCs/>
                <w:szCs w:val="24"/>
              </w:rPr>
              <w:t>.</w:t>
            </w:r>
          </w:p>
          <w:p w14:paraId="32FDAB21" w14:textId="77777777" w:rsidR="006808F4" w:rsidRPr="00FC669B" w:rsidRDefault="006808F4" w:rsidP="006808F4">
            <w:pPr>
              <w:tabs>
                <w:tab w:val="left" w:pos="1701"/>
              </w:tabs>
              <w:rPr>
                <w:bCs/>
                <w:szCs w:val="24"/>
              </w:rPr>
            </w:pPr>
          </w:p>
          <w:p w14:paraId="489AE954" w14:textId="77777777" w:rsidR="006808F4" w:rsidRPr="00FC669B" w:rsidRDefault="006808F4" w:rsidP="006808F4">
            <w:pPr>
              <w:tabs>
                <w:tab w:val="left" w:pos="1701"/>
              </w:tabs>
              <w:rPr>
                <w:bCs/>
                <w:szCs w:val="24"/>
              </w:rPr>
            </w:pPr>
            <w:r w:rsidRPr="00FC669B">
              <w:rPr>
                <w:bCs/>
                <w:szCs w:val="24"/>
              </w:rPr>
              <w:t>Denna paragraf förklarades omedelbart justerad.</w:t>
            </w:r>
          </w:p>
          <w:p w14:paraId="3BD494EB" w14:textId="6AE68506" w:rsidR="00965A44" w:rsidRPr="005F4AB0" w:rsidRDefault="00965A44" w:rsidP="00965A44">
            <w:pPr>
              <w:rPr>
                <w:b/>
                <w:bCs/>
                <w:szCs w:val="24"/>
              </w:rPr>
            </w:pPr>
          </w:p>
        </w:tc>
      </w:tr>
      <w:tr w:rsidR="00965A44" w:rsidRPr="005F4AB0" w14:paraId="4EDDD285" w14:textId="77777777" w:rsidTr="006568DC">
        <w:tc>
          <w:tcPr>
            <w:tcW w:w="567" w:type="dxa"/>
          </w:tcPr>
          <w:p w14:paraId="79E5DD07" w14:textId="1DFA26E6" w:rsidR="00965A44" w:rsidRPr="005F4AB0" w:rsidRDefault="00965A44" w:rsidP="00965A44">
            <w:pPr>
              <w:tabs>
                <w:tab w:val="left" w:pos="1701"/>
              </w:tabs>
              <w:rPr>
                <w:b/>
                <w:snapToGrid w:val="0"/>
                <w:szCs w:val="24"/>
              </w:rPr>
            </w:pPr>
            <w:r>
              <w:rPr>
                <w:b/>
                <w:snapToGrid w:val="0"/>
                <w:szCs w:val="24"/>
              </w:rPr>
              <w:t>§ 1</w:t>
            </w:r>
            <w:r w:rsidR="009C2D1A">
              <w:rPr>
                <w:b/>
                <w:snapToGrid w:val="0"/>
                <w:szCs w:val="24"/>
              </w:rPr>
              <w:t>3</w:t>
            </w:r>
          </w:p>
        </w:tc>
        <w:tc>
          <w:tcPr>
            <w:tcW w:w="7017" w:type="dxa"/>
          </w:tcPr>
          <w:p w14:paraId="2561AF78" w14:textId="77777777" w:rsidR="00965A44" w:rsidRDefault="00965A44" w:rsidP="00965A44">
            <w:pPr>
              <w:rPr>
                <w:b/>
                <w:bCs/>
                <w:szCs w:val="24"/>
              </w:rPr>
            </w:pPr>
            <w:r w:rsidRPr="00965A44">
              <w:rPr>
                <w:b/>
                <w:bCs/>
                <w:szCs w:val="24"/>
              </w:rPr>
              <w:t>Frågor om motionsberedning</w:t>
            </w:r>
          </w:p>
          <w:p w14:paraId="1FE45C5B" w14:textId="77777777" w:rsidR="002A4EFE" w:rsidRDefault="002A4EFE" w:rsidP="00965A44">
            <w:pPr>
              <w:rPr>
                <w:bCs/>
                <w:szCs w:val="24"/>
              </w:rPr>
            </w:pPr>
          </w:p>
          <w:p w14:paraId="254115D4" w14:textId="0CABB2AE" w:rsidR="00965A44" w:rsidRDefault="006808F4" w:rsidP="00965A44">
            <w:pPr>
              <w:rPr>
                <w:bCs/>
                <w:szCs w:val="24"/>
              </w:rPr>
            </w:pPr>
            <w:r>
              <w:rPr>
                <w:bCs/>
                <w:szCs w:val="24"/>
              </w:rPr>
              <w:t xml:space="preserve">Utskottet fortsatte diskussionen </w:t>
            </w:r>
            <w:r w:rsidR="009C6453">
              <w:rPr>
                <w:bCs/>
                <w:szCs w:val="24"/>
              </w:rPr>
              <w:t>om</w:t>
            </w:r>
            <w:r>
              <w:rPr>
                <w:bCs/>
                <w:szCs w:val="24"/>
              </w:rPr>
              <w:t xml:space="preserve"> f</w:t>
            </w:r>
            <w:r w:rsidR="002A4EFE">
              <w:rPr>
                <w:bCs/>
                <w:szCs w:val="24"/>
              </w:rPr>
              <w:t xml:space="preserve">rågor </w:t>
            </w:r>
            <w:r w:rsidR="009C6453">
              <w:rPr>
                <w:bCs/>
                <w:szCs w:val="24"/>
              </w:rPr>
              <w:t>angående</w:t>
            </w:r>
            <w:r w:rsidR="002A4EFE">
              <w:rPr>
                <w:bCs/>
                <w:szCs w:val="24"/>
              </w:rPr>
              <w:t xml:space="preserve"> förenklad </w:t>
            </w:r>
            <w:r w:rsidR="002A4EFE" w:rsidRPr="00CB5EDD">
              <w:rPr>
                <w:bCs/>
                <w:szCs w:val="24"/>
              </w:rPr>
              <w:t>motionsberedning</w:t>
            </w:r>
            <w:r w:rsidR="002A4EFE">
              <w:rPr>
                <w:bCs/>
                <w:szCs w:val="24"/>
              </w:rPr>
              <w:t>.</w:t>
            </w:r>
          </w:p>
          <w:p w14:paraId="025D42F1" w14:textId="16B7D3B2" w:rsidR="002A4EFE" w:rsidRPr="005F4AB0" w:rsidRDefault="002A4EFE" w:rsidP="00965A44">
            <w:pPr>
              <w:rPr>
                <w:b/>
                <w:bCs/>
                <w:szCs w:val="24"/>
              </w:rPr>
            </w:pPr>
          </w:p>
        </w:tc>
      </w:tr>
      <w:tr w:rsidR="00965A44" w:rsidRPr="005F4AB0" w14:paraId="4143A621" w14:textId="77777777" w:rsidTr="006568DC">
        <w:tc>
          <w:tcPr>
            <w:tcW w:w="567" w:type="dxa"/>
          </w:tcPr>
          <w:p w14:paraId="4AE4ABD2" w14:textId="0D4A969B" w:rsidR="00965A44" w:rsidRPr="005F4AB0" w:rsidRDefault="00965A44" w:rsidP="00965A44">
            <w:pPr>
              <w:tabs>
                <w:tab w:val="left" w:pos="1701"/>
              </w:tabs>
              <w:rPr>
                <w:b/>
                <w:snapToGrid w:val="0"/>
                <w:szCs w:val="24"/>
              </w:rPr>
            </w:pPr>
            <w:r w:rsidRPr="005F4AB0">
              <w:rPr>
                <w:b/>
                <w:snapToGrid w:val="0"/>
                <w:szCs w:val="24"/>
              </w:rPr>
              <w:t xml:space="preserve">§ </w:t>
            </w:r>
            <w:r>
              <w:rPr>
                <w:b/>
                <w:snapToGrid w:val="0"/>
                <w:szCs w:val="24"/>
              </w:rPr>
              <w:t>1</w:t>
            </w:r>
            <w:r w:rsidR="009C2D1A">
              <w:rPr>
                <w:b/>
                <w:snapToGrid w:val="0"/>
                <w:szCs w:val="24"/>
              </w:rPr>
              <w:t>4</w:t>
            </w:r>
          </w:p>
        </w:tc>
        <w:tc>
          <w:tcPr>
            <w:tcW w:w="7017" w:type="dxa"/>
          </w:tcPr>
          <w:p w14:paraId="6E52FE53" w14:textId="77777777" w:rsidR="00965A44" w:rsidRPr="005F4AB0" w:rsidRDefault="00965A44" w:rsidP="00965A44">
            <w:pPr>
              <w:tabs>
                <w:tab w:val="left" w:pos="1701"/>
              </w:tabs>
              <w:rPr>
                <w:rFonts w:eastAsia="Calibri"/>
                <w:b/>
                <w:bCs/>
                <w:szCs w:val="24"/>
                <w:lang w:eastAsia="en-US"/>
              </w:rPr>
            </w:pPr>
            <w:r w:rsidRPr="005F4AB0">
              <w:rPr>
                <w:rFonts w:eastAsia="Calibri"/>
                <w:b/>
                <w:bCs/>
                <w:szCs w:val="24"/>
                <w:lang w:eastAsia="en-US"/>
              </w:rPr>
              <w:t>Kanslimeddelanden</w:t>
            </w:r>
          </w:p>
          <w:p w14:paraId="00F39C95" w14:textId="77777777" w:rsidR="00965A44" w:rsidRPr="005F4AB0" w:rsidRDefault="00965A44" w:rsidP="00965A44">
            <w:pPr>
              <w:rPr>
                <w:szCs w:val="24"/>
              </w:rPr>
            </w:pPr>
          </w:p>
          <w:p w14:paraId="3EB88B5E" w14:textId="1329E329" w:rsidR="00965A44" w:rsidRPr="005F4AB0" w:rsidRDefault="00965A44" w:rsidP="00965A44">
            <w:pPr>
              <w:rPr>
                <w:bCs/>
                <w:szCs w:val="24"/>
              </w:rPr>
            </w:pPr>
            <w:r w:rsidRPr="005F4AB0">
              <w:rPr>
                <w:bCs/>
                <w:szCs w:val="24"/>
              </w:rPr>
              <w:t>Kanslichefen informerade kort om arbetsplanen.</w:t>
            </w:r>
          </w:p>
          <w:p w14:paraId="41A064B1" w14:textId="31CDC984" w:rsidR="00965A44" w:rsidRPr="005F4AB0" w:rsidRDefault="00965A44" w:rsidP="00965A44">
            <w:pPr>
              <w:rPr>
                <w:b/>
                <w:bCs/>
                <w:szCs w:val="24"/>
              </w:rPr>
            </w:pPr>
          </w:p>
        </w:tc>
      </w:tr>
      <w:tr w:rsidR="00965A44" w:rsidRPr="005F4AB0" w14:paraId="1C755367" w14:textId="77777777" w:rsidTr="006568DC">
        <w:tc>
          <w:tcPr>
            <w:tcW w:w="567" w:type="dxa"/>
          </w:tcPr>
          <w:p w14:paraId="534497D5" w14:textId="2846D7BE" w:rsidR="00965A44" w:rsidRPr="005F4AB0" w:rsidRDefault="00965A44" w:rsidP="00965A44">
            <w:pPr>
              <w:tabs>
                <w:tab w:val="left" w:pos="1701"/>
              </w:tabs>
              <w:rPr>
                <w:b/>
                <w:snapToGrid w:val="0"/>
                <w:szCs w:val="24"/>
              </w:rPr>
            </w:pPr>
            <w:r w:rsidRPr="005F4AB0">
              <w:rPr>
                <w:b/>
                <w:snapToGrid w:val="0"/>
                <w:szCs w:val="24"/>
              </w:rPr>
              <w:t xml:space="preserve">§ </w:t>
            </w:r>
            <w:r>
              <w:rPr>
                <w:b/>
                <w:snapToGrid w:val="0"/>
                <w:szCs w:val="24"/>
              </w:rPr>
              <w:t>1</w:t>
            </w:r>
            <w:r w:rsidR="00EE6FD5">
              <w:rPr>
                <w:b/>
                <w:snapToGrid w:val="0"/>
                <w:szCs w:val="24"/>
              </w:rPr>
              <w:t>5</w:t>
            </w:r>
          </w:p>
        </w:tc>
        <w:tc>
          <w:tcPr>
            <w:tcW w:w="7017" w:type="dxa"/>
          </w:tcPr>
          <w:p w14:paraId="0981A518" w14:textId="77777777" w:rsidR="00965A44" w:rsidRPr="005F4AB0" w:rsidRDefault="00965A44" w:rsidP="00965A44">
            <w:pPr>
              <w:widowControl/>
              <w:autoSpaceDE w:val="0"/>
              <w:autoSpaceDN w:val="0"/>
              <w:adjustRightInd w:val="0"/>
              <w:rPr>
                <w:b/>
                <w:snapToGrid w:val="0"/>
              </w:rPr>
            </w:pPr>
            <w:r w:rsidRPr="005F4AB0">
              <w:rPr>
                <w:b/>
                <w:snapToGrid w:val="0"/>
              </w:rPr>
              <w:t>Nästa sammanträde</w:t>
            </w:r>
          </w:p>
          <w:p w14:paraId="4DA72D9C" w14:textId="77777777" w:rsidR="00965A44" w:rsidRPr="005F4AB0" w:rsidRDefault="00965A44" w:rsidP="00965A44">
            <w:pPr>
              <w:widowControl/>
              <w:autoSpaceDE w:val="0"/>
              <w:autoSpaceDN w:val="0"/>
              <w:adjustRightInd w:val="0"/>
              <w:rPr>
                <w:b/>
                <w:snapToGrid w:val="0"/>
              </w:rPr>
            </w:pPr>
          </w:p>
          <w:p w14:paraId="218D93BD" w14:textId="12CA9030" w:rsidR="00965A44" w:rsidRPr="005F4AB0" w:rsidRDefault="00965A44" w:rsidP="00965A44">
            <w:pPr>
              <w:rPr>
                <w:snapToGrid w:val="0"/>
                <w:szCs w:val="24"/>
              </w:rPr>
            </w:pPr>
            <w:r w:rsidRPr="005F4AB0">
              <w:rPr>
                <w:snapToGrid w:val="0"/>
                <w:szCs w:val="24"/>
              </w:rPr>
              <w:t xml:space="preserve">Utskottet beslutade att nästa sammanträde ska äga rum </w:t>
            </w:r>
            <w:r w:rsidRPr="005F4AB0">
              <w:rPr>
                <w:szCs w:val="24"/>
              </w:rPr>
              <w:t>t</w:t>
            </w:r>
            <w:r>
              <w:rPr>
                <w:szCs w:val="24"/>
              </w:rPr>
              <w:t>i</w:t>
            </w:r>
            <w:r w:rsidRPr="005F4AB0">
              <w:rPr>
                <w:szCs w:val="24"/>
              </w:rPr>
              <w:t xml:space="preserve">sdag den </w:t>
            </w:r>
            <w:r>
              <w:rPr>
                <w:szCs w:val="24"/>
              </w:rPr>
              <w:t>17</w:t>
            </w:r>
            <w:r w:rsidRPr="005F4AB0">
              <w:rPr>
                <w:szCs w:val="24"/>
              </w:rPr>
              <w:t xml:space="preserve"> </w:t>
            </w:r>
            <w:r>
              <w:rPr>
                <w:szCs w:val="24"/>
              </w:rPr>
              <w:t>novem</w:t>
            </w:r>
            <w:r w:rsidRPr="005F4AB0">
              <w:rPr>
                <w:szCs w:val="24"/>
              </w:rPr>
              <w:t>ber 2020 kl. 1</w:t>
            </w:r>
            <w:r>
              <w:rPr>
                <w:szCs w:val="24"/>
              </w:rPr>
              <w:t>1</w:t>
            </w:r>
            <w:r w:rsidRPr="005F4AB0">
              <w:rPr>
                <w:szCs w:val="24"/>
              </w:rPr>
              <w:t>.00</w:t>
            </w:r>
            <w:r w:rsidRPr="005F4AB0">
              <w:rPr>
                <w:snapToGrid w:val="0"/>
                <w:szCs w:val="24"/>
              </w:rPr>
              <w:t>.</w:t>
            </w:r>
          </w:p>
          <w:p w14:paraId="4F6979E0" w14:textId="77777777" w:rsidR="00965A44" w:rsidRPr="005F4AB0" w:rsidRDefault="00965A44" w:rsidP="00965A44">
            <w:pPr>
              <w:rPr>
                <w:rFonts w:eastAsia="Calibri"/>
                <w:b/>
                <w:bCs/>
                <w:szCs w:val="24"/>
                <w:lang w:eastAsia="en-US"/>
              </w:rPr>
            </w:pPr>
          </w:p>
        </w:tc>
      </w:tr>
      <w:tr w:rsidR="00965A44" w:rsidRPr="005F4AB0" w14:paraId="0ECBC95E" w14:textId="77777777" w:rsidTr="006568DC">
        <w:trPr>
          <w:trHeight w:val="1713"/>
        </w:trPr>
        <w:tc>
          <w:tcPr>
            <w:tcW w:w="7584" w:type="dxa"/>
            <w:gridSpan w:val="2"/>
          </w:tcPr>
          <w:p w14:paraId="5C0D65C4" w14:textId="77777777" w:rsidR="00965A44" w:rsidRPr="005F4AB0" w:rsidRDefault="00965A44" w:rsidP="00965A44">
            <w:pPr>
              <w:tabs>
                <w:tab w:val="left" w:pos="1701"/>
              </w:tabs>
              <w:rPr>
                <w:szCs w:val="24"/>
              </w:rPr>
            </w:pPr>
          </w:p>
          <w:p w14:paraId="0905F7C2" w14:textId="77777777" w:rsidR="00965A44" w:rsidRPr="005F4AB0" w:rsidRDefault="00965A44" w:rsidP="00965A44">
            <w:pPr>
              <w:tabs>
                <w:tab w:val="left" w:pos="1701"/>
              </w:tabs>
              <w:rPr>
                <w:szCs w:val="24"/>
              </w:rPr>
            </w:pPr>
          </w:p>
          <w:p w14:paraId="44FE8200" w14:textId="77777777" w:rsidR="00965A44" w:rsidRPr="005F4AB0" w:rsidRDefault="00965A44" w:rsidP="00965A44">
            <w:pPr>
              <w:tabs>
                <w:tab w:val="left" w:pos="1701"/>
              </w:tabs>
              <w:rPr>
                <w:szCs w:val="24"/>
              </w:rPr>
            </w:pPr>
          </w:p>
          <w:p w14:paraId="23C4D21F" w14:textId="40CF4DA5" w:rsidR="00965A44" w:rsidRDefault="00965A44" w:rsidP="00965A44">
            <w:pPr>
              <w:tabs>
                <w:tab w:val="left" w:pos="1701"/>
              </w:tabs>
              <w:rPr>
                <w:szCs w:val="24"/>
              </w:rPr>
            </w:pPr>
          </w:p>
          <w:p w14:paraId="6BE28091" w14:textId="77777777" w:rsidR="00EE6FD5" w:rsidRPr="005F4AB0" w:rsidRDefault="00EE6FD5" w:rsidP="00965A44">
            <w:pPr>
              <w:tabs>
                <w:tab w:val="left" w:pos="1701"/>
              </w:tabs>
              <w:rPr>
                <w:szCs w:val="24"/>
              </w:rPr>
            </w:pPr>
          </w:p>
          <w:p w14:paraId="68C1BAEB" w14:textId="77777777" w:rsidR="00965A44" w:rsidRPr="005F4AB0" w:rsidRDefault="00965A44" w:rsidP="00965A44">
            <w:pPr>
              <w:tabs>
                <w:tab w:val="left" w:pos="1701"/>
              </w:tabs>
              <w:rPr>
                <w:szCs w:val="24"/>
              </w:rPr>
            </w:pPr>
            <w:r w:rsidRPr="005F4AB0">
              <w:rPr>
                <w:szCs w:val="24"/>
              </w:rPr>
              <w:t>Vid protokollet</w:t>
            </w:r>
          </w:p>
          <w:p w14:paraId="6B2CC347" w14:textId="77777777" w:rsidR="00965A44" w:rsidRPr="005F4AB0" w:rsidRDefault="00965A44" w:rsidP="00965A44">
            <w:pPr>
              <w:tabs>
                <w:tab w:val="left" w:pos="1701"/>
              </w:tabs>
              <w:rPr>
                <w:szCs w:val="24"/>
              </w:rPr>
            </w:pPr>
          </w:p>
          <w:p w14:paraId="216299A1" w14:textId="77777777" w:rsidR="00965A44" w:rsidRPr="005F4AB0" w:rsidRDefault="00965A44" w:rsidP="00965A44">
            <w:pPr>
              <w:tabs>
                <w:tab w:val="left" w:pos="1701"/>
              </w:tabs>
              <w:rPr>
                <w:szCs w:val="24"/>
              </w:rPr>
            </w:pPr>
          </w:p>
          <w:p w14:paraId="18A52D7F" w14:textId="50BDB4DF" w:rsidR="00965A44" w:rsidRPr="005F4AB0" w:rsidRDefault="00965A44" w:rsidP="00965A44">
            <w:pPr>
              <w:tabs>
                <w:tab w:val="left" w:pos="1701"/>
              </w:tabs>
              <w:rPr>
                <w:szCs w:val="24"/>
              </w:rPr>
            </w:pPr>
          </w:p>
          <w:p w14:paraId="18D09F0A" w14:textId="6B6B1B68" w:rsidR="00965A44" w:rsidRDefault="00965A44" w:rsidP="00965A44">
            <w:pPr>
              <w:tabs>
                <w:tab w:val="left" w:pos="1701"/>
              </w:tabs>
              <w:rPr>
                <w:szCs w:val="24"/>
              </w:rPr>
            </w:pPr>
          </w:p>
          <w:p w14:paraId="070751CE" w14:textId="77777777" w:rsidR="00EE6FD5" w:rsidRPr="005F4AB0" w:rsidRDefault="00EE6FD5" w:rsidP="00965A44">
            <w:pPr>
              <w:tabs>
                <w:tab w:val="left" w:pos="1701"/>
              </w:tabs>
              <w:rPr>
                <w:szCs w:val="24"/>
              </w:rPr>
            </w:pPr>
          </w:p>
          <w:p w14:paraId="13CF325D" w14:textId="5D7A3F43" w:rsidR="00965A44" w:rsidRPr="005F4AB0" w:rsidRDefault="00965A44" w:rsidP="00965A44">
            <w:pPr>
              <w:tabs>
                <w:tab w:val="left" w:pos="1701"/>
              </w:tabs>
              <w:rPr>
                <w:szCs w:val="24"/>
              </w:rPr>
            </w:pPr>
            <w:r w:rsidRPr="005F4AB0">
              <w:rPr>
                <w:szCs w:val="24"/>
              </w:rPr>
              <w:t xml:space="preserve">Justeras den </w:t>
            </w:r>
            <w:r>
              <w:rPr>
                <w:snapToGrid w:val="0"/>
                <w:szCs w:val="24"/>
              </w:rPr>
              <w:t>17</w:t>
            </w:r>
            <w:r w:rsidRPr="005F4AB0">
              <w:rPr>
                <w:snapToGrid w:val="0"/>
                <w:szCs w:val="24"/>
              </w:rPr>
              <w:t xml:space="preserve"> </w:t>
            </w:r>
            <w:r>
              <w:rPr>
                <w:snapToGrid w:val="0"/>
                <w:szCs w:val="24"/>
              </w:rPr>
              <w:t>novem</w:t>
            </w:r>
            <w:r w:rsidRPr="005F4AB0">
              <w:rPr>
                <w:snapToGrid w:val="0"/>
                <w:szCs w:val="24"/>
              </w:rPr>
              <w:t>ber 2020</w:t>
            </w:r>
          </w:p>
        </w:tc>
      </w:tr>
    </w:tbl>
    <w:p w14:paraId="7812AB29" w14:textId="77777777" w:rsidR="00991FD9" w:rsidRPr="00BB519C" w:rsidRDefault="00991FD9">
      <w:pPr>
        <w:widowControl/>
        <w:rPr>
          <w:sz w:val="20"/>
        </w:rPr>
      </w:pPr>
      <w:r w:rsidRPr="00BB519C">
        <w:rPr>
          <w:sz w:val="20"/>
        </w:rPr>
        <w:br w:type="page"/>
      </w:r>
    </w:p>
    <w:p w14:paraId="7E8D9187" w14:textId="6DE14A81" w:rsidR="00737F4C" w:rsidRDefault="00737F4C" w:rsidP="00737F4C">
      <w:pPr>
        <w:widowControl/>
        <w:rPr>
          <w:sz w:val="20"/>
        </w:rPr>
      </w:pPr>
    </w:p>
    <w:p w14:paraId="76F4162B" w14:textId="77777777" w:rsidR="00EE6FD5" w:rsidRPr="00811F66" w:rsidRDefault="00EE6FD5" w:rsidP="00737F4C">
      <w:pPr>
        <w:widowControl/>
        <w:rPr>
          <w:sz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284"/>
      </w:tblGrid>
      <w:tr w:rsidR="00737F4C" w:rsidRPr="00402A9F" w14:paraId="726D6B2D" w14:textId="77777777" w:rsidTr="00A4604F">
        <w:tc>
          <w:tcPr>
            <w:tcW w:w="3473" w:type="dxa"/>
            <w:tcBorders>
              <w:top w:val="nil"/>
              <w:left w:val="nil"/>
              <w:bottom w:val="nil"/>
              <w:right w:val="nil"/>
            </w:tcBorders>
          </w:tcPr>
          <w:p w14:paraId="1814D990" w14:textId="77777777" w:rsidR="00737F4C" w:rsidRPr="00402A9F" w:rsidRDefault="00737F4C" w:rsidP="00A4604F">
            <w:pPr>
              <w:tabs>
                <w:tab w:val="left" w:pos="1701"/>
              </w:tabs>
              <w:rPr>
                <w:sz w:val="22"/>
                <w:szCs w:val="22"/>
              </w:rPr>
            </w:pPr>
            <w:r w:rsidRPr="00402A9F">
              <w:rPr>
                <w:sz w:val="22"/>
                <w:szCs w:val="22"/>
              </w:rPr>
              <w:br w:type="page"/>
            </w:r>
            <w:r w:rsidRPr="00402A9F">
              <w:rPr>
                <w:sz w:val="22"/>
                <w:szCs w:val="22"/>
              </w:rPr>
              <w:br w:type="page"/>
              <w:t>SOCIALUTSKOTTET</w:t>
            </w:r>
          </w:p>
        </w:tc>
        <w:tc>
          <w:tcPr>
            <w:tcW w:w="3332" w:type="dxa"/>
            <w:gridSpan w:val="10"/>
            <w:tcBorders>
              <w:top w:val="nil"/>
              <w:left w:val="nil"/>
              <w:bottom w:val="nil"/>
              <w:right w:val="nil"/>
            </w:tcBorders>
          </w:tcPr>
          <w:p w14:paraId="72EB23FB" w14:textId="77777777" w:rsidR="00737F4C" w:rsidRPr="00402A9F" w:rsidRDefault="00737F4C" w:rsidP="00A4604F">
            <w:pPr>
              <w:tabs>
                <w:tab w:val="left" w:pos="1701"/>
              </w:tabs>
              <w:rPr>
                <w:b/>
                <w:sz w:val="22"/>
                <w:szCs w:val="22"/>
              </w:rPr>
            </w:pPr>
            <w:r w:rsidRPr="00402A9F">
              <w:rPr>
                <w:b/>
                <w:sz w:val="22"/>
                <w:szCs w:val="22"/>
              </w:rPr>
              <w:t>FÖRTECKNING ÖVER LEDAMÖTER</w:t>
            </w:r>
          </w:p>
        </w:tc>
        <w:tc>
          <w:tcPr>
            <w:tcW w:w="2126" w:type="dxa"/>
            <w:gridSpan w:val="6"/>
            <w:tcBorders>
              <w:top w:val="nil"/>
              <w:left w:val="nil"/>
              <w:bottom w:val="nil"/>
              <w:right w:val="nil"/>
            </w:tcBorders>
          </w:tcPr>
          <w:p w14:paraId="41D036A4" w14:textId="77777777" w:rsidR="00737F4C" w:rsidRPr="00402A9F" w:rsidRDefault="00737F4C" w:rsidP="00A4604F">
            <w:pPr>
              <w:tabs>
                <w:tab w:val="left" w:pos="1701"/>
              </w:tabs>
              <w:rPr>
                <w:b/>
                <w:sz w:val="22"/>
                <w:szCs w:val="22"/>
              </w:rPr>
            </w:pPr>
            <w:r w:rsidRPr="00402A9F">
              <w:rPr>
                <w:b/>
                <w:sz w:val="22"/>
                <w:szCs w:val="22"/>
              </w:rPr>
              <w:t>Bilaga 1</w:t>
            </w:r>
          </w:p>
          <w:p w14:paraId="6BCCFF20" w14:textId="4DCDDE98" w:rsidR="00737F4C" w:rsidRPr="00402A9F" w:rsidRDefault="00737F4C" w:rsidP="00A4604F">
            <w:pPr>
              <w:tabs>
                <w:tab w:val="left" w:pos="1701"/>
              </w:tabs>
              <w:rPr>
                <w:b/>
                <w:sz w:val="22"/>
                <w:szCs w:val="22"/>
              </w:rPr>
            </w:pPr>
            <w:r w:rsidRPr="00402A9F">
              <w:rPr>
                <w:sz w:val="22"/>
                <w:szCs w:val="22"/>
              </w:rPr>
              <w:t>till protokoll 2020/21:</w:t>
            </w:r>
            <w:r>
              <w:rPr>
                <w:sz w:val="22"/>
                <w:szCs w:val="22"/>
              </w:rPr>
              <w:t>1</w:t>
            </w:r>
            <w:r w:rsidR="00EE6FD5">
              <w:rPr>
                <w:sz w:val="22"/>
                <w:szCs w:val="22"/>
              </w:rPr>
              <w:t>2</w:t>
            </w:r>
          </w:p>
        </w:tc>
        <w:tc>
          <w:tcPr>
            <w:tcW w:w="425" w:type="dxa"/>
            <w:tcBorders>
              <w:top w:val="nil"/>
              <w:left w:val="nil"/>
              <w:bottom w:val="single" w:sz="6" w:space="0" w:color="auto"/>
              <w:right w:val="nil"/>
            </w:tcBorders>
          </w:tcPr>
          <w:p w14:paraId="32646EC1" w14:textId="77777777" w:rsidR="00737F4C" w:rsidRPr="00402A9F" w:rsidRDefault="00737F4C" w:rsidP="00A4604F">
            <w:pPr>
              <w:tabs>
                <w:tab w:val="left" w:pos="1701"/>
              </w:tabs>
              <w:rPr>
                <w:sz w:val="22"/>
                <w:szCs w:val="22"/>
              </w:rPr>
            </w:pPr>
          </w:p>
        </w:tc>
        <w:tc>
          <w:tcPr>
            <w:tcW w:w="284" w:type="dxa"/>
            <w:tcBorders>
              <w:top w:val="nil"/>
              <w:left w:val="nil"/>
              <w:bottom w:val="nil"/>
              <w:right w:val="nil"/>
            </w:tcBorders>
          </w:tcPr>
          <w:p w14:paraId="51F9ACF7" w14:textId="77777777" w:rsidR="00737F4C" w:rsidRPr="00402A9F" w:rsidRDefault="00737F4C" w:rsidP="00A4604F">
            <w:pPr>
              <w:tabs>
                <w:tab w:val="left" w:pos="1701"/>
              </w:tabs>
              <w:rPr>
                <w:b/>
                <w:sz w:val="22"/>
                <w:szCs w:val="22"/>
              </w:rPr>
            </w:pPr>
          </w:p>
        </w:tc>
      </w:tr>
      <w:tr w:rsidR="00737F4C" w:rsidRPr="00402A9F" w14:paraId="2819AD7D" w14:textId="77777777" w:rsidTr="00A4604F">
        <w:trPr>
          <w:cantSplit/>
        </w:trPr>
        <w:tc>
          <w:tcPr>
            <w:tcW w:w="3943" w:type="dxa"/>
            <w:gridSpan w:val="3"/>
            <w:tcBorders>
              <w:top w:val="single" w:sz="6" w:space="0" w:color="auto"/>
              <w:left w:val="single" w:sz="6" w:space="0" w:color="auto"/>
              <w:bottom w:val="single" w:sz="6" w:space="0" w:color="auto"/>
              <w:right w:val="single" w:sz="6" w:space="0" w:color="auto"/>
            </w:tcBorders>
          </w:tcPr>
          <w:p w14:paraId="6AB5895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14:paraId="5161DEE3" w14:textId="777777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1</w:t>
            </w:r>
          </w:p>
        </w:tc>
        <w:tc>
          <w:tcPr>
            <w:tcW w:w="708" w:type="dxa"/>
            <w:gridSpan w:val="2"/>
            <w:tcBorders>
              <w:top w:val="single" w:sz="6" w:space="0" w:color="auto"/>
              <w:left w:val="single" w:sz="6" w:space="0" w:color="auto"/>
              <w:bottom w:val="single" w:sz="6" w:space="0" w:color="auto"/>
              <w:right w:val="single" w:sz="6" w:space="0" w:color="auto"/>
            </w:tcBorders>
          </w:tcPr>
          <w:p w14:paraId="32B08AF9" w14:textId="65081B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xml:space="preserve">§ </w:t>
            </w:r>
            <w:proofErr w:type="gramStart"/>
            <w:r>
              <w:rPr>
                <w:sz w:val="20"/>
              </w:rPr>
              <w:t>2-</w:t>
            </w:r>
            <w:r w:rsidR="001E12F2">
              <w:rPr>
                <w:sz w:val="20"/>
              </w:rPr>
              <w:t>8</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14:paraId="39D04A80" w14:textId="03128378"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r w:rsidR="001E12F2">
              <w:rPr>
                <w:sz w:val="20"/>
              </w:rPr>
              <w:t>9</w:t>
            </w:r>
          </w:p>
        </w:tc>
        <w:tc>
          <w:tcPr>
            <w:tcW w:w="709" w:type="dxa"/>
            <w:gridSpan w:val="2"/>
            <w:tcBorders>
              <w:top w:val="single" w:sz="6" w:space="0" w:color="auto"/>
              <w:left w:val="single" w:sz="6" w:space="0" w:color="auto"/>
              <w:bottom w:val="single" w:sz="6" w:space="0" w:color="auto"/>
              <w:right w:val="single" w:sz="6" w:space="0" w:color="auto"/>
            </w:tcBorders>
          </w:tcPr>
          <w:p w14:paraId="06C6D464" w14:textId="0654678F"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sidR="001E12F2">
              <w:rPr>
                <w:sz w:val="20"/>
              </w:rPr>
              <w:t xml:space="preserve"> 10</w:t>
            </w:r>
          </w:p>
        </w:tc>
        <w:tc>
          <w:tcPr>
            <w:tcW w:w="709" w:type="dxa"/>
            <w:gridSpan w:val="2"/>
            <w:tcBorders>
              <w:top w:val="single" w:sz="6" w:space="0" w:color="auto"/>
              <w:left w:val="single" w:sz="6" w:space="0" w:color="auto"/>
              <w:bottom w:val="single" w:sz="6" w:space="0" w:color="auto"/>
              <w:right w:val="single" w:sz="6" w:space="0" w:color="auto"/>
            </w:tcBorders>
          </w:tcPr>
          <w:p w14:paraId="14CEA32C" w14:textId="5646D551"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roofErr w:type="gramStart"/>
            <w:r w:rsidR="001E12F2">
              <w:rPr>
                <w:sz w:val="20"/>
              </w:rPr>
              <w:t>11-15</w:t>
            </w:r>
            <w:proofErr w:type="gramEnd"/>
          </w:p>
        </w:tc>
        <w:tc>
          <w:tcPr>
            <w:tcW w:w="708" w:type="dxa"/>
            <w:gridSpan w:val="2"/>
            <w:tcBorders>
              <w:top w:val="single" w:sz="6" w:space="0" w:color="auto"/>
              <w:left w:val="single" w:sz="6" w:space="0" w:color="auto"/>
              <w:bottom w:val="single" w:sz="6" w:space="0" w:color="auto"/>
              <w:right w:val="single" w:sz="6" w:space="0" w:color="auto"/>
            </w:tcBorders>
          </w:tcPr>
          <w:p w14:paraId="56569438" w14:textId="777777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
        </w:tc>
        <w:tc>
          <w:tcPr>
            <w:tcW w:w="709" w:type="dxa"/>
            <w:gridSpan w:val="2"/>
            <w:tcBorders>
              <w:top w:val="single" w:sz="6" w:space="0" w:color="auto"/>
              <w:left w:val="single" w:sz="6" w:space="0" w:color="auto"/>
              <w:bottom w:val="single" w:sz="6" w:space="0" w:color="auto"/>
              <w:right w:val="single" w:sz="6" w:space="0" w:color="auto"/>
            </w:tcBorders>
          </w:tcPr>
          <w:p w14:paraId="5280FBE3" w14:textId="777777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
        </w:tc>
        <w:tc>
          <w:tcPr>
            <w:tcW w:w="425" w:type="dxa"/>
            <w:tcBorders>
              <w:top w:val="single" w:sz="6" w:space="0" w:color="auto"/>
              <w:left w:val="single" w:sz="6" w:space="0" w:color="auto"/>
              <w:bottom w:val="single" w:sz="6" w:space="0" w:color="auto"/>
              <w:right w:val="nil"/>
            </w:tcBorders>
          </w:tcPr>
          <w:p w14:paraId="394C219C" w14:textId="777777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
        </w:tc>
        <w:tc>
          <w:tcPr>
            <w:tcW w:w="284" w:type="dxa"/>
            <w:tcBorders>
              <w:top w:val="single" w:sz="6" w:space="0" w:color="auto"/>
              <w:left w:val="nil"/>
              <w:bottom w:val="single" w:sz="6" w:space="0" w:color="auto"/>
              <w:right w:val="single" w:sz="6" w:space="0" w:color="auto"/>
            </w:tcBorders>
          </w:tcPr>
          <w:p w14:paraId="38B237F6" w14:textId="77777777" w:rsidR="00737F4C" w:rsidRPr="00DD79E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37F4C" w:rsidRPr="00402A9F" w14:paraId="4BD42015"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C21551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14:paraId="25C98A6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3FCE620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6B92DE7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7C6D38B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6" w:space="0" w:color="auto"/>
              <w:left w:val="single" w:sz="6" w:space="0" w:color="auto"/>
              <w:bottom w:val="single" w:sz="6" w:space="0" w:color="auto"/>
              <w:right w:val="single" w:sz="6" w:space="0" w:color="auto"/>
            </w:tcBorders>
          </w:tcPr>
          <w:p w14:paraId="0526D62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3DF3274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3436D21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3625B90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60374B9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445C56E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257E640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7CCF923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6" w:space="0" w:color="auto"/>
              <w:left w:val="single" w:sz="6" w:space="0" w:color="auto"/>
              <w:bottom w:val="single" w:sz="6" w:space="0" w:color="auto"/>
              <w:right w:val="single" w:sz="6" w:space="0" w:color="auto"/>
            </w:tcBorders>
          </w:tcPr>
          <w:p w14:paraId="422A35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tcPr>
          <w:p w14:paraId="68528B5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tcPr>
          <w:p w14:paraId="41B7A83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tcPr>
          <w:p w14:paraId="3DBE627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r>
      <w:tr w:rsidR="00737F4C" w:rsidRPr="00402A9F" w14:paraId="5683141C"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3942145B"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77E08AD0"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1B43F7A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13FD5AA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492F3022"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B5622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5563960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0707CA3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4DFFFA7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49F23940"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5C3335C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54EF0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371EFB9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46F466F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37B64F7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9AB7E0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5717B6CC"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FFB06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329E72A4"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6F3D81D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66DA28B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5021C81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38DD977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706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03E32F4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631D57C1"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68869BE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583C369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420BE51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BA873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60943B8F"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662A1206"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305C17D"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D4963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56B7F3B5"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4C3AD37"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7C8B716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0CA5D5B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1DE96FD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1A36E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3AEFFA9"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612495B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5E4607F0"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03D99852"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51F1D40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ECEF8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B42CCA7"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395D233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5F71690F"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1FFD03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0D9248C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6B24A397"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42A9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6546C6A7"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F0D5C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6CDF4DA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8907EE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78B3285F"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7FCD4BF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48FD6AE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E2F50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073AE59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9BC0A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1193E01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3C52993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217BA55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156FB0A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46CA761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FE0F0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12A6F819"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07FD4C0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149930D9"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13BBA48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3C1B605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B486D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14F34C6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E33D59B"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56FD813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1C4FB07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724EF99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C5023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055B3E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4C6E36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3F2A6020"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CA05B9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21D8C7EF"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1F63681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60D84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6ABE87AF"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2E42B1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6941E32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76EEA8E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20FBA82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00EFDD7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937A1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24609852"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A68368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14:paraId="7B01308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AFE0E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153850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C238D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2B0B66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F728C9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87CAA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C764E3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A2B2B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9AF45E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18F7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4CE6266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345BC4C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3F983F0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EB7201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25650A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37F4C" w:rsidRPr="00402A9F" w14:paraId="7E6DFD2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4608D0EC"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1913C570"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4626BF6F"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23FA5C2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7F79B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053030FF"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24E8EDE2"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846E4D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13FE822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110EDB9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605F2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3DDD11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7803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3BF3FFA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4DE91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296138A4"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65C57E08"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33A54143"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50FE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491F0D6D"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BB364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30DC6522"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203DF80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60FCE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9AA17E4"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4698888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2F2CF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476F0E33"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1CB3294E"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4F927BD6"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1A540D45"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0146F48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6C0E5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4264829E"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71D77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AF7B63E"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4F3C7D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5FCE751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0110A251"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365EA3A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11BE57C7"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79D54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5A93E72C"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4C8B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160A21C0"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71857A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7BE7853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FAB2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625AD" w14:textId="7E98FD61"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9603956"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469C4" w14:textId="50CDE7C8"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1DA4FA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EB67F" w14:textId="0AFAAD4A"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E1C178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E82F5" w14:textId="5C1AE551"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B2DBC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634E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48C3C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8ABFA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E6F27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F6FD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1FA3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7B871D07"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A1D578"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02A9F" w14:paraId="6D2D0BD2"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0BED13EF" w:rsidR="00737F4C" w:rsidRPr="006B1362"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4C4BEBAC"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2D01FD3D"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57E57F53" w:rsidR="00737F4C" w:rsidRPr="00402A9F"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667F42"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114305C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77777777" w:rsidR="00737F4C" w:rsidRPr="006B1362"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906A1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45A3368C"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737F4C" w:rsidRPr="006B1362"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94CDA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5A54CD75"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77777777" w:rsidR="00737F4C" w:rsidRPr="006B1362"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A3D5F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49B9DE7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737F4C" w:rsidRPr="006B1362"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1B5C8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3B34D469"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358B7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6AEFA914"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159E35A5" w:rsidR="00737F4C" w:rsidRPr="00222126"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528C2D8E" w:rsidR="00737F4C" w:rsidRPr="00222126"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67E44C73"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1C356894"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C5378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164E4040"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4319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0CF51B8E"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2EC2D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155C62B0"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8B558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532BC6C7"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475E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3280E631"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8CB17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78B8BF78"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60BB5FA"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5A50F8EF"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6ABCBE"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7AFA5"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7A3911"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EBF8D9"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B6751A"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718D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2063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558B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58BA7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F5851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FF05B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A1E5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BA843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EE39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1DAE6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1C2B6D26"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2B88C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55E06524"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E6E4B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428E6C32"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1C95062C"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737F4C" w:rsidRPr="00222126"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769DB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7F9A52A5"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6CD9A2C3"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30183C">
              <w:rPr>
                <w:b/>
                <w:szCs w:val="24"/>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tcPr>
          <w:p w14:paraId="7446028E"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CDCFB32"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9D7F84"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318FF8"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6D6CEC97"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6BD5259"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0CCC9E"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E128A4A"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84FF7E5"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EE6032E"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914C045"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3C20F8A0"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57EED8A2"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0F995C6"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1F37505"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3DCFB1C" w14:textId="77777777" w:rsidR="00737F4C" w:rsidRPr="008579BE"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37F4C" w:rsidRPr="00462BA4" w14:paraId="6D0F3472"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5E6183FE"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35081ADA" w:rsidR="00737F4C" w:rsidRPr="00771D47"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7917BBE8" w:rsidR="00737F4C" w:rsidRPr="00771D47"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0B1A7DCE"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48B72705"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23DE2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190BC4C0"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B5BD9EB" w14:textId="77777777" w:rsidR="00737F4C" w:rsidRPr="00402A9F"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3541E">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0DC40AC7"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DE3841"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0E5C9" w14:textId="54E46A4B" w:rsidR="00737F4C" w:rsidRPr="00771D47"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51C377F"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89D70E" w14:textId="25AB2AB1" w:rsidR="00737F4C" w:rsidRPr="00771D47"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10C1EB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02F1CD" w14:textId="628AC5FA"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1031C7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7D6A6" w14:textId="6C194E31" w:rsidR="00737F4C" w:rsidRPr="00437544" w:rsidRDefault="001E12F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DA27AD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4F707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9A16FE"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70C3A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0D9130"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87C3E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72D96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4EC6F63B" w14:textId="77777777" w:rsidTr="00A4604F">
        <w:tc>
          <w:tcPr>
            <w:tcW w:w="3943" w:type="dxa"/>
            <w:gridSpan w:val="3"/>
            <w:tcBorders>
              <w:top w:val="single" w:sz="6" w:space="0" w:color="auto"/>
              <w:left w:val="single" w:sz="6" w:space="0" w:color="auto"/>
              <w:bottom w:val="single" w:sz="6" w:space="0" w:color="auto"/>
              <w:right w:val="single" w:sz="6" w:space="0" w:color="auto"/>
            </w:tcBorders>
          </w:tcPr>
          <w:p w14:paraId="7387BC49" w14:textId="77777777" w:rsidR="00737F4C" w:rsidRPr="0030183C"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Stina Larsson (C)</w:t>
            </w:r>
          </w:p>
        </w:tc>
        <w:tc>
          <w:tcPr>
            <w:tcW w:w="452" w:type="dxa"/>
            <w:tcBorders>
              <w:top w:val="single" w:sz="6" w:space="0" w:color="auto"/>
              <w:left w:val="single" w:sz="6" w:space="0" w:color="auto"/>
              <w:bottom w:val="single" w:sz="6" w:space="0" w:color="auto"/>
              <w:right w:val="single" w:sz="6" w:space="0" w:color="auto"/>
            </w:tcBorders>
          </w:tcPr>
          <w:p w14:paraId="394F21C0"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CE8583" w14:textId="77777777" w:rsidR="00737F4C" w:rsidRPr="004C2CC0"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E4C65C"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A941B"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30C419" w14:textId="77777777" w:rsidR="00737F4C" w:rsidRPr="00771D47"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DFC954"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B519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B6D36B"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9927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D52DA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456FFA"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5C3E1"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986476"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52AE8D"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FF2D18"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71AB57"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F4C" w:rsidRPr="00462BA4" w14:paraId="3C88F618" w14:textId="77777777" w:rsidTr="00A4604F">
        <w:trPr>
          <w:trHeight w:val="262"/>
        </w:trPr>
        <w:tc>
          <w:tcPr>
            <w:tcW w:w="3898" w:type="dxa"/>
            <w:gridSpan w:val="2"/>
            <w:tcBorders>
              <w:top w:val="nil"/>
              <w:left w:val="nil"/>
              <w:bottom w:val="nil"/>
              <w:right w:val="nil"/>
            </w:tcBorders>
          </w:tcPr>
          <w:p w14:paraId="41E1162B" w14:textId="77777777" w:rsidR="00737F4C" w:rsidRPr="00437544" w:rsidRDefault="00737F4C" w:rsidP="00A4604F">
            <w:pPr>
              <w:spacing w:before="60"/>
              <w:rPr>
                <w:sz w:val="20"/>
              </w:rPr>
            </w:pPr>
            <w:r w:rsidRPr="00437544">
              <w:rPr>
                <w:sz w:val="20"/>
              </w:rPr>
              <w:t>N = Närvarande</w:t>
            </w:r>
          </w:p>
          <w:p w14:paraId="731C3633" w14:textId="77777777" w:rsidR="00737F4C" w:rsidRPr="00437544" w:rsidRDefault="00737F4C" w:rsidP="00A4604F">
            <w:pPr>
              <w:spacing w:before="60"/>
              <w:rPr>
                <w:sz w:val="20"/>
              </w:rPr>
            </w:pPr>
            <w:r w:rsidRPr="00437544">
              <w:rPr>
                <w:sz w:val="20"/>
              </w:rPr>
              <w:t>V = Votering</w:t>
            </w:r>
          </w:p>
        </w:tc>
        <w:tc>
          <w:tcPr>
            <w:tcW w:w="5033" w:type="dxa"/>
            <w:gridSpan w:val="15"/>
            <w:tcBorders>
              <w:top w:val="nil"/>
              <w:left w:val="nil"/>
              <w:bottom w:val="nil"/>
              <w:right w:val="nil"/>
            </w:tcBorders>
          </w:tcPr>
          <w:p w14:paraId="1C5846C7" w14:textId="77777777" w:rsidR="00737F4C" w:rsidRPr="00437544" w:rsidRDefault="00737F4C" w:rsidP="00A4604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top w:val="nil"/>
              <w:left w:val="nil"/>
              <w:bottom w:val="nil"/>
              <w:right w:val="nil"/>
            </w:tcBorders>
          </w:tcPr>
          <w:p w14:paraId="01A00AB3"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nil"/>
              <w:left w:val="nil"/>
              <w:bottom w:val="nil"/>
              <w:right w:val="nil"/>
            </w:tcBorders>
          </w:tcPr>
          <w:p w14:paraId="73C736A9" w14:textId="77777777" w:rsidR="00737F4C" w:rsidRPr="00437544" w:rsidRDefault="00737F4C"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D55D01B" w14:textId="77777777" w:rsidR="00737F4C" w:rsidRDefault="00737F4C" w:rsidP="00737F4C">
      <w:pPr>
        <w:widowControl/>
        <w:rPr>
          <w:b/>
          <w:szCs w:val="24"/>
        </w:rPr>
      </w:pPr>
    </w:p>
    <w:p w14:paraId="0F69BF22" w14:textId="66D647B4" w:rsidR="00CE0648" w:rsidRDefault="00CE0648" w:rsidP="006B1362">
      <w:pPr>
        <w:widowControl/>
        <w:ind w:left="7824"/>
        <w:rPr>
          <w:b/>
          <w:szCs w:val="24"/>
        </w:rPr>
      </w:pPr>
    </w:p>
    <w:sectPr w:rsidR="00CE0648"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9"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0"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3"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3"/>
  </w:num>
  <w:num w:numId="5">
    <w:abstractNumId w:val="3"/>
  </w:num>
  <w:num w:numId="6">
    <w:abstractNumId w:val="4"/>
  </w:num>
  <w:num w:numId="7">
    <w:abstractNumId w:val="1"/>
  </w:num>
  <w:num w:numId="8">
    <w:abstractNumId w:val="8"/>
  </w:num>
  <w:num w:numId="9">
    <w:abstractNumId w:val="5"/>
  </w:num>
  <w:num w:numId="10">
    <w:abstractNumId w:val="0"/>
  </w:num>
  <w:num w:numId="11">
    <w:abstractNumId w:val="9"/>
  </w:num>
  <w:num w:numId="12">
    <w:abstractNumId w:val="2"/>
  </w:num>
  <w:num w:numId="13">
    <w:abstractNumId w:val="12"/>
  </w:num>
  <w:num w:numId="14">
    <w:abstractNumId w:val="9"/>
  </w:num>
  <w:num w:numId="15">
    <w:abstractNumId w:val="2"/>
  </w:num>
  <w:num w:numId="16">
    <w:abstractNumId w:val="12"/>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6E10"/>
    <w:rsid w:val="00096ED3"/>
    <w:rsid w:val="00097D0A"/>
    <w:rsid w:val="00097F9E"/>
    <w:rsid w:val="000A014D"/>
    <w:rsid w:val="000A0C50"/>
    <w:rsid w:val="000A1A94"/>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30125"/>
    <w:rsid w:val="001302FE"/>
    <w:rsid w:val="0013143E"/>
    <w:rsid w:val="0013313C"/>
    <w:rsid w:val="00136B90"/>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159D"/>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4EA"/>
    <w:rsid w:val="002007F9"/>
    <w:rsid w:val="0020159B"/>
    <w:rsid w:val="00201F30"/>
    <w:rsid w:val="00201F57"/>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2204"/>
    <w:rsid w:val="002327ED"/>
    <w:rsid w:val="00234560"/>
    <w:rsid w:val="00234BF3"/>
    <w:rsid w:val="00234C6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6A53"/>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2A38"/>
    <w:rsid w:val="002938C4"/>
    <w:rsid w:val="00294B52"/>
    <w:rsid w:val="00294F3B"/>
    <w:rsid w:val="00295377"/>
    <w:rsid w:val="00295592"/>
    <w:rsid w:val="00296D10"/>
    <w:rsid w:val="002A0573"/>
    <w:rsid w:val="002A0B07"/>
    <w:rsid w:val="002A27BC"/>
    <w:rsid w:val="002A2AE6"/>
    <w:rsid w:val="002A2B4E"/>
    <w:rsid w:val="002A4EF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D132B"/>
    <w:rsid w:val="002D1474"/>
    <w:rsid w:val="002D15CB"/>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06C"/>
    <w:rsid w:val="0030290E"/>
    <w:rsid w:val="00302D79"/>
    <w:rsid w:val="003037FA"/>
    <w:rsid w:val="00303E17"/>
    <w:rsid w:val="00304962"/>
    <w:rsid w:val="00304AB0"/>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18C"/>
    <w:rsid w:val="00350D06"/>
    <w:rsid w:val="003514CC"/>
    <w:rsid w:val="00352559"/>
    <w:rsid w:val="003537D5"/>
    <w:rsid w:val="0035389B"/>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39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87E"/>
    <w:rsid w:val="00427F84"/>
    <w:rsid w:val="00431157"/>
    <w:rsid w:val="00431BFF"/>
    <w:rsid w:val="004358BD"/>
    <w:rsid w:val="00435AB1"/>
    <w:rsid w:val="00435B75"/>
    <w:rsid w:val="00436493"/>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0649"/>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467F"/>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59E"/>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07DE"/>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301C"/>
    <w:rsid w:val="005E32CA"/>
    <w:rsid w:val="005E439C"/>
    <w:rsid w:val="005E5B7A"/>
    <w:rsid w:val="005E6363"/>
    <w:rsid w:val="005E7F44"/>
    <w:rsid w:val="005F0046"/>
    <w:rsid w:val="005F06C7"/>
    <w:rsid w:val="005F07C6"/>
    <w:rsid w:val="005F0C65"/>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72F"/>
    <w:rsid w:val="00606BC4"/>
    <w:rsid w:val="00610DD7"/>
    <w:rsid w:val="00610F87"/>
    <w:rsid w:val="00611246"/>
    <w:rsid w:val="00612336"/>
    <w:rsid w:val="00613E2B"/>
    <w:rsid w:val="006145B9"/>
    <w:rsid w:val="00614873"/>
    <w:rsid w:val="00616252"/>
    <w:rsid w:val="00616280"/>
    <w:rsid w:val="00617A0A"/>
    <w:rsid w:val="00617AFA"/>
    <w:rsid w:val="006200AC"/>
    <w:rsid w:val="00620451"/>
    <w:rsid w:val="00620E54"/>
    <w:rsid w:val="00621231"/>
    <w:rsid w:val="0062178E"/>
    <w:rsid w:val="00622345"/>
    <w:rsid w:val="0062245B"/>
    <w:rsid w:val="00622477"/>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356D"/>
    <w:rsid w:val="00674D0C"/>
    <w:rsid w:val="00675386"/>
    <w:rsid w:val="00675F79"/>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1E1B"/>
    <w:rsid w:val="007322D5"/>
    <w:rsid w:val="00732D0C"/>
    <w:rsid w:val="0073344B"/>
    <w:rsid w:val="00733541"/>
    <w:rsid w:val="007336BB"/>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3A"/>
    <w:rsid w:val="00787CB7"/>
    <w:rsid w:val="007902A1"/>
    <w:rsid w:val="0079076D"/>
    <w:rsid w:val="00790DC6"/>
    <w:rsid w:val="00790DFD"/>
    <w:rsid w:val="0079177A"/>
    <w:rsid w:val="00791911"/>
    <w:rsid w:val="00791AEF"/>
    <w:rsid w:val="0079247A"/>
    <w:rsid w:val="00792D4E"/>
    <w:rsid w:val="0079349A"/>
    <w:rsid w:val="0079386F"/>
    <w:rsid w:val="007941BB"/>
    <w:rsid w:val="00794492"/>
    <w:rsid w:val="00794A94"/>
    <w:rsid w:val="0079588E"/>
    <w:rsid w:val="00795F3F"/>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A06"/>
    <w:rsid w:val="007B2B39"/>
    <w:rsid w:val="007B5659"/>
    <w:rsid w:val="007B7995"/>
    <w:rsid w:val="007C12B2"/>
    <w:rsid w:val="007C135B"/>
    <w:rsid w:val="007C1B42"/>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56B"/>
    <w:rsid w:val="00861C10"/>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99E"/>
    <w:rsid w:val="008F2073"/>
    <w:rsid w:val="008F30CC"/>
    <w:rsid w:val="008F4D68"/>
    <w:rsid w:val="008F5350"/>
    <w:rsid w:val="008F5ACB"/>
    <w:rsid w:val="008F5B30"/>
    <w:rsid w:val="008F6419"/>
    <w:rsid w:val="008F6BB7"/>
    <w:rsid w:val="008F6E85"/>
    <w:rsid w:val="00900282"/>
    <w:rsid w:val="009033C1"/>
    <w:rsid w:val="00903A6D"/>
    <w:rsid w:val="00904F02"/>
    <w:rsid w:val="00905BB7"/>
    <w:rsid w:val="00905E08"/>
    <w:rsid w:val="00906B25"/>
    <w:rsid w:val="00906C2D"/>
    <w:rsid w:val="00906CC5"/>
    <w:rsid w:val="009135C2"/>
    <w:rsid w:val="009137F0"/>
    <w:rsid w:val="00913B53"/>
    <w:rsid w:val="009143A0"/>
    <w:rsid w:val="00914AB7"/>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38C"/>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4F6"/>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ADD"/>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378CC"/>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475B"/>
    <w:rsid w:val="00B7502E"/>
    <w:rsid w:val="00B75EFF"/>
    <w:rsid w:val="00B76C24"/>
    <w:rsid w:val="00B81EA1"/>
    <w:rsid w:val="00B81F11"/>
    <w:rsid w:val="00B82566"/>
    <w:rsid w:val="00B82BCC"/>
    <w:rsid w:val="00B82C9B"/>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4BD"/>
    <w:rsid w:val="00BA78A0"/>
    <w:rsid w:val="00BA7DD6"/>
    <w:rsid w:val="00BB0A35"/>
    <w:rsid w:val="00BB0A73"/>
    <w:rsid w:val="00BB1D33"/>
    <w:rsid w:val="00BB2514"/>
    <w:rsid w:val="00BB30E7"/>
    <w:rsid w:val="00BB3D54"/>
    <w:rsid w:val="00BB40D4"/>
    <w:rsid w:val="00BB47F4"/>
    <w:rsid w:val="00BB50B4"/>
    <w:rsid w:val="00BB519C"/>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533"/>
    <w:rsid w:val="00C11C1E"/>
    <w:rsid w:val="00C12F5C"/>
    <w:rsid w:val="00C138DF"/>
    <w:rsid w:val="00C13E71"/>
    <w:rsid w:val="00C153E5"/>
    <w:rsid w:val="00C1703F"/>
    <w:rsid w:val="00C17818"/>
    <w:rsid w:val="00C17D27"/>
    <w:rsid w:val="00C2108F"/>
    <w:rsid w:val="00C223DF"/>
    <w:rsid w:val="00C22C0F"/>
    <w:rsid w:val="00C23052"/>
    <w:rsid w:val="00C2315A"/>
    <w:rsid w:val="00C23FA5"/>
    <w:rsid w:val="00C27051"/>
    <w:rsid w:val="00C30120"/>
    <w:rsid w:val="00C304F7"/>
    <w:rsid w:val="00C32954"/>
    <w:rsid w:val="00C33EB8"/>
    <w:rsid w:val="00C33F31"/>
    <w:rsid w:val="00C33F3F"/>
    <w:rsid w:val="00C359B0"/>
    <w:rsid w:val="00C41692"/>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4DD9"/>
    <w:rsid w:val="00C673ED"/>
    <w:rsid w:val="00C70067"/>
    <w:rsid w:val="00C71130"/>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648"/>
    <w:rsid w:val="00CE0BAD"/>
    <w:rsid w:val="00CE1A0A"/>
    <w:rsid w:val="00CE216D"/>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509D6"/>
    <w:rsid w:val="00D50F21"/>
    <w:rsid w:val="00D52A78"/>
    <w:rsid w:val="00D53F5F"/>
    <w:rsid w:val="00D546D5"/>
    <w:rsid w:val="00D561EE"/>
    <w:rsid w:val="00D5772B"/>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3D66"/>
    <w:rsid w:val="00DC4488"/>
    <w:rsid w:val="00DC47D2"/>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4361"/>
    <w:rsid w:val="00DE5DA2"/>
    <w:rsid w:val="00DE6165"/>
    <w:rsid w:val="00DE61CD"/>
    <w:rsid w:val="00DE6FE6"/>
    <w:rsid w:val="00DE7352"/>
    <w:rsid w:val="00DE76D7"/>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5EF"/>
    <w:rsid w:val="00E32E04"/>
    <w:rsid w:val="00E332BA"/>
    <w:rsid w:val="00E34CB6"/>
    <w:rsid w:val="00E367BE"/>
    <w:rsid w:val="00E36C16"/>
    <w:rsid w:val="00E37478"/>
    <w:rsid w:val="00E40DD9"/>
    <w:rsid w:val="00E435ED"/>
    <w:rsid w:val="00E465E6"/>
    <w:rsid w:val="00E46914"/>
    <w:rsid w:val="00E470A8"/>
    <w:rsid w:val="00E473AD"/>
    <w:rsid w:val="00E47FF7"/>
    <w:rsid w:val="00E503CC"/>
    <w:rsid w:val="00E511A4"/>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CEF"/>
    <w:rsid w:val="00E71D39"/>
    <w:rsid w:val="00E7221C"/>
    <w:rsid w:val="00E7229E"/>
    <w:rsid w:val="00E7366D"/>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A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6FD5"/>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19C0"/>
    <w:rsid w:val="00F12717"/>
    <w:rsid w:val="00F129B3"/>
    <w:rsid w:val="00F13BFD"/>
    <w:rsid w:val="00F14020"/>
    <w:rsid w:val="00F14285"/>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5FE0"/>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0C4B"/>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02C"/>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FA7-261F-4109-BB47-28AA7E79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6</Pages>
  <Words>1239</Words>
  <Characters>8257</Characters>
  <Application>Microsoft Office Word</Application>
  <DocSecurity>4</DocSecurity>
  <Lines>1376</Lines>
  <Paragraphs>327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2020-11-12T13:17:00Z</cp:lastPrinted>
  <dcterms:created xsi:type="dcterms:W3CDTF">2020-11-24T09:50:00Z</dcterms:created>
  <dcterms:modified xsi:type="dcterms:W3CDTF">2020-11-24T09:50:00Z</dcterms:modified>
</cp:coreProperties>
</file>