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2B58" w:rsidRPr="00AC2B58" w:rsidRDefault="00AC2B58">
      <w:pPr>
        <w:pStyle w:val="Frslagsrubrik"/>
      </w:pPr>
      <w:r w:rsidRPr="00AC2B58">
        <w:t>Förslag till riksdagsbeslut</w:t>
      </w:r>
    </w:p>
    <w:p w:rsidR="00AC2B58" w:rsidRPr="00AC2B58" w:rsidRDefault="00AC2B58">
      <w:pPr>
        <w:pStyle w:val="Hemstlatt"/>
        <w:ind w:left="0"/>
      </w:pPr>
      <w:r w:rsidRPr="00AC2B58">
        <w:t>Riksdagen tillkännager för regeringen som sin mening vad som anförs i motionen om att se på möjligheten att överväga nystartsz</w:t>
      </w:r>
      <w:r w:rsidRPr="00AC2B58">
        <w:t>o</w:t>
      </w:r>
      <w:r w:rsidRPr="00AC2B58">
        <w:t>ner för att underlätta för människor i områden med stort utanfö</w:t>
      </w:r>
      <w:r w:rsidRPr="00AC2B58">
        <w:t>r</w:t>
      </w:r>
      <w:r w:rsidRPr="00AC2B58">
        <w:t>skap.</w:t>
      </w:r>
    </w:p>
    <w:p w:rsidR="00AC2B58" w:rsidRPr="00AC2B58" w:rsidRDefault="00AC2B58">
      <w:pPr>
        <w:pStyle w:val="Rubrik1"/>
      </w:pPr>
      <w:r w:rsidRPr="00AC2B58">
        <w:t>Motivering</w:t>
      </w:r>
    </w:p>
    <w:p w:rsidR="00AC2B58" w:rsidRPr="00AC2B58" w:rsidRDefault="00AC2B58">
      <w:pPr>
        <w:autoSpaceDE w:val="0"/>
        <w:autoSpaceDN w:val="0"/>
        <w:adjustRightInd w:val="0"/>
      </w:pPr>
      <w:r w:rsidRPr="00AC2B58">
        <w:rPr>
          <w:color w:val="000000"/>
        </w:rPr>
        <w:t>Fler än 1,5 miljoner svenskar befinner sig idag i utanförskap, d.v.s. människor som är öppet arbetslösa, i arbetsmarknadspolitiska åtgärder, förtidspension</w:t>
      </w:r>
      <w:r w:rsidRPr="00AC2B58">
        <w:rPr>
          <w:color w:val="000000"/>
        </w:rPr>
        <w:t>ä</w:t>
      </w:r>
      <w:r w:rsidRPr="00AC2B58">
        <w:rPr>
          <w:color w:val="000000"/>
        </w:rPr>
        <w:t>rer, sjukskrivna eller lever på försörjningsstöd. Utanförskapet är inte bara ett storstadsfenomen. Enligt en undersökning av riksdagens utredningstjänst (</w:t>
      </w:r>
      <w:r w:rsidRPr="00AC2B58">
        <w:t>RUT, Lokala utanförskapsområden finansiella effekter dnr 2008:1786)</w:t>
      </w:r>
      <w:r w:rsidRPr="00AC2B58">
        <w:rPr>
          <w:color w:val="000000"/>
        </w:rPr>
        <w:t xml:space="preserve"> är det 149 områden runtom i landet som har en förvärvsfrekvens på under 50 procent. Kvinnornas förvärvsfrekvens i dessa områden är ännu lägre. R</w:t>
      </w:r>
      <w:r w:rsidRPr="00AC2B58">
        <w:rPr>
          <w:color w:val="000000"/>
        </w:rPr>
        <w:t>e</w:t>
      </w:r>
      <w:r w:rsidRPr="00AC2B58">
        <w:rPr>
          <w:color w:val="000000"/>
        </w:rPr>
        <w:t>sultaten visar också att utanförskapet inte bara är ett storstadsfenomen, omr</w:t>
      </w:r>
      <w:r w:rsidRPr="00AC2B58">
        <w:rPr>
          <w:color w:val="000000"/>
        </w:rPr>
        <w:t>å</w:t>
      </w:r>
      <w:r w:rsidRPr="00AC2B58">
        <w:rPr>
          <w:color w:val="000000"/>
        </w:rPr>
        <w:t xml:space="preserve">dena </w:t>
      </w:r>
      <w:r w:rsidRPr="00AC2B58">
        <w:t>är fördelade på hela landet. Ofta är det invandrartäta område</w:t>
      </w:r>
      <w:r w:rsidRPr="00AC2B58">
        <w:t xml:space="preserve">n. </w:t>
      </w:r>
    </w:p>
    <w:p w:rsidR="00AC2B58" w:rsidRPr="00AC2B58" w:rsidRDefault="00AC2B58">
      <w:pPr>
        <w:pStyle w:val="Normaltindrag"/>
      </w:pPr>
      <w:r w:rsidRPr="00AC2B58">
        <w:t>De samhällsekonomiska vinsterna och välfärdsvinsterna av att personer lämnar utanförskapet och återvänder i arbete är mycket stora. Undersöknin</w:t>
      </w:r>
      <w:r w:rsidRPr="00AC2B58">
        <w:t>g</w:t>
      </w:r>
      <w:r w:rsidRPr="00AC2B58">
        <w:t>en visar att de statliga finanserna skulle förstärkas med 15 miljarder kronor om sysselsättningsnivån var samma som rikssnittet och 65 000 fler människor skulle få jobb – och mer makt över sina liv. De samhällsekonomiska vinster och välfärdsvinster vi får av att personer lämnar utanförskapet och återvänder i arbete är mycket stora. En person som går från arbetslöshet till jobb är nä</w:t>
      </w:r>
      <w:r w:rsidRPr="00AC2B58">
        <w:t>m</w:t>
      </w:r>
      <w:r w:rsidRPr="00AC2B58">
        <w:t>ligen med och bidrar till att stärka de offentliga finanserna med 225 000 kr</w:t>
      </w:r>
      <w:r w:rsidRPr="00AC2B58">
        <w:t>o</w:t>
      </w:r>
      <w:r w:rsidRPr="00AC2B58">
        <w:t>nor. Men framför allt stärks den enskildes själv</w:t>
      </w:r>
      <w:r w:rsidRPr="00AC2B58">
        <w:t>känsla och ekonomiska situ</w:t>
      </w:r>
      <w:r w:rsidRPr="00AC2B58">
        <w:t>a</w:t>
      </w:r>
      <w:r w:rsidRPr="00AC2B58">
        <w:t>tion. Det är en vinst för varje enskild person som får ett arbete.</w:t>
      </w:r>
    </w:p>
    <w:p w:rsidR="00AC2B58" w:rsidRPr="00AC2B58" w:rsidRDefault="00AC2B58">
      <w:pPr>
        <w:pStyle w:val="Normaltindrag"/>
      </w:pPr>
      <w:r w:rsidRPr="00AC2B58">
        <w:t>Boendesituation och bostadsområdets karaktär har stor betydelse för ind</w:t>
      </w:r>
      <w:r w:rsidRPr="00AC2B58">
        <w:t>i</w:t>
      </w:r>
      <w:r w:rsidRPr="00AC2B58">
        <w:t>videns möjlighet till utbildning, arbete och integration. Ett antal möjliga fö</w:t>
      </w:r>
      <w:r w:rsidRPr="00AC2B58">
        <w:t>r</w:t>
      </w:r>
      <w:r w:rsidRPr="00AC2B58">
        <w:lastRenderedPageBreak/>
        <w:t>klaringar till sambandet mellan bostadssegregation och problem på arbet</w:t>
      </w:r>
      <w:r w:rsidRPr="00AC2B58">
        <w:t>s</w:t>
      </w:r>
      <w:r w:rsidRPr="00AC2B58">
        <w:t xml:space="preserve">marknaden kommer fram. Sökandet efter jobb blir allt mindre effektivt ju längre bort bostaden ligger från arbetsplatsen, t ex genom att man helt enkelt inte upptäcker eller har tillräcklig information om en del av de jobb som blir tillgängliga. </w:t>
      </w:r>
    </w:p>
    <w:p w:rsidR="00AC2B58" w:rsidRPr="00AC2B58" w:rsidRDefault="00AC2B58">
      <w:pPr>
        <w:pStyle w:val="Normaltindrag"/>
      </w:pPr>
      <w:r w:rsidRPr="00AC2B58">
        <w:t>Forskning visar på ett starkt samband mellan bra ledarskap, pedagogik och bra skolresultat. Detta är särskilt vikt</w:t>
      </w:r>
      <w:r w:rsidRPr="00AC2B58">
        <w:t>igt i utsatta områden med hög arbetslö</w:t>
      </w:r>
      <w:r w:rsidRPr="00AC2B58">
        <w:t>s</w:t>
      </w:r>
      <w:r w:rsidRPr="00AC2B58">
        <w:t>het och socialbidragsberoende. Det finns ett tydligt samband mellan oful</w:t>
      </w:r>
      <w:r w:rsidRPr="00AC2B58">
        <w:t>l</w:t>
      </w:r>
      <w:r w:rsidRPr="00AC2B58">
        <w:t>ständig gymnasieutbildning och hög arbetslöshet och utanförskap. En bra kunskapsgrund och genomförd gymnasieutbildning ökar chanserna för un</w:t>
      </w:r>
      <w:r w:rsidRPr="00AC2B58">
        <w:t>g</w:t>
      </w:r>
      <w:r w:rsidRPr="00AC2B58">
        <w:t xml:space="preserve">domar att få ett arbete eller att bedriva fortsatta studier på högskolan. Därför är det viktigt att satsa på hög kvalitet i skolor i utsatta områden inte minst genom att stärka ledarskapet och förbättra tillgången till information om var utbildningschanserna </w:t>
      </w:r>
      <w:r w:rsidRPr="00AC2B58">
        <w:t>finns. Vid sidan av arbetsförmedlingarna är kommune</w:t>
      </w:r>
      <w:r w:rsidRPr="00AC2B58">
        <w:t>r</w:t>
      </w:r>
      <w:r w:rsidRPr="00AC2B58">
        <w:t xml:space="preserve">na sannolikt de viktigaste lokala aktörerna. </w:t>
      </w:r>
    </w:p>
    <w:p w:rsidR="00AC2B58" w:rsidRPr="00AC2B58" w:rsidRDefault="00AC2B58">
      <w:pPr>
        <w:pStyle w:val="Normaltindrag"/>
      </w:pPr>
      <w:r w:rsidRPr="00AC2B58">
        <w:t>Vi måste ta lärdom av de försök som bl.a. genomförts i Storbritannien, Frankrike, Italien och USA med så kallade Enterprise zones, Empowerment zones, Zone Franches Urbaines och Area Contracts. I bostadsområden med hög arbetslöshet, fattigdom, kriminalitet och en stor andel ungdomar utan utbildning har man infört särskilda skattelättnader och riktade bidrag som ska locka företag att etablera sig i dessa områden.</w:t>
      </w:r>
    </w:p>
    <w:p w:rsidR="00AC2B58" w:rsidRPr="00AC2B58" w:rsidRDefault="00AC2B58">
      <w:pPr>
        <w:pStyle w:val="Normaltindrag"/>
      </w:pPr>
      <w:r w:rsidRPr="00AC2B58">
        <w:t xml:space="preserve">Det skulle vara intressant att se om något liknande kunde införas i Sverige för att minska utanförskapet i så kallade nystartszoner. Viktiga beståndsdelar i en framgångsrik integrationssatsning är att stärka utbildningens roll, förbättra boende och boendemiljöer och att utveckla entreprenörskapet liksom bättre samverkan med myndigheter och ökat lokalt inflytande. </w:t>
      </w:r>
    </w:p>
    <w:p w:rsidR="00AC2B58" w:rsidRPr="00AC2B58" w:rsidRDefault="00AC2B58">
      <w:pPr>
        <w:pStyle w:val="Normaltindrag"/>
      </w:pPr>
      <w:r w:rsidRPr="00AC2B58">
        <w:t>Alliansregeringen har tagit krafttag mot utanförskapet och inrättade redan hösten 2008 en försöksverksamhet med nystartskontor på nio orter. Nystart</w:t>
      </w:r>
      <w:r w:rsidRPr="00AC2B58">
        <w:t>s</w:t>
      </w:r>
      <w:r w:rsidRPr="00AC2B58">
        <w:t>kontoren är en tjänst för individuellt anpassad vägledning och stöd inför start och drift av företag och är därmed ett effektivt verktyg i arbetet med att min</w:t>
      </w:r>
      <w:r w:rsidRPr="00AC2B58">
        <w:t>s</w:t>
      </w:r>
      <w:r w:rsidRPr="00AC2B58">
        <w:t>ka utanförskapet. Nystartskontoren bör etableras i utsatta områden i hela landet. Det innebär kommuner eller stadsdelar präglade av stort utanförskap i form av exempelvis låg förvärvsfrekvens, en stor andel invånare som är ber</w:t>
      </w:r>
      <w:r w:rsidRPr="00AC2B58">
        <w:t>o</w:t>
      </w:r>
      <w:r w:rsidRPr="00AC2B58">
        <w:t xml:space="preserve">ende av försörjningsstöd samt högt ohälsotal.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C2B58">
        <w:trPr>
          <w:cantSplit/>
        </w:trPr>
        <w:tc>
          <w:tcPr>
            <w:tcW w:w="3046" w:type="dxa"/>
          </w:tcPr>
          <w:p w:rsidR="00AC2B58" w:rsidRPr="00AC2B58" w:rsidRDefault="00AC2B58">
            <w:pPr>
              <w:pStyle w:val="UnderskriftDatum"/>
              <w:spacing w:before="240"/>
            </w:pPr>
            <w:r w:rsidRPr="00AC2B58">
              <w:t>Stockholm den 24 september 2009</w:t>
            </w:r>
          </w:p>
        </w:tc>
        <w:tc>
          <w:tcPr>
            <w:tcW w:w="3047" w:type="dxa"/>
          </w:tcPr>
          <w:p w:rsidR="00AC2B58" w:rsidRPr="00AC2B58" w:rsidRDefault="00AC2B58">
            <w:pPr>
              <w:pStyle w:val="Underskrifter"/>
              <w:spacing w:before="240"/>
            </w:pPr>
          </w:p>
        </w:tc>
      </w:tr>
      <w:tr w:rsidR="00000000" w:rsidRPr="00AC2B58">
        <w:trPr>
          <w:cantSplit/>
        </w:trPr>
        <w:tc>
          <w:tcPr>
            <w:tcW w:w="3046" w:type="dxa"/>
          </w:tcPr>
          <w:p w:rsidR="00AC2B58" w:rsidRPr="00AC2B58" w:rsidRDefault="00AC2B58">
            <w:pPr>
              <w:pStyle w:val="Underskrifter"/>
            </w:pPr>
            <w:r w:rsidRPr="00AC2B58">
              <w:t>Annie Johansson (c)</w:t>
            </w:r>
          </w:p>
        </w:tc>
        <w:tc>
          <w:tcPr>
            <w:tcW w:w="3046" w:type="dxa"/>
          </w:tcPr>
          <w:p w:rsidR="00AC2B58" w:rsidRPr="00AC2B58" w:rsidRDefault="00AC2B58">
            <w:pPr>
              <w:pStyle w:val="Underskrifter"/>
            </w:pPr>
          </w:p>
        </w:tc>
      </w:tr>
    </w:tbl>
    <w:p w:rsidR="00AC2B58" w:rsidRPr="00AC2B58" w:rsidRDefault="00AC2B58">
      <w:pPr>
        <w:pStyle w:val="Normaltindrag"/>
      </w:pPr>
    </w:p>
    <w:sectPr w:rsidR="00000000" w:rsidRPr="00AC2B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2B58" w:rsidRPr="00AC2B58" w:rsidRDefault="00AC2B58">
      <w:r w:rsidRPr="00AC2B58">
        <w:separator/>
      </w:r>
    </w:p>
  </w:endnote>
  <w:endnote w:type="continuationSeparator" w:id="0">
    <w:p w:rsidR="00AC2B58" w:rsidRPr="00AC2B58" w:rsidRDefault="00AC2B58">
      <w:r w:rsidRPr="00AC2B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PAJG C+ Granjon LT">
    <w:altName w:val="Granjon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2B58" w:rsidRPr="00AC2B58" w:rsidRDefault="00AC2B58">
    <w:pPr>
      <w:pStyle w:val="Sidfot"/>
    </w:pPr>
    <w:r w:rsidRPr="00AC2B5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79919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B58" w:rsidRDefault="00AC2B5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C2B58" w:rsidRDefault="00AC2B5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2B58" w:rsidRPr="00AC2B58" w:rsidRDefault="00AC2B58">
    <w:pPr>
      <w:pStyle w:val="Sidfot"/>
    </w:pPr>
    <w:r w:rsidRPr="00AC2B5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000269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B58" w:rsidRDefault="00AC2B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2B58" w:rsidRDefault="00AC2B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2B58" w:rsidRPr="00AC2B58" w:rsidRDefault="00AC2B58">
    <w:pPr>
      <w:pStyle w:val="Sidfot"/>
    </w:pPr>
    <w:r w:rsidRPr="00AC2B5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03325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B58" w:rsidRDefault="00AC2B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2B58" w:rsidRDefault="00AC2B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2B58" w:rsidRPr="00AC2B58" w:rsidRDefault="00AC2B58">
      <w:r w:rsidRPr="00AC2B58">
        <w:separator/>
      </w:r>
    </w:p>
  </w:footnote>
  <w:footnote w:type="continuationSeparator" w:id="0">
    <w:p w:rsidR="00AC2B58" w:rsidRPr="00AC2B58" w:rsidRDefault="00AC2B58">
      <w:r w:rsidRPr="00AC2B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2B58" w:rsidRPr="00AC2B58" w:rsidRDefault="00AC2B58">
    <w:pPr>
      <w:pStyle w:val="Sidhuvud"/>
    </w:pPr>
    <w:r w:rsidRPr="00AC2B5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506283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B58" w:rsidRDefault="00AC2B5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C2B58" w:rsidRDefault="00AC2B5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2B58" w:rsidRPr="00AC2B58" w:rsidRDefault="00AC2B58">
    <w:pPr>
      <w:pStyle w:val="Sidhuvud"/>
    </w:pPr>
    <w:r w:rsidRPr="00AC2B5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494169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B58" w:rsidRDefault="00AC2B5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C2B58" w:rsidRDefault="00AC2B5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2B58" w:rsidRPr="00AC2B58" w:rsidRDefault="00AC2B58">
    <w:pPr>
      <w:pStyle w:val="FSHNormal"/>
      <w:tabs>
        <w:tab w:val="right" w:pos="5840"/>
      </w:tabs>
    </w:pPr>
    <w:r w:rsidRPr="00AC2B58">
      <w:br/>
    </w:r>
    <w:r w:rsidRPr="00AC2B58">
      <w:fldChar w:fldCharType="begin" w:fldLock="1"/>
    </w:r>
    <w:r w:rsidRPr="00AC2B58">
      <w:instrText xml:space="preserve"> DOCPROPERTY</w:instrText>
    </w:r>
    <w:r w:rsidRPr="00AC2B58">
      <w:rPr>
        <w:sz w:val="18"/>
      </w:rPr>
      <w:instrText xml:space="preserve"> "YearUser" *\charformat </w:instrText>
    </w:r>
    <w:r w:rsidRPr="00AC2B58">
      <w:fldChar w:fldCharType="separate"/>
    </w:r>
    <w:r w:rsidRPr="00AC2B58">
      <w:t>2009/10</w:t>
    </w:r>
    <w:r w:rsidRPr="00AC2B58">
      <w:fldChar w:fldCharType="end"/>
    </w:r>
    <w:r w:rsidRPr="00AC2B58">
      <w:t xml:space="preserve"> </w:t>
    </w:r>
    <w:r w:rsidRPr="00AC2B58">
      <w:tab/>
      <w:t xml:space="preserve">mnr: </w:t>
    </w:r>
    <w:r w:rsidRPr="00AC2B58">
      <w:fldChar w:fldCharType="begin" w:fldLock="1"/>
    </w:r>
    <w:r w:rsidRPr="00AC2B58">
      <w:instrText xml:space="preserve"> DOCPROPERTY</w:instrText>
    </w:r>
    <w:r w:rsidRPr="00AC2B58">
      <w:rPr>
        <w:sz w:val="18"/>
      </w:rPr>
      <w:instrText xml:space="preserve"> "Motionsnummer" *\charformat </w:instrText>
    </w:r>
    <w:r w:rsidRPr="00AC2B58">
      <w:fldChar w:fldCharType="separate"/>
    </w:r>
    <w:r w:rsidRPr="00AC2B58">
      <w:t>A220</w:t>
    </w:r>
    <w:r w:rsidRPr="00AC2B58">
      <w:fldChar w:fldCharType="end"/>
    </w:r>
    <w:r w:rsidRPr="00AC2B58">
      <w:br/>
    </w:r>
    <w:r w:rsidRPr="00AC2B58">
      <w:fldChar w:fldCharType="begin" w:fldLock="1"/>
    </w:r>
    <w:r w:rsidRPr="00AC2B58">
      <w:instrText xml:space="preserve"> DOCPROPERTY</w:instrText>
    </w:r>
    <w:r w:rsidRPr="00AC2B58">
      <w:rPr>
        <w:sz w:val="18"/>
      </w:rPr>
      <w:instrText xml:space="preserve"> "Samling" *\charformat </w:instrText>
    </w:r>
    <w:r w:rsidRPr="00AC2B58">
      <w:fldChar w:fldCharType="end"/>
    </w:r>
    <w:r w:rsidRPr="00AC2B58">
      <w:tab/>
      <w:t xml:space="preserve">pnr: </w:t>
    </w:r>
    <w:r w:rsidRPr="00AC2B58">
      <w:fldChar w:fldCharType="begin" w:fldLock="1"/>
    </w:r>
    <w:r w:rsidRPr="00AC2B58">
      <w:instrText xml:space="preserve"> DOCPROPERTY</w:instrText>
    </w:r>
    <w:r w:rsidRPr="00AC2B58">
      <w:rPr>
        <w:sz w:val="18"/>
      </w:rPr>
      <w:instrText xml:space="preserve"> "Partinummer" *\charformat </w:instrText>
    </w:r>
    <w:r w:rsidRPr="00AC2B58">
      <w:fldChar w:fldCharType="separate"/>
    </w:r>
    <w:r w:rsidRPr="00AC2B58">
      <w:t>c315</w:t>
    </w:r>
    <w:r w:rsidRPr="00AC2B58">
      <w:fldChar w:fldCharType="end"/>
    </w:r>
  </w:p>
  <w:p w:rsidR="00AC2B58" w:rsidRPr="00AC2B58" w:rsidRDefault="00AC2B58">
    <w:pPr>
      <w:pStyle w:val="FSHRub1"/>
    </w:pPr>
    <w:r w:rsidRPr="00AC2B58">
      <w:t>Motion till riksdagen</w:t>
    </w:r>
    <w:r w:rsidRPr="00AC2B58">
      <w:br/>
    </w:r>
    <w:r w:rsidRPr="00AC2B58">
      <w:fldChar w:fldCharType="begin" w:fldLock="1"/>
    </w:r>
    <w:r w:rsidRPr="00AC2B58">
      <w:instrText xml:space="preserve"> DOCPROPERTY "YearUser" *\charformat </w:instrText>
    </w:r>
    <w:r w:rsidRPr="00AC2B58">
      <w:fldChar w:fldCharType="separate"/>
    </w:r>
    <w:r w:rsidRPr="00AC2B58">
      <w:t>2009/10</w:t>
    </w:r>
    <w:r w:rsidRPr="00AC2B58">
      <w:fldChar w:fldCharType="end"/>
    </w:r>
    <w:r w:rsidRPr="00AC2B58">
      <w:t>:</w:t>
    </w:r>
    <w:r w:rsidRPr="00AC2B58">
      <w:fldChar w:fldCharType="begin" w:fldLock="1"/>
    </w:r>
    <w:r w:rsidRPr="00AC2B58">
      <w:instrText xml:space="preserve"> DOCPROPERTY "Motionsnummer" *\charformat </w:instrText>
    </w:r>
    <w:r w:rsidRPr="00AC2B58">
      <w:fldChar w:fldCharType="separate"/>
    </w:r>
    <w:r w:rsidRPr="00AC2B58">
      <w:t>A220</w:t>
    </w:r>
    <w:r w:rsidRPr="00AC2B58">
      <w:fldChar w:fldCharType="end"/>
    </w:r>
  </w:p>
  <w:p w:rsidR="00AC2B58" w:rsidRPr="00AC2B58" w:rsidRDefault="00AC2B58">
    <w:pPr>
      <w:pStyle w:val="FSHNormalS5"/>
    </w:pPr>
    <w:r w:rsidRPr="00AC2B58">
      <w:fldChar w:fldCharType="begin" w:fldLock="1"/>
    </w:r>
    <w:r w:rsidRPr="00AC2B58">
      <w:instrText xml:space="preserve"> DOCPROPERTY "MotionarText" *\charformat </w:instrText>
    </w:r>
    <w:r w:rsidRPr="00AC2B58">
      <w:fldChar w:fldCharType="separate"/>
    </w:r>
    <w:r w:rsidRPr="00AC2B58">
      <w:t>av Annie Johansson (c)</w:t>
    </w:r>
    <w:r w:rsidRPr="00AC2B58">
      <w:fldChar w:fldCharType="end"/>
    </w:r>
    <w:r w:rsidRPr="00AC2B58">
      <w:br/>
    </w:r>
    <w:r w:rsidRPr="00AC2B58">
      <w:fldChar w:fldCharType="begin" w:fldLock="1"/>
    </w:r>
    <w:r w:rsidRPr="00AC2B58">
      <w:instrText xml:space="preserve"> DOCPROPERTY "SvarFrasKort" *\charformat </w:instrText>
    </w:r>
    <w:r w:rsidRPr="00AC2B58">
      <w:fldChar w:fldCharType="end"/>
    </w:r>
  </w:p>
  <w:p w:rsidR="00AC2B58" w:rsidRPr="00AC2B58" w:rsidRDefault="00AC2B58">
    <w:pPr>
      <w:pStyle w:val="FSHTitel"/>
    </w:pPr>
    <w:r w:rsidRPr="00AC2B58">
      <w:fldChar w:fldCharType="begin" w:fldLock="1"/>
    </w:r>
    <w:r w:rsidRPr="00AC2B58">
      <w:instrText xml:space="preserve"> DOCPROPERTY</w:instrText>
    </w:r>
    <w:r w:rsidRPr="00AC2B58">
      <w:rPr>
        <w:sz w:val="18"/>
      </w:rPr>
      <w:instrText xml:space="preserve"> "RubrikSvar" *\charformat </w:instrText>
    </w:r>
    <w:r w:rsidRPr="00AC2B58">
      <w:fldChar w:fldCharType="separate"/>
    </w:r>
    <w:r w:rsidRPr="00AC2B58">
      <w:t>Nystartszoner för minskat utanförskap</w:t>
    </w:r>
    <w:r w:rsidRPr="00AC2B58">
      <w:fldChar w:fldCharType="end"/>
    </w:r>
  </w:p>
  <w:p w:rsidR="00AC2B58" w:rsidRPr="00AC2B58" w:rsidRDefault="00AC2B58">
    <w:pPr>
      <w:pStyle w:val="Normal00"/>
    </w:pPr>
  </w:p>
  <w:p w:rsidR="00AC2B58" w:rsidRPr="00AC2B58" w:rsidRDefault="00AC2B5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21C74FE"/>
    <w:multiLevelType w:val="multilevel"/>
    <w:tmpl w:val="F1E45704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158B1E5B"/>
    <w:multiLevelType w:val="multilevel"/>
    <w:tmpl w:val="92F44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60432203">
    <w:abstractNumId w:val="8"/>
  </w:num>
  <w:num w:numId="2" w16cid:durableId="472842407">
    <w:abstractNumId w:val="9"/>
  </w:num>
  <w:num w:numId="3" w16cid:durableId="857432733">
    <w:abstractNumId w:val="8"/>
  </w:num>
  <w:num w:numId="4" w16cid:durableId="1544904100">
    <w:abstractNumId w:val="9"/>
  </w:num>
  <w:num w:numId="5" w16cid:durableId="403376269">
    <w:abstractNumId w:val="15"/>
  </w:num>
  <w:num w:numId="6" w16cid:durableId="998652469">
    <w:abstractNumId w:val="10"/>
  </w:num>
  <w:num w:numId="7" w16cid:durableId="1153595596">
    <w:abstractNumId w:val="13"/>
  </w:num>
  <w:num w:numId="8" w16cid:durableId="2040622795">
    <w:abstractNumId w:val="14"/>
  </w:num>
  <w:num w:numId="9" w16cid:durableId="907149969">
    <w:abstractNumId w:val="8"/>
  </w:num>
  <w:num w:numId="10" w16cid:durableId="447968700">
    <w:abstractNumId w:val="3"/>
  </w:num>
  <w:num w:numId="11" w16cid:durableId="155609965">
    <w:abstractNumId w:val="2"/>
  </w:num>
  <w:num w:numId="12" w16cid:durableId="1958872792">
    <w:abstractNumId w:val="1"/>
  </w:num>
  <w:num w:numId="13" w16cid:durableId="748968817">
    <w:abstractNumId w:val="0"/>
  </w:num>
  <w:num w:numId="14" w16cid:durableId="1152715554">
    <w:abstractNumId w:val="9"/>
  </w:num>
  <w:num w:numId="15" w16cid:durableId="1040324086">
    <w:abstractNumId w:val="7"/>
  </w:num>
  <w:num w:numId="16" w16cid:durableId="988099744">
    <w:abstractNumId w:val="6"/>
  </w:num>
  <w:num w:numId="17" w16cid:durableId="616717607">
    <w:abstractNumId w:val="5"/>
  </w:num>
  <w:num w:numId="18" w16cid:durableId="1615357651">
    <w:abstractNumId w:val="4"/>
  </w:num>
  <w:num w:numId="19" w16cid:durableId="1821799565">
    <w:abstractNumId w:val="12"/>
  </w:num>
  <w:num w:numId="20" w16cid:durableId="2335156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3"/>
    <w:docVar w:name="PersonGUIDs" w:val="{F8D1A1F3-5380-4D5C-94F6-089254C609DE}"/>
  </w:docVars>
  <w:rsids>
    <w:rsidRoot w:val="003960AB"/>
    <w:rsid w:val="003960AB"/>
    <w:rsid w:val="00AC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22205335-F6E2-48B7-8590-211BBCA6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HPAJG C+ Granjon LT" w:hAnsi="HPAJG C+ Granjon LT" w:cs="HPAJG C+ Granjon LT"/>
      <w:color w:val="000000"/>
      <w:sz w:val="24"/>
      <w:szCs w:val="24"/>
      <w:lang w:val="sv-SE" w:eastAsia="sv-SE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3670</Characters>
  <Application>Microsoft Office Word</Application>
  <DocSecurity>4</DocSecurity>
  <Lines>64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c315</vt:lpstr>
    </vt:vector>
  </TitlesOfParts>
  <Company>Riksdagen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c315</dc:title>
  <dc:subject>c315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2010-01-23T07:16:00Z</cp:lastPrinted>
  <dcterms:created xsi:type="dcterms:W3CDTF">2025-12-17T19:39:00Z</dcterms:created>
  <dcterms:modified xsi:type="dcterms:W3CDTF">2025-12-17T19:39:00Z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mot2000_515_2010-01-23</vt:lpwstr>
  </property>
  <property fmtid="{D5CDD505-2E9C-101B-9397-08002B2CF9AE}" pid="3" name="version">
    <vt:lpwstr>mot2000_496_2009-09-23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Nystartszoner för minskat utanförskap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Nystartszoner för minskat utanförskap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c315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Annie Johansson (c)</vt:lpwstr>
  </property>
  <property fmtid="{D5CDD505-2E9C-101B-9397-08002B2CF9AE}" pid="26" name="MotionarLista">
    <vt:lpwstr>Johansson, Annie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Annie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2009</vt:lpwstr>
  </property>
  <property fmtid="{D5CDD505-2E9C-101B-9397-08002B2CF9AE}" pid="44" name="NotesUID">
    <vt:lpwstr>cathrin.lindkvist@riksdagen.se</vt:lpwstr>
  </property>
  <property fmtid="{D5CDD505-2E9C-101B-9397-08002B2CF9AE}" pid="45" name="ReservUID">
    <vt:lpwstr>cn0322aa</vt:lpwstr>
  </property>
  <property fmtid="{D5CDD505-2E9C-101B-9397-08002B2CF9AE}" pid="46" name="MotionID">
    <vt:lpwstr>20092010000000000099000003150069</vt:lpwstr>
  </property>
  <property fmtid="{D5CDD505-2E9C-101B-9397-08002B2CF9AE}" pid="47" name="datum">
    <vt:lpwstr>090924</vt:lpwstr>
  </property>
  <property fmtid="{D5CDD505-2E9C-101B-9397-08002B2CF9AE}" pid="48" name="avsändar-e-post">
    <vt:lpwstr>cathrin.lindkvist@riksdagen.se</vt:lpwstr>
  </property>
  <property fmtid="{D5CDD505-2E9C-101B-9397-08002B2CF9AE}" pid="49" name="id">
    <vt:lpwstr>20092010000000000099000003150069</vt:lpwstr>
  </property>
  <property fmtid="{D5CDD505-2E9C-101B-9397-08002B2CF9AE}" pid="50" name="nummer">
    <vt:lpwstr>220</vt:lpwstr>
  </property>
  <property fmtid="{D5CDD505-2E9C-101B-9397-08002B2CF9AE}" pid="51" name="utskottsbeteckning">
    <vt:lpwstr>A</vt:lpwstr>
  </property>
  <property fmtid="{D5CDD505-2E9C-101B-9397-08002B2CF9AE}" pid="52" name="GlobalUID">
    <vt:lpwstr>{1DD94586-F3BD-470C-840D-663E5572E9E9}</vt:lpwstr>
  </property>
  <property fmtid="{D5CDD505-2E9C-101B-9397-08002B2CF9AE}" pid="53" name="Överföringar">
    <vt:i4>0</vt:i4>
  </property>
  <property fmtid="{D5CDD505-2E9C-101B-9397-08002B2CF9AE}" pid="54" name="Checksum">
    <vt:lpwstr>*0016161120709*</vt:lpwstr>
  </property>
  <property fmtid="{D5CDD505-2E9C-101B-9397-08002B2CF9AE}" pid="55" name="skuggnummer">
    <vt:lpwstr>364</vt:lpwstr>
  </property>
  <property fmtid="{D5CDD505-2E9C-101B-9397-08002B2CF9AE}" pid="56" name="urixVersion">
    <vt:lpwstr>4.1.0.6</vt:lpwstr>
  </property>
  <property fmtid="{D5CDD505-2E9C-101B-9397-08002B2CF9AE}" pid="57" name="urixOrigin">
    <vt:lpwstr>100123 08:16:37.797</vt:lpwstr>
  </property>
  <property fmtid="{D5CDD505-2E9C-101B-9397-08002B2CF9AE}" pid="58" name="urixGuid">
    <vt:lpwstr>{4727DBF0-6086-4A7D-A44D-D012CE45B36E}</vt:lpwstr>
  </property>
</Properties>
</file>