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C6F41">
        <w:tblPrEx>
          <w:tblCellMar>
            <w:top w:w="0" w:type="dxa"/>
            <w:left w:w="0" w:type="dxa"/>
            <w:bottom w:w="0" w:type="dxa"/>
            <w:right w:w="0" w:type="dxa"/>
          </w:tblCellMar>
        </w:tblPrEx>
        <w:trPr>
          <w:gridAfter w:val="2"/>
          <w:wAfter w:w="1758" w:type="dxa"/>
          <w:cantSplit/>
          <w:trHeight w:val="1320"/>
        </w:trPr>
        <w:tc>
          <w:tcPr>
            <w:tcW w:w="5897" w:type="dxa"/>
          </w:tcPr>
          <w:p w:rsidR="0013430C" w:rsidRPr="007C6F41" w:rsidRDefault="0013430C">
            <w:pPr>
              <w:pStyle w:val="HuvudRubrik"/>
            </w:pPr>
            <w:r w:rsidRPr="007C6F41">
              <w:t>Regeringskansliet</w:t>
            </w:r>
          </w:p>
          <w:p w:rsidR="0013430C" w:rsidRPr="007C6F41" w:rsidRDefault="0013430C">
            <w:pPr>
              <w:pStyle w:val="HuvudRubrik"/>
            </w:pPr>
            <w:r w:rsidRPr="007C6F41">
              <w:t>Faktapromemoria 2007/08: 71</w:t>
            </w:r>
          </w:p>
        </w:tc>
      </w:tr>
      <w:tr w:rsidR="00000000" w:rsidRPr="007C6F41">
        <w:tblPrEx>
          <w:tblCellMar>
            <w:top w:w="0" w:type="dxa"/>
            <w:left w:w="0" w:type="dxa"/>
            <w:bottom w:w="0" w:type="dxa"/>
            <w:right w:w="0" w:type="dxa"/>
          </w:tblCellMar>
        </w:tblPrEx>
        <w:trPr>
          <w:gridAfter w:val="2"/>
          <w:wAfter w:w="1758" w:type="dxa"/>
          <w:cantSplit/>
          <w:trHeight w:val="240"/>
        </w:trPr>
        <w:tc>
          <w:tcPr>
            <w:tcW w:w="5897" w:type="dxa"/>
          </w:tcPr>
          <w:p w:rsidR="0013430C" w:rsidRPr="007C6F41" w:rsidRDefault="0013430C">
            <w:pPr>
              <w:pStyle w:val="HuvudRubrik"/>
              <w:rPr>
                <w:sz w:val="28"/>
              </w:rPr>
            </w:pPr>
            <w:r w:rsidRPr="007C6F41">
              <w:t>Överföring av försvarsmateriel inom Europeiska unionen</w:t>
            </w:r>
          </w:p>
        </w:tc>
      </w:tr>
      <w:tr w:rsidR="00000000" w:rsidRPr="007C6F41">
        <w:tblPrEx>
          <w:tblCellMar>
            <w:top w:w="0" w:type="dxa"/>
            <w:left w:w="0" w:type="dxa"/>
            <w:bottom w:w="0" w:type="dxa"/>
            <w:right w:w="0" w:type="dxa"/>
          </w:tblCellMar>
        </w:tblPrEx>
        <w:trPr>
          <w:cantSplit/>
          <w:trHeight w:val="285"/>
        </w:trPr>
        <w:tc>
          <w:tcPr>
            <w:tcW w:w="7655" w:type="dxa"/>
            <w:gridSpan w:val="3"/>
          </w:tcPr>
          <w:p w:rsidR="0013430C" w:rsidRPr="007C6F41" w:rsidRDefault="0013430C">
            <w:pPr>
              <w:pStyle w:val="Departement"/>
              <w:rPr>
                <w:sz w:val="28"/>
              </w:rPr>
            </w:pPr>
            <w:r w:rsidRPr="007C6F41">
              <w:t>Utrikesdepartementet</w:t>
            </w:r>
          </w:p>
        </w:tc>
      </w:tr>
      <w:tr w:rsidR="00000000" w:rsidRPr="007C6F41">
        <w:tblPrEx>
          <w:tblCellMar>
            <w:top w:w="0" w:type="dxa"/>
            <w:left w:w="0" w:type="dxa"/>
            <w:bottom w:w="0" w:type="dxa"/>
            <w:right w:w="0" w:type="dxa"/>
          </w:tblCellMar>
        </w:tblPrEx>
        <w:trPr>
          <w:cantSplit/>
          <w:trHeight w:val="240"/>
        </w:trPr>
        <w:tc>
          <w:tcPr>
            <w:tcW w:w="7655" w:type="dxa"/>
            <w:gridSpan w:val="3"/>
          </w:tcPr>
          <w:p w:rsidR="0013430C" w:rsidRPr="007C6F41" w:rsidRDefault="0013430C">
            <w:pPr>
              <w:pStyle w:val="Dokumentdatum"/>
            </w:pPr>
            <w:r w:rsidRPr="007C6F41">
              <w:t>2008-02-15</w:t>
            </w:r>
          </w:p>
        </w:tc>
      </w:tr>
      <w:tr w:rsidR="00000000" w:rsidRPr="007C6F41">
        <w:tblPrEx>
          <w:tblCellMar>
            <w:top w:w="0" w:type="dxa"/>
            <w:left w:w="0" w:type="dxa"/>
            <w:bottom w:w="0" w:type="dxa"/>
            <w:right w:w="0" w:type="dxa"/>
          </w:tblCellMar>
        </w:tblPrEx>
        <w:trPr>
          <w:cantSplit/>
          <w:trHeight w:val="726"/>
        </w:trPr>
        <w:tc>
          <w:tcPr>
            <w:tcW w:w="7655" w:type="dxa"/>
            <w:gridSpan w:val="3"/>
            <w:vAlign w:val="bottom"/>
          </w:tcPr>
          <w:p w:rsidR="0013430C" w:rsidRPr="007C6F41" w:rsidRDefault="0013430C">
            <w:pPr>
              <w:pStyle w:val="Dokumentbeteckning"/>
            </w:pPr>
            <w:r w:rsidRPr="007C6F41">
              <w:t>Dokumentbeteckning</w:t>
            </w:r>
          </w:p>
        </w:tc>
      </w:tr>
      <w:tr w:rsidR="00000000" w:rsidRPr="007C6F41">
        <w:tblPrEx>
          <w:tblCellMar>
            <w:top w:w="0" w:type="dxa"/>
            <w:left w:w="0" w:type="dxa"/>
            <w:bottom w:w="0" w:type="dxa"/>
            <w:right w:w="0" w:type="dxa"/>
          </w:tblCellMar>
        </w:tblPrEx>
        <w:trPr>
          <w:gridAfter w:val="1"/>
          <w:wAfter w:w="1560" w:type="dxa"/>
          <w:trHeight w:val="120"/>
        </w:trPr>
        <w:tc>
          <w:tcPr>
            <w:tcW w:w="6095" w:type="dxa"/>
            <w:gridSpan w:val="2"/>
          </w:tcPr>
          <w:p w:rsidR="0013430C" w:rsidRPr="007C6F41" w:rsidRDefault="0013430C">
            <w:bookmarkStart w:id="0" w:name="KomNr"/>
            <w:bookmarkEnd w:id="0"/>
            <w:r w:rsidRPr="007C6F41">
              <w:t>KOM (2007) 765 slutlig</w:t>
            </w:r>
          </w:p>
        </w:tc>
      </w:tr>
      <w:tr w:rsidR="00000000" w:rsidRPr="007C6F41">
        <w:tblPrEx>
          <w:tblCellMar>
            <w:top w:w="0" w:type="dxa"/>
            <w:left w:w="0" w:type="dxa"/>
            <w:bottom w:w="0" w:type="dxa"/>
            <w:right w:w="0" w:type="dxa"/>
          </w:tblCellMar>
        </w:tblPrEx>
        <w:trPr>
          <w:gridAfter w:val="1"/>
          <w:wAfter w:w="1560" w:type="dxa"/>
          <w:trHeight w:val="120"/>
        </w:trPr>
        <w:tc>
          <w:tcPr>
            <w:tcW w:w="6095" w:type="dxa"/>
            <w:gridSpan w:val="2"/>
          </w:tcPr>
          <w:p w:rsidR="0013430C" w:rsidRPr="007C6F41" w:rsidRDefault="0013430C">
            <w:pPr>
              <w:pStyle w:val="Dokumentbeteckning-titel"/>
            </w:pPr>
            <w:r w:rsidRPr="007C6F41">
              <w:t>Förslag till Europaparlamentets och rådets direktiv om förenkling av villkoren för överföring av försvarsmateriel inom gemenskapen</w:t>
            </w:r>
          </w:p>
        </w:tc>
      </w:tr>
    </w:tbl>
    <w:p w:rsidR="0013430C" w:rsidRPr="007C6F41" w:rsidRDefault="0013430C">
      <w:r w:rsidRPr="007C6F41">
        <w:t xml:space="preserve"> </w:t>
      </w:r>
    </w:p>
    <w:p w:rsidR="0013430C" w:rsidRPr="007C6F41" w:rsidRDefault="0013430C">
      <w:pPr>
        <w:pStyle w:val="Rubrik1"/>
        <w:numPr>
          <w:ilvl w:val="0"/>
          <w:numId w:val="0"/>
        </w:numPr>
        <w:spacing w:before="120"/>
      </w:pPr>
      <w:r w:rsidRPr="007C6F41">
        <w:t>Sammanfattning</w:t>
      </w:r>
    </w:p>
    <w:p w:rsidR="0013430C" w:rsidRPr="007C6F41" w:rsidRDefault="0013430C">
      <w:pPr>
        <w:spacing w:before="120"/>
      </w:pPr>
      <w:r w:rsidRPr="007C6F41">
        <w:t>I dag saknas EG-rättsliga bestämmelser om exportkontroll av försvars-materiel.</w:t>
      </w:r>
      <w:r w:rsidRPr="007C6F41">
        <w:rPr>
          <w:rStyle w:val="Fotnotsreferens"/>
        </w:rPr>
        <w:footnoteReference w:id="1"/>
      </w:r>
      <w:r w:rsidRPr="007C6F41">
        <w:t xml:space="preserve"> Kommissionens förslag till direktiv syftar till att minska hindren vid överföring av försvarsmateriel (inkluderande försvarsmaterieltjänster) inom EU och därmed förbättra den samlade europeiska försvarsindustrins konkurrenskraft. För att uppnå detta föreslås att villkoren och förfarandet för tillstånd vid överföring av försvarsmateriel inom unionen förenklas och harmoniseras. Beslut om tillstånd till överföring av försvarsmateriel inom EU ska även fortsättningsvis fattas av medlemsstaterna. Kommissionen fö</w:t>
      </w:r>
      <w:r w:rsidRPr="007C6F41">
        <w:t>reslår ett system med generella, globala och individuella tillstånd. Vid användande av generellt tillstånd sker ingen prövning av varje enskild överföring.</w:t>
      </w:r>
    </w:p>
    <w:p w:rsidR="0013430C" w:rsidRPr="007C6F41" w:rsidRDefault="0013430C">
      <w:pPr>
        <w:spacing w:before="0"/>
        <w:ind w:firstLine="284"/>
      </w:pPr>
      <w:r w:rsidRPr="007C6F41">
        <w:t>Svensk ståndpunkt är under utarbetande. Kommissionens förslag har sänts på remiss till berörda svenska instanser.</w:t>
      </w:r>
    </w:p>
    <w:p w:rsidR="0013430C" w:rsidRPr="007C6F41" w:rsidRDefault="0013430C">
      <w:pPr>
        <w:pStyle w:val="Rubrik1"/>
        <w:tabs>
          <w:tab w:val="clear" w:pos="624"/>
          <w:tab w:val="num" w:pos="0"/>
          <w:tab w:val="left" w:pos="426"/>
        </w:tabs>
        <w:spacing w:before="240"/>
        <w:ind w:left="0" w:firstLine="0"/>
      </w:pPr>
      <w:r w:rsidRPr="007C6F41">
        <w:t>Förslaget</w:t>
      </w:r>
    </w:p>
    <w:p w:rsidR="0013430C" w:rsidRPr="007C6F41" w:rsidRDefault="0013430C">
      <w:pPr>
        <w:pStyle w:val="Rubrik2"/>
        <w:tabs>
          <w:tab w:val="num" w:pos="0"/>
          <w:tab w:val="left" w:pos="426"/>
        </w:tabs>
        <w:spacing w:before="240"/>
        <w:ind w:left="0" w:firstLine="0"/>
      </w:pPr>
      <w:r w:rsidRPr="007C6F41">
        <w:t>Ärendets bakgrund</w:t>
      </w:r>
    </w:p>
    <w:p w:rsidR="0013430C" w:rsidRPr="007C6F41" w:rsidRDefault="0013430C">
      <w:r w:rsidRPr="007C6F41">
        <w:t xml:space="preserve">Ansvaret för exportkontroll av försvarsmateriel åvilar de enskilda medlemsstaterna och exportkontrollen sker på basis av nationell lagstiftning. Det finns inga EG-rättsliga bestämmelser på området – dock finns en politiskt bindande uppförandekod.    </w:t>
      </w:r>
    </w:p>
    <w:p w:rsidR="0013430C" w:rsidRPr="007C6F41" w:rsidRDefault="0013430C">
      <w:pPr>
        <w:rPr>
          <w:b/>
        </w:rPr>
      </w:pPr>
      <w:r w:rsidRPr="007C6F41">
        <w:lastRenderedPageBreak/>
        <w:t>Kommissionens intresse i frågan har dock ökat successivt under senare år. Kommissionen anser att EG:s principer om fri rörlighet för varor och tjänster inom unionen även bör tillämpas på försvarsmateriel (inklusive försvarsmaterieltjänster) och att Europeiska gemenskapen har behörighet att reglera handeln inom unionen även för sådana produkter. Artikel 296 i EG-fördraget, som undantar krigsmateriel från den gemensamma marknadens regler i den mån det är nödvändigt för att skydda medlemsstatens väsentliga sä</w:t>
      </w:r>
      <w:r w:rsidRPr="007C6F41">
        <w:t>kerhetsintressen, bör därför, enligt kommissionen, framgent inte tillämpas på det sätt som sker i dag.</w:t>
      </w:r>
      <w:r w:rsidRPr="007C6F41">
        <w:rPr>
          <w:b/>
        </w:rPr>
        <w:t xml:space="preserve">  </w:t>
      </w:r>
    </w:p>
    <w:p w:rsidR="0013430C" w:rsidRPr="007C6F41" w:rsidRDefault="0013430C">
      <w:pPr>
        <w:spacing w:before="0" w:line="240" w:lineRule="atLeast"/>
        <w:ind w:firstLine="284"/>
      </w:pPr>
      <w:r w:rsidRPr="007C6F41">
        <w:t>I början av år 2006 presenterade kommissionen ett antal förslag i ett konsultationspapper.</w:t>
      </w:r>
      <w:r w:rsidRPr="007C6F41">
        <w:rPr>
          <w:rStyle w:val="Fotnotsreferens"/>
        </w:rPr>
        <w:footnoteReference w:id="2"/>
      </w:r>
      <w:r w:rsidRPr="007C6F41">
        <w:t xml:space="preserve"> Sverige lämnade ett svar som publicerades på kommissionens hemsida tillsammans med svar från några andra EU-medlemsstater.</w:t>
      </w:r>
      <w:r w:rsidRPr="007C6F41">
        <w:rPr>
          <w:rStyle w:val="Fotnotsreferens"/>
        </w:rPr>
        <w:footnoteReference w:id="3"/>
      </w:r>
      <w:r w:rsidRPr="007C6F41">
        <w:t xml:space="preserve"> Det svenska svaret var avvisande till kommissionens tankar. Det förslag som nu presenterats är på flera punkter mindre långtgående än konsultationspapperet. Utgått har bl.a. ett tidigare förslag att helt avskaffa kravet på tillstånd till överföring av försvarsmateriel inom EU. </w:t>
      </w:r>
    </w:p>
    <w:p w:rsidR="0013430C" w:rsidRPr="007C6F41" w:rsidRDefault="0013430C">
      <w:r w:rsidRPr="007C6F41">
        <w:t>Den 5 december 2007 lade kommissionen  fram ett förslag till direktiv om förenkling av villkoren för överföring av försvarsmateriel inom gemenskapen. Förslaget utgör, tillsammans med ett förslag till direktiv om upphandling  på förs</w:t>
      </w:r>
      <w:r w:rsidRPr="007C6F41">
        <w:t>vars- och säkerhetsområdet, en del av den strategi som beslutats för att öka den europeiska försvarsindustrins konkurrenskraft. Strategin återfinns i kommissionens meddelande ”En strategi för en starkare och mer konkurrenskraftig försvarsindustri i EU.”</w:t>
      </w:r>
      <w:r w:rsidRPr="007C6F41">
        <w:rPr>
          <w:rStyle w:val="Fotnotsreferens"/>
        </w:rPr>
        <w:footnoteReference w:id="4"/>
      </w:r>
    </w:p>
    <w:p w:rsidR="0013430C" w:rsidRPr="007C6F41" w:rsidRDefault="0013430C"/>
    <w:p w:rsidR="0013430C" w:rsidRPr="007C6F41" w:rsidRDefault="0013430C">
      <w:pPr>
        <w:pStyle w:val="Rubrik2"/>
        <w:tabs>
          <w:tab w:val="num" w:pos="426"/>
        </w:tabs>
        <w:spacing w:before="120"/>
        <w:ind w:left="0" w:firstLine="0"/>
      </w:pPr>
      <w:r w:rsidRPr="007C6F41">
        <w:t>Förslagets innehåll</w:t>
      </w:r>
    </w:p>
    <w:p w:rsidR="0013430C" w:rsidRPr="007C6F41" w:rsidRDefault="0013430C">
      <w:r w:rsidRPr="007C6F41">
        <w:t>Kommissionens målsättnin</w:t>
      </w:r>
      <w:r w:rsidRPr="007C6F41">
        <w:rPr>
          <w:i/>
        </w:rPr>
        <w:t>g</w:t>
      </w:r>
      <w:r w:rsidRPr="007C6F41">
        <w:t xml:space="preserve"> med förslaget är att stärka den europeiska försvarsindustrins konkurrenskraft. Ett övergripande syfte är att underlätta rörligheten av försvarsmateriel och försvarsmaterieltjänster mellan medlemsstaterna. Kommissionen framhåller att det i dag finns 27 olika nationella tillståndssystem inom EU för överföring av försvarsmateriel och att dessa skiljer sig kraftigt åt. Denna mångfald av tillståndssystem bedömer kommissionen vara administrativt betungande för företagen och hämmande för den samlade europeiska f</w:t>
      </w:r>
      <w:r w:rsidRPr="007C6F41">
        <w:t>örsvarsindustrins konkurrenskraft. Förslaget syftar till att minska hindren vid överföring av försvarsmateriel och försvarsmaterieltjänster inom EU genom att förenkla och harmonisera villkoren och förfarandena för tillstånd. Kommissionen bedömer vidare att de mellanstatliga försök som hittills gjorts för att underlätta och harmonisera de nationella exportkontrollprocedurerna inte fått avsedd effekt, till men för den samlade europeiska försvarsindustrin.</w:t>
      </w:r>
    </w:p>
    <w:p w:rsidR="0013430C" w:rsidRPr="007C6F41" w:rsidRDefault="0013430C">
      <w:r w:rsidRPr="007C6F41">
        <w:t>En huvudpunkt i förslaget är att tillstånd till överfö</w:t>
      </w:r>
      <w:r w:rsidRPr="007C6F41">
        <w:t>ring av försvarsmateriel</w:t>
      </w:r>
      <w:r w:rsidRPr="007C6F41">
        <w:rPr>
          <w:b/>
        </w:rPr>
        <w:t xml:space="preserve"> </w:t>
      </w:r>
      <w:r w:rsidRPr="007C6F41">
        <w:t xml:space="preserve">inom EU ska baseras på ett nytt system som harmoniserar och reducerar exportkontrollreglerna. Det föreslås att tillstånd till överföring av försvarsmateriel inom EU ska beviljas av medlemsstaterna i form av generella, globala eller individuella överföringstillstånd. </w:t>
      </w:r>
    </w:p>
    <w:p w:rsidR="0013430C" w:rsidRPr="007C6F41" w:rsidRDefault="0013430C">
      <w:pPr>
        <w:rPr>
          <w:b/>
        </w:rPr>
      </w:pPr>
      <w:r w:rsidRPr="007C6F41">
        <w:t>Generella tillstånd innebär att ett företag inte behöver ansöka om tillstånd för överföring av viss förutbestämd försvarsmateriel avsedd för en i förväg godkänd (av mottagarstaten certifierad) mottagare. De generella ti</w:t>
      </w:r>
      <w:r w:rsidRPr="007C6F41">
        <w:t>llstånden ska offentliggöras. Följaktligen kommer prövning inte att ske i varje enskilt fall. Generella tillstånd ska bl.a. användas vid två angivna situationer:</w:t>
      </w:r>
    </w:p>
    <w:p w:rsidR="0013430C" w:rsidRPr="007C6F41" w:rsidRDefault="0013430C">
      <w:pPr>
        <w:tabs>
          <w:tab w:val="left" w:pos="284"/>
        </w:tabs>
      </w:pPr>
      <w:r w:rsidRPr="007C6F41">
        <w:tab/>
        <w:t xml:space="preserve">(i) överföring av försvarsmateriel till försvarsmakten i andra </w:t>
      </w:r>
      <w:r w:rsidRPr="007C6F41">
        <w:tab/>
        <w:t xml:space="preserve">medlemsstater. </w:t>
      </w:r>
      <w:r w:rsidRPr="007C6F41">
        <w:tab/>
      </w:r>
    </w:p>
    <w:p w:rsidR="0013430C" w:rsidRPr="007C6F41" w:rsidRDefault="0013430C">
      <w:pPr>
        <w:tabs>
          <w:tab w:val="left" w:pos="284"/>
        </w:tabs>
      </w:pPr>
      <w:r w:rsidRPr="007C6F41">
        <w:tab/>
        <w:t>(ii) överföring av försvarsmateriel till certifierade försvarsindustri-</w:t>
      </w:r>
      <w:r w:rsidRPr="007C6F41">
        <w:tab/>
        <w:t>företag inom EU.</w:t>
      </w:r>
    </w:p>
    <w:p w:rsidR="0013430C" w:rsidRPr="007C6F41" w:rsidRDefault="0013430C"/>
    <w:p w:rsidR="0013430C" w:rsidRPr="007C6F41" w:rsidRDefault="0013430C">
      <w:r w:rsidRPr="007C6F41">
        <w:t xml:space="preserve">Med globala tillstånd avses en eller flera överföringar av försvarsmateriel till en eller flera mottagare i en annan medlemsstat. Av tillståndet ska framgå vilken försvarsmateriel som omfattas, vilka mottagare som är godkända samt hur länge tillståndet är giltigt. Tillståndet ska vara giltigt i minst tre år. </w:t>
      </w:r>
    </w:p>
    <w:p w:rsidR="0013430C" w:rsidRPr="007C6F41" w:rsidRDefault="0013430C">
      <w:r w:rsidRPr="007C6F41">
        <w:tab/>
        <w:t xml:space="preserve">Individuella tillstånd föreslås kunna användas när det på grund av en produkts beskaffenhet eller typen av mottagare är motiverat med ett individuellt tillstånd för att skydda en medlemsstats väsentliga säkerhetsintressen eller för att följa relevanta internationella icke-spridningsavtal, exportkontrollordningar eller fördrag. </w:t>
      </w:r>
    </w:p>
    <w:p w:rsidR="0013430C" w:rsidRPr="007C6F41" w:rsidRDefault="0013430C">
      <w:r w:rsidRPr="007C6F41">
        <w:tab/>
        <w:t>Förslagets nya bestämmelser ska balanseras av att medlemsstaterna i högre grad ska ha tilltro till varandras exportkontrollsystem och till de mottagande företagen, vilka ska certifieras enligt gemensamma certifieringsmetoder.</w:t>
      </w:r>
    </w:p>
    <w:p w:rsidR="0013430C" w:rsidRPr="007C6F41" w:rsidRDefault="0013430C">
      <w:r w:rsidRPr="007C6F41">
        <w:tab/>
        <w:t xml:space="preserve">Förslaget innehåller en bestämmelse om vidareexport till länder utanför EU. Medlemsstaterna ska se till att mottagare av försvarsmateriel som ansöker om exporttillstånd bekräftar för de behöriga myndigheterna, i de fall den försvarsmateriel som mottagits från en annan medlemsstat med stöd av ett överföringstillstånd är belagd med exportrestriktioner, att de har iakttagit villkoren för dessa restriktioner. </w:t>
      </w:r>
    </w:p>
    <w:p w:rsidR="0013430C" w:rsidRPr="007C6F41" w:rsidRDefault="0013430C">
      <w:r w:rsidRPr="007C6F41">
        <w:tab/>
        <w:t xml:space="preserve">Förslaget innehåller vidare en bestämmelse om tullsamarbete och Tullverkets roll. </w:t>
      </w:r>
    </w:p>
    <w:p w:rsidR="0013430C" w:rsidRPr="007C6F41" w:rsidRDefault="0013430C">
      <w:r w:rsidRPr="007C6F41">
        <w:tab/>
      </w:r>
    </w:p>
    <w:p w:rsidR="0013430C" w:rsidRPr="007C6F41" w:rsidRDefault="0013430C">
      <w:pPr>
        <w:tabs>
          <w:tab w:val="left" w:pos="709"/>
        </w:tabs>
        <w:rPr>
          <w:sz w:val="24"/>
          <w:szCs w:val="24"/>
        </w:rPr>
      </w:pPr>
      <w:r w:rsidRPr="007C6F41">
        <w:rPr>
          <w:sz w:val="24"/>
          <w:szCs w:val="24"/>
        </w:rPr>
        <w:t>1.3      Gällande svenska regler och förslagets effekt på dessa</w:t>
      </w:r>
    </w:p>
    <w:p w:rsidR="0013430C" w:rsidRPr="007C6F41" w:rsidRDefault="0013430C">
      <w:r w:rsidRPr="007C6F41">
        <w:t xml:space="preserve">Exportkontroll av krigsmateriel regleras i dag i lagen (1992:1300) om krigs-materiel och förordningen (1992:1303) om krigsmateriel. Kommissionens förslag medför krav på ändring i dessa författningar. </w:t>
      </w:r>
    </w:p>
    <w:p w:rsidR="0013430C" w:rsidRPr="007C6F41" w:rsidRDefault="0013430C">
      <w:pPr>
        <w:pStyle w:val="Rubrik2"/>
        <w:numPr>
          <w:ilvl w:val="0"/>
          <w:numId w:val="0"/>
        </w:numPr>
        <w:tabs>
          <w:tab w:val="left" w:pos="709"/>
        </w:tabs>
      </w:pPr>
      <w:r w:rsidRPr="007C6F41">
        <w:t>1.4</w:t>
      </w:r>
      <w:r w:rsidRPr="007C6F41">
        <w:tab/>
        <w:t>Budgetära konsekvenser / Konsekvensanalys</w:t>
      </w:r>
    </w:p>
    <w:p w:rsidR="0013430C" w:rsidRPr="007C6F41" w:rsidRDefault="0013430C">
      <w:r w:rsidRPr="007C6F41">
        <w:t xml:space="preserve">I kommissionens konsekvensanalys uppskattas att en stor nettovinst kan göras i form av minskad administration. Indirekta vinster förväntas uppstå i form av dels en mer välfungerande europeisk försvarsmaterielmarknad, dels en mer konkurrenskraftig europeisk försvarsindustri. Enligt kommissionens konsekvensanalys torde förslagets inverkan på miljön bli mycket liten. </w:t>
      </w:r>
    </w:p>
    <w:p w:rsidR="0013430C" w:rsidRPr="007C6F41" w:rsidRDefault="0013430C"/>
    <w:p w:rsidR="0013430C" w:rsidRPr="007C6F41" w:rsidRDefault="0013430C">
      <w:pPr>
        <w:pStyle w:val="Rubrik1"/>
        <w:spacing w:before="240"/>
      </w:pPr>
      <w:r w:rsidRPr="007C6F41">
        <w:t>Ståndpunkter</w:t>
      </w:r>
    </w:p>
    <w:p w:rsidR="0013430C" w:rsidRPr="007C6F41" w:rsidRDefault="0013430C">
      <w:pPr>
        <w:pStyle w:val="Rubrik2"/>
        <w:numPr>
          <w:ilvl w:val="0"/>
          <w:numId w:val="0"/>
        </w:numPr>
        <w:tabs>
          <w:tab w:val="left" w:pos="709"/>
        </w:tabs>
        <w:spacing w:before="240"/>
      </w:pPr>
      <w:r w:rsidRPr="007C6F41">
        <w:t>2.1</w:t>
      </w:r>
      <w:r w:rsidRPr="007C6F41">
        <w:tab/>
        <w:t>Preliminär svensk ståndpunkt</w:t>
      </w:r>
    </w:p>
    <w:p w:rsidR="0013430C" w:rsidRPr="007C6F41" w:rsidRDefault="0013430C">
      <w:pPr>
        <w:pStyle w:val="Rubrik2"/>
        <w:numPr>
          <w:ilvl w:val="0"/>
          <w:numId w:val="0"/>
        </w:numPr>
        <w:tabs>
          <w:tab w:val="left" w:pos="709"/>
        </w:tabs>
        <w:spacing w:before="120"/>
        <w:jc w:val="both"/>
      </w:pPr>
      <w:r w:rsidRPr="007C6F41">
        <w:rPr>
          <w:sz w:val="19"/>
        </w:rPr>
        <w:t xml:space="preserve">Svensk ståndpunkt är under utarbetande. Förslaget har gått på remiss till berörda branschorganisationer och myndigheter. </w:t>
      </w:r>
    </w:p>
    <w:p w:rsidR="0013430C" w:rsidRPr="007C6F41" w:rsidRDefault="0013430C">
      <w:pPr>
        <w:pStyle w:val="Rubrik2"/>
        <w:numPr>
          <w:ilvl w:val="0"/>
          <w:numId w:val="0"/>
        </w:numPr>
        <w:tabs>
          <w:tab w:val="left" w:pos="709"/>
          <w:tab w:val="left" w:pos="851"/>
        </w:tabs>
      </w:pPr>
      <w:r w:rsidRPr="007C6F41">
        <w:t>2.2</w:t>
      </w:r>
      <w:r w:rsidRPr="007C6F41">
        <w:tab/>
        <w:t>Medlemsstaternas ståndpunkter</w:t>
      </w:r>
    </w:p>
    <w:p w:rsidR="0013430C" w:rsidRPr="007C6F41" w:rsidRDefault="0013430C">
      <w:r w:rsidRPr="007C6F41">
        <w:t xml:space="preserve">Några ståndpunkter har ännu inte deklarerats från medlemsstaterna. </w:t>
      </w:r>
    </w:p>
    <w:p w:rsidR="0013430C" w:rsidRPr="007C6F41" w:rsidRDefault="0013430C">
      <w:pPr>
        <w:pStyle w:val="Rubrik2"/>
        <w:numPr>
          <w:ilvl w:val="0"/>
          <w:numId w:val="0"/>
        </w:numPr>
        <w:tabs>
          <w:tab w:val="left" w:pos="709"/>
        </w:tabs>
      </w:pPr>
      <w:r w:rsidRPr="007C6F41">
        <w:t>2.3</w:t>
      </w:r>
      <w:r w:rsidRPr="007C6F41">
        <w:tab/>
        <w:t>Institutionernas ståndpunkter</w:t>
      </w:r>
    </w:p>
    <w:p w:rsidR="0013430C" w:rsidRPr="007C6F41" w:rsidRDefault="0013430C">
      <w:r w:rsidRPr="007C6F41">
        <w:t xml:space="preserve">Varken Europaparlamentet eller rådet har ännu gett uttryck för någon  ståndpunkt. </w:t>
      </w:r>
    </w:p>
    <w:p w:rsidR="0013430C" w:rsidRPr="007C6F41" w:rsidRDefault="0013430C">
      <w:pPr>
        <w:pStyle w:val="Rubrik2"/>
        <w:numPr>
          <w:ilvl w:val="1"/>
          <w:numId w:val="13"/>
        </w:numPr>
      </w:pPr>
      <w:r w:rsidRPr="007C6F41">
        <w:t>Remissinstansernas ståndpunkter</w:t>
      </w:r>
    </w:p>
    <w:p w:rsidR="0013430C" w:rsidRPr="007C6F41" w:rsidRDefault="0013430C"/>
    <w:p w:rsidR="0013430C" w:rsidRPr="007C6F41" w:rsidRDefault="0013430C">
      <w:pPr>
        <w:pStyle w:val="Rubrik1"/>
        <w:numPr>
          <w:ilvl w:val="0"/>
          <w:numId w:val="0"/>
        </w:numPr>
        <w:tabs>
          <w:tab w:val="left" w:pos="709"/>
        </w:tabs>
        <w:spacing w:before="240"/>
      </w:pPr>
      <w:r w:rsidRPr="007C6F41">
        <w:t>3</w:t>
      </w:r>
      <w:r w:rsidRPr="007C6F41">
        <w:tab/>
        <w:t>Förslagets förutsättningar</w:t>
      </w:r>
    </w:p>
    <w:p w:rsidR="0013430C" w:rsidRPr="007C6F41" w:rsidRDefault="0013430C">
      <w:pPr>
        <w:pStyle w:val="Rubrik2"/>
        <w:numPr>
          <w:ilvl w:val="0"/>
          <w:numId w:val="0"/>
        </w:numPr>
        <w:tabs>
          <w:tab w:val="left" w:pos="709"/>
        </w:tabs>
        <w:spacing w:before="240"/>
      </w:pPr>
      <w:r w:rsidRPr="007C6F41">
        <w:t>3.1</w:t>
      </w:r>
      <w:r w:rsidRPr="007C6F41">
        <w:tab/>
        <w:t>Rättslig grund och beslutsförfarande</w:t>
      </w:r>
    </w:p>
    <w:p w:rsidR="0013430C" w:rsidRPr="007C6F41" w:rsidRDefault="0013430C">
      <w:pPr>
        <w:spacing w:before="120"/>
      </w:pPr>
      <w:r w:rsidRPr="007C6F41">
        <w:t>Artikel 95 i EG-fördraget. Beslut fattas enligt medbeslutandeförfarandet i artikel 251 i EG-fördraget med kvalificerad majoritet i rådet och med Europaparlamentets medbeslutande.</w:t>
      </w:r>
    </w:p>
    <w:p w:rsidR="0013430C" w:rsidRPr="007C6F41" w:rsidRDefault="0013430C">
      <w:pPr>
        <w:tabs>
          <w:tab w:val="left" w:pos="284"/>
        </w:tabs>
      </w:pPr>
    </w:p>
    <w:p w:rsidR="0013430C" w:rsidRPr="007C6F41" w:rsidRDefault="0013430C">
      <w:pPr>
        <w:tabs>
          <w:tab w:val="left" w:pos="709"/>
        </w:tabs>
        <w:spacing w:before="120"/>
        <w:rPr>
          <w:sz w:val="24"/>
          <w:szCs w:val="24"/>
        </w:rPr>
      </w:pPr>
      <w:r w:rsidRPr="007C6F41">
        <w:rPr>
          <w:sz w:val="24"/>
          <w:szCs w:val="24"/>
        </w:rPr>
        <w:t>3.2</w:t>
      </w:r>
      <w:r w:rsidRPr="007C6F41">
        <w:rPr>
          <w:sz w:val="24"/>
          <w:szCs w:val="24"/>
        </w:rPr>
        <w:tab/>
        <w:t>Subsidiaritets- och proportionalitetsprincipen</w:t>
      </w:r>
    </w:p>
    <w:p w:rsidR="0013430C" w:rsidRPr="007C6F41" w:rsidRDefault="0013430C">
      <w:pPr>
        <w:spacing w:before="120"/>
      </w:pPr>
      <w:r w:rsidRPr="007C6F41">
        <w:t xml:space="preserve">Kommissionen bedömer att subsidiaritetsprincipen garanteras genom att medlemsstaterna fortsatt fattar beslut om tillstånd till överföringar av försvarsmateriel inom gemenskapen inom ramen för deras respektive försvars- och utrikespolitik och samordningen av dem i den gemensamma utrikes- och säkerhetspolitiken (GUSP). Kommissionen anser att åtgärder enbart på medlemsstatsnivå knappast skapar lika villkor för alla medlemsstater utan att de föreslagna åtgärderna </w:t>
      </w:r>
      <w:r w:rsidRPr="007C6F41">
        <w:t xml:space="preserve">krävs för att uppnå detta. Kommissionen anser också att förslaget är förenligt med proportionalitetsprincipen. </w:t>
      </w:r>
    </w:p>
    <w:p w:rsidR="0013430C" w:rsidRPr="007C6F41" w:rsidRDefault="0013430C">
      <w:r w:rsidRPr="007C6F41">
        <w:t>Kommissionen föreslår reglering i form av ett nytt direktiv för att ge medlemsstaterna större frihet i fråga om genomförandet.</w:t>
      </w:r>
    </w:p>
    <w:p w:rsidR="0013430C" w:rsidRPr="007C6F41" w:rsidRDefault="0013430C">
      <w:pPr>
        <w:pStyle w:val="Rubrik1"/>
        <w:numPr>
          <w:ilvl w:val="0"/>
          <w:numId w:val="0"/>
        </w:numPr>
        <w:tabs>
          <w:tab w:val="left" w:pos="709"/>
        </w:tabs>
        <w:spacing w:before="240"/>
      </w:pPr>
      <w:r w:rsidRPr="007C6F41">
        <w:t>4</w:t>
      </w:r>
      <w:r w:rsidRPr="007C6F41">
        <w:tab/>
        <w:t>Övrigt</w:t>
      </w:r>
    </w:p>
    <w:p w:rsidR="0013430C" w:rsidRPr="007C6F41" w:rsidRDefault="0013430C">
      <w:pPr>
        <w:pStyle w:val="Rubrik2"/>
        <w:numPr>
          <w:ilvl w:val="0"/>
          <w:numId w:val="0"/>
        </w:numPr>
        <w:tabs>
          <w:tab w:val="left" w:pos="709"/>
        </w:tabs>
        <w:spacing w:before="240"/>
      </w:pPr>
      <w:r w:rsidRPr="007C6F41">
        <w:t>4.1</w:t>
      </w:r>
      <w:r w:rsidRPr="007C6F41">
        <w:tab/>
        <w:t>Fortsatt behandling av ärendet</w:t>
      </w:r>
    </w:p>
    <w:p w:rsidR="0013430C" w:rsidRPr="007C6F41" w:rsidRDefault="0013430C">
      <w:pPr>
        <w:rPr>
          <w:b/>
        </w:rPr>
      </w:pPr>
      <w:r w:rsidRPr="007C6F41">
        <w:t xml:space="preserve">Kommissionen förväntas presentera förslaget vid Konkurrenskraftsrådets möte i februari 2008. Det slovenska ordförandeskapet har planerat att förslaget ska behandlas i rådsarbetsgruppen för inremarknadsfrågor med medverkan av rådsarbetsgruppen för frågor om export av konventionella vapen.  </w:t>
      </w:r>
      <w:r w:rsidRPr="007C6F41">
        <w:rPr>
          <w:b/>
        </w:rPr>
        <w:t xml:space="preserve"> </w:t>
      </w:r>
    </w:p>
    <w:p w:rsidR="0013430C" w:rsidRPr="007C6F41" w:rsidRDefault="0013430C">
      <w:pPr>
        <w:pStyle w:val="Rubrik2"/>
        <w:numPr>
          <w:ilvl w:val="0"/>
          <w:numId w:val="0"/>
        </w:numPr>
        <w:tabs>
          <w:tab w:val="left" w:pos="709"/>
        </w:tabs>
      </w:pPr>
      <w:r w:rsidRPr="007C6F41">
        <w:t>4.2</w:t>
      </w:r>
      <w:r w:rsidRPr="007C6F41">
        <w:tab/>
        <w:t>Fackuttryck / termer</w:t>
      </w:r>
    </w:p>
    <w:p w:rsidR="0013430C" w:rsidRPr="007C6F41" w:rsidRDefault="0013430C">
      <w:r w:rsidRPr="007C6F41">
        <w:t>Försvarsmateriel: Ett begrepp som motsvarar det i svensk rätt vedertagna begreppet krigsmateriel (jfr SOU 2005:9, s. 245 och 246).</w:t>
      </w:r>
    </w:p>
    <w:p w:rsidR="0013430C" w:rsidRPr="007C6F41" w:rsidRDefault="0013430C"/>
    <w:p w:rsidR="0013430C" w:rsidRPr="007C6F41" w:rsidRDefault="0013430C">
      <w:r w:rsidRPr="007C6F41">
        <w:t>Överföringstillstånd: Enligt förslaget till direktiv avses med detta begrepp ett tillstånd utfärdat av en nationell myndighet i en medlemsstat, vilket ger leverantörer rätt att överföra försvarsmateriel till mottagare i en annan medlemsstat.</w:t>
      </w:r>
    </w:p>
    <w:p w:rsidR="0013430C" w:rsidRPr="007C6F41" w:rsidRDefault="0013430C"/>
    <w:p w:rsidR="0013430C" w:rsidRPr="007C6F41" w:rsidRDefault="0013430C">
      <w:r w:rsidRPr="007C6F41">
        <w:t>Exporttillstånd: Enligt förslaget till direktiv avses med detta begrepp ett tillstånd att leverera försvarsmateriel till mottagare i tredjeland.</w:t>
      </w:r>
    </w:p>
    <w:p w:rsidR="0013430C" w:rsidRPr="007C6F41" w:rsidRDefault="0013430C"/>
    <w:p w:rsidR="0013430C" w:rsidRPr="007C6F41" w:rsidRDefault="0013430C"/>
    <w:sectPr w:rsidR="0013430C" w:rsidRPr="007C6F4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430C" w:rsidRPr="007C6F41" w:rsidRDefault="0013430C">
      <w:r w:rsidRPr="007C6F41">
        <w:separator/>
      </w:r>
    </w:p>
  </w:endnote>
  <w:endnote w:type="continuationSeparator" w:id="0">
    <w:p w:rsidR="0013430C" w:rsidRPr="007C6F41" w:rsidRDefault="0013430C">
      <w:r w:rsidRPr="007C6F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30C" w:rsidRPr="007C6F41" w:rsidRDefault="0013430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30C" w:rsidRPr="007C6F41" w:rsidRDefault="0013430C">
    <w:pPr>
      <w:pStyle w:val="SidfotH"/>
      <w:framePr w:wrap="around"/>
    </w:pPr>
    <w:r w:rsidRPr="007C6F41">
      <w:t>2</w:t>
    </w:r>
  </w:p>
  <w:p w:rsidR="0013430C" w:rsidRPr="007C6F41" w:rsidRDefault="0013430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30C" w:rsidRPr="007C6F41" w:rsidRDefault="0013430C">
    <w:pPr>
      <w:pStyle w:val="SidfotH"/>
      <w:framePr w:wrap="around"/>
    </w:pPr>
    <w:r w:rsidRPr="007C6F41">
      <w:t>1</w:t>
    </w:r>
  </w:p>
  <w:p w:rsidR="0013430C" w:rsidRPr="007C6F41" w:rsidRDefault="001343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430C" w:rsidRPr="007C6F41" w:rsidRDefault="0013430C">
      <w:r w:rsidRPr="007C6F41">
        <w:separator/>
      </w:r>
    </w:p>
  </w:footnote>
  <w:footnote w:type="continuationSeparator" w:id="0">
    <w:p w:rsidR="0013430C" w:rsidRPr="007C6F41" w:rsidRDefault="0013430C">
      <w:r w:rsidRPr="007C6F41">
        <w:continuationSeparator/>
      </w:r>
    </w:p>
  </w:footnote>
  <w:footnote w:id="1">
    <w:p w:rsidR="0013430C" w:rsidRPr="007C6F41" w:rsidRDefault="0013430C">
      <w:pPr>
        <w:pStyle w:val="Fotnotstext"/>
      </w:pPr>
      <w:r w:rsidRPr="007C6F41">
        <w:rPr>
          <w:rStyle w:val="Fotnotsreferens"/>
        </w:rPr>
        <w:footnoteRef/>
      </w:r>
      <w:r w:rsidRPr="007C6F41">
        <w:t xml:space="preserve"> Begreppet försvarsmateriel används i förslaget till direktiv, medan begreppet krigsmateriel används i svensk lagstiftning. Se avsnitt 4.2 Fackuttryck/termer.</w:t>
      </w:r>
    </w:p>
  </w:footnote>
  <w:footnote w:id="2">
    <w:p w:rsidR="0013430C" w:rsidRPr="007C6F41" w:rsidRDefault="0013430C">
      <w:pPr>
        <w:pStyle w:val="Fotnotstext"/>
      </w:pPr>
      <w:r w:rsidRPr="007C6F41">
        <w:rPr>
          <w:rStyle w:val="Fotnotsreferens"/>
        </w:rPr>
        <w:footnoteRef/>
      </w:r>
      <w:r w:rsidRPr="007C6F41">
        <w:t xml:space="preserve"> ”Consultation paper on intra-community circulation of products for the defence of member-states”.</w:t>
      </w:r>
    </w:p>
  </w:footnote>
  <w:footnote w:id="3">
    <w:p w:rsidR="0013430C" w:rsidRPr="007C6F41" w:rsidRDefault="0013430C">
      <w:pPr>
        <w:pStyle w:val="Fotnotstext"/>
        <w:rPr>
          <w:b/>
        </w:rPr>
      </w:pPr>
      <w:r w:rsidRPr="007C6F41">
        <w:rPr>
          <w:rStyle w:val="Fotnotsreferens"/>
          <w:b/>
        </w:rPr>
        <w:footnoteRef/>
      </w:r>
      <w:r w:rsidRPr="007C6F41">
        <w:rPr>
          <w:b/>
        </w:rPr>
        <w:t xml:space="preserve">  </w:t>
      </w:r>
      <w:r w:rsidRPr="007C6F41">
        <w:t>http://ec.europa.eu/enterprise/regulation/inst_sp/defense_en.htm#study</w:t>
      </w:r>
    </w:p>
  </w:footnote>
  <w:footnote w:id="4">
    <w:p w:rsidR="0013430C" w:rsidRPr="007C6F41" w:rsidRDefault="0013430C">
      <w:pPr>
        <w:pStyle w:val="Fotnotstext"/>
      </w:pPr>
      <w:r w:rsidRPr="007C6F41">
        <w:rPr>
          <w:rStyle w:val="Fotnotsreferens"/>
        </w:rPr>
        <w:footnoteRef/>
      </w:r>
      <w:r w:rsidRPr="007C6F41">
        <w:t xml:space="preserve">  KOM (2007) 764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30C" w:rsidRPr="007C6F41" w:rsidRDefault="0013430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30C" w:rsidRPr="007C6F41" w:rsidRDefault="0013430C">
    <w:pPr>
      <w:pStyle w:val="Kantrubrik"/>
      <w:framePr w:h="1157" w:hRule="exact" w:wrap="around" w:y="738"/>
    </w:pPr>
    <w:r w:rsidRPr="007C6F41">
      <w:t>2007/08:FPM71</w:t>
    </w:r>
  </w:p>
  <w:p w:rsidR="0013430C" w:rsidRPr="007C6F41" w:rsidRDefault="0013430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30C" w:rsidRPr="007C6F41" w:rsidRDefault="007C6F41">
    <w:pPr>
      <w:pStyle w:val="Sidhuvud"/>
    </w:pPr>
    <w:r w:rsidRPr="007C6F4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229129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430C" w:rsidRDefault="0013430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35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3430C" w:rsidRDefault="0013430C">
                    <w:pPr>
                      <w:pStyle w:val="Logo"/>
                    </w:pPr>
                    <w:r>
                      <w:object w:dxaOrig="840" w:dyaOrig="1545">
                        <v:shape id="_x0000_i1025" type="#_x0000_t75" style="width:42pt;height:77.15pt" filled="t">
                          <v:imagedata r:id="rId1" o:title=""/>
                        </v:shape>
                        <o:OLEObject Type="Embed" ProgID="Word.Picture.8" ShapeID="_x0000_i1025" DrawAspect="Content" ObjectID="_182749635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33E1FBC"/>
    <w:lvl w:ilvl="0">
      <w:start w:val="1"/>
      <w:numFmt w:val="decimal"/>
      <w:pStyle w:val="Rubrik1"/>
      <w:isLgl/>
      <w:lvlText w:val="%1"/>
      <w:lvlJc w:val="left"/>
      <w:pPr>
        <w:tabs>
          <w:tab w:val="num" w:pos="624"/>
        </w:tabs>
        <w:ind w:left="624" w:hanging="624"/>
      </w:pPr>
      <w:rPr>
        <w:rFonts w:hint="default"/>
      </w:rPr>
    </w:lvl>
    <w:lvl w:ilvl="1">
      <w:start w:val="1"/>
      <w:numFmt w:val="decimal"/>
      <w:pStyle w:val="Rubrik2"/>
      <w:isLgl/>
      <w:lvlText w:val="%1.%2"/>
      <w:lvlJc w:val="left"/>
      <w:pPr>
        <w:tabs>
          <w:tab w:val="num" w:pos="766"/>
        </w:tabs>
        <w:ind w:left="766" w:hanging="624"/>
      </w:pPr>
      <w:rPr>
        <w:rFonts w:hint="default"/>
      </w:rPr>
    </w:lvl>
    <w:lvl w:ilvl="2">
      <w:start w:val="1"/>
      <w:numFmt w:val="decimal"/>
      <w:pStyle w:val="Rubrik3"/>
      <w:isLgl/>
      <w:lvlText w:val="%1.%2.%3"/>
      <w:lvlJc w:val="left"/>
      <w:pPr>
        <w:tabs>
          <w:tab w:val="num" w:pos="624"/>
        </w:tabs>
        <w:ind w:left="624" w:hanging="624"/>
      </w:pPr>
      <w:rPr>
        <w:rFonts w:hint="default"/>
      </w:rPr>
    </w:lvl>
    <w:lvl w:ilvl="3">
      <w:start w:val="1"/>
      <w:numFmt w:val="decimal"/>
      <w:pStyle w:val="Rubrik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FCC58DB"/>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766"/>
        </w:tabs>
        <w:ind w:left="766"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27F7CE2"/>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766"/>
        </w:tabs>
        <w:ind w:left="766"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55531364"/>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766"/>
        </w:tabs>
        <w:ind w:left="766"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CEA6006"/>
    <w:multiLevelType w:val="multilevel"/>
    <w:tmpl w:val="AD60D386"/>
    <w:lvl w:ilvl="0">
      <w:start w:val="1"/>
      <w:numFmt w:val="decimal"/>
      <w:isLgl/>
      <w:lvlText w:val="%1"/>
      <w:lvlJc w:val="left"/>
      <w:pPr>
        <w:tabs>
          <w:tab w:val="num" w:pos="624"/>
        </w:tabs>
        <w:ind w:left="624" w:hanging="624"/>
      </w:pPr>
      <w:rPr>
        <w:rFonts w:hint="default"/>
      </w:rPr>
    </w:lvl>
    <w:lvl w:ilvl="1">
      <w:start w:val="1"/>
      <w:numFmt w:val="decimal"/>
      <w:isLgl/>
      <w:lvlText w:val="%1.%2"/>
      <w:lvlJc w:val="left"/>
      <w:pPr>
        <w:tabs>
          <w:tab w:val="num" w:pos="766"/>
        </w:tabs>
        <w:ind w:left="766" w:hanging="624"/>
      </w:pPr>
      <w:rPr>
        <w:rFonts w:hint="default"/>
      </w:rPr>
    </w:lvl>
    <w:lvl w:ilvl="2">
      <w:start w:val="1"/>
      <w:numFmt w:val="decimal"/>
      <w:isLgl/>
      <w:lvlText w:val="%1.%2.%3"/>
      <w:lvlJc w:val="left"/>
      <w:pPr>
        <w:tabs>
          <w:tab w:val="num" w:pos="624"/>
        </w:tabs>
        <w:ind w:left="624" w:hanging="62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E6F4D24"/>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1050"/>
        </w:tabs>
        <w:ind w:left="1050"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05955869">
    <w:abstractNumId w:val="7"/>
  </w:num>
  <w:num w:numId="2" w16cid:durableId="1365131231">
    <w:abstractNumId w:val="3"/>
  </w:num>
  <w:num w:numId="3" w16cid:durableId="524246063">
    <w:abstractNumId w:val="4"/>
  </w:num>
  <w:num w:numId="4" w16cid:durableId="1340694117">
    <w:abstractNumId w:val="6"/>
  </w:num>
  <w:num w:numId="5" w16cid:durableId="474369442">
    <w:abstractNumId w:val="8"/>
  </w:num>
  <w:num w:numId="6" w16cid:durableId="3018804">
    <w:abstractNumId w:val="0"/>
  </w:num>
  <w:num w:numId="7" w16cid:durableId="1435780513">
    <w:abstractNumId w:val="10"/>
  </w:num>
  <w:num w:numId="8" w16cid:durableId="74012279">
    <w:abstractNumId w:val="1"/>
  </w:num>
  <w:num w:numId="9" w16cid:durableId="1223562623">
    <w:abstractNumId w:val="0"/>
    <w:lvlOverride w:ilvl="0">
      <w:startOverride w:val="2"/>
    </w:lvlOverride>
    <w:lvlOverride w:ilvl="1">
      <w:startOverride w:val="4"/>
    </w:lvlOverride>
  </w:num>
  <w:num w:numId="10" w16cid:durableId="1352410190">
    <w:abstractNumId w:val="5"/>
  </w:num>
  <w:num w:numId="11" w16cid:durableId="2141990554">
    <w:abstractNumId w:val="2"/>
  </w:num>
  <w:num w:numId="12" w16cid:durableId="267009601">
    <w:abstractNumId w:val="9"/>
  </w:num>
  <w:num w:numId="13" w16cid:durableId="212161122">
    <w:abstractNumId w:val="0"/>
    <w:lvlOverride w:ilvl="0">
      <w:startOverride w:val="2"/>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2-15"/>
    <w:docVar w:name="Ar" w:val="2007/08"/>
    <w:docVar w:name="Dep" w:val="Utrikesdepartementet"/>
    <w:docVar w:name="DepWeb" w:val="Utrikesdepartementet"/>
    <w:docVar w:name="GDB1" w:val="KOM (2007) 76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förenkling av villkoren för överföring av försvarsmateriel inom gemenskap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765 slutlig"/>
    <w:docVar w:name="Nr" w:val="71"/>
    <w:docVar w:name="RD_APPVERSION" w:val="3.00"/>
    <w:docVar w:name="Rub" w:val="Överföring av försvarsmateriel inom EU"/>
    <w:docVar w:name="UppDat" w:val="2008-02-15"/>
    <w:docVar w:name="Utsk" w:val="Försvarsutskottet"/>
  </w:docVars>
  <w:rsids>
    <w:rsidRoot w:val="00576EC2"/>
    <w:rsid w:val="0013430C"/>
    <w:rsid w:val="00576EC2"/>
    <w:rsid w:val="007C6F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566291-DAAB-4093-98E3-C60DEB6B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ManualConsidrant">
    <w:name w:val="Manual Considérant"/>
    <w:basedOn w:val="Normal"/>
    <w:pPr>
      <w:spacing w:before="120" w:after="120" w:line="240" w:lineRule="auto"/>
      <w:ind w:left="709" w:hanging="709"/>
    </w:pPr>
    <w:rPr>
      <w:snapToGrid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1187</Words>
  <Characters>8150</Characters>
  <Application>Microsoft Office Word</Application>
  <DocSecurity>4</DocSecurity>
  <Lines>166</Lines>
  <Paragraphs>60</Paragraphs>
  <ScaleCrop>false</ScaleCrop>
  <HeadingPairs>
    <vt:vector size="2" baseType="variant">
      <vt:variant>
        <vt:lpstr>Rubrik</vt:lpstr>
      </vt:variant>
      <vt:variant>
        <vt:i4>1</vt:i4>
      </vt:variant>
    </vt:vector>
  </HeadingPairs>
  <TitlesOfParts>
    <vt:vector size="1" baseType="lpstr">
      <vt:lpstr>FPM_200708__71</vt:lpstr>
    </vt:vector>
  </TitlesOfParts>
  <Company>RD-DTSL</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FPM_200708__71</dc:title>
  <dc:subject>FPM_200708__71</dc:subject>
  <dc:creator>Riksdagen</dc:creator>
  <cp:keywords>Riksdagen</cp:keywords>
  <dc:description>KP2004-version.  Ändringarna påverkar enbart användningen inom Riksdagen. 050429 nya departement DTSL.</dc:description>
  <cp:lastModifiedBy>Lars Brink</cp:lastModifiedBy>
  <cp:revision>2</cp:revision>
  <cp:lastPrinted>2008-02-18T06:18:00Z</cp:lastPrinted>
  <dcterms:created xsi:type="dcterms:W3CDTF">2025-12-17T12:06:00Z</dcterms:created>
  <dcterms:modified xsi:type="dcterms:W3CDTF">2025-12-17T12:06:00Z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71</vt:lpwstr>
  </property>
  <property fmtid="{D5CDD505-2E9C-101B-9397-08002B2CF9AE}" pid="4" name="GDB1">
    <vt:lpwstr>KOM (2007) 765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Överföring av försvarsmateriel inom EU</vt:lpwstr>
  </property>
  <property fmtid="{D5CDD505-2E9C-101B-9397-08002B2CF9AE}" pid="8" name="UppDat">
    <vt:lpwstr>2008-02-15</vt:lpwstr>
  </property>
  <property fmtid="{D5CDD505-2E9C-101B-9397-08002B2CF9AE}" pid="9" name="AnkDat">
    <vt:lpwstr>2008-02-15</vt:lpwstr>
  </property>
  <property fmtid="{D5CDD505-2E9C-101B-9397-08002B2CF9AE}" pid="10" name="Utsk">
    <vt:lpwstr>Försvarsutskottet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6;0;0;393</vt:lpwstr>
  </property>
  <property fmtid="{D5CDD505-2E9C-101B-9397-08002B2CF9AE}" pid="41" name="Sprak">
    <vt:lpwstr>Svenska</vt:lpwstr>
  </property>
  <property fmtid="{D5CDD505-2E9C-101B-9397-08002B2CF9AE}" pid="42" name="DokID">
    <vt:i4>80</vt:i4>
  </property>
  <property fmtid="{D5CDD505-2E9C-101B-9397-08002B2CF9AE}" pid="43" name="Sekretariatet för EU-möten i Sverige 2009">
    <vt:lpwstr>NEJ</vt:lpwstr>
  </property>
</Properties>
</file>