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4E591B">
        <w:tblPrEx>
          <w:tblCellMar>
            <w:top w:w="0" w:type="dxa"/>
            <w:bottom w:w="0" w:type="dxa"/>
          </w:tblCellMar>
        </w:tblPrEx>
        <w:trPr>
          <w:cantSplit/>
          <w:trHeight w:val="1720"/>
        </w:trPr>
        <w:tc>
          <w:tcPr>
            <w:tcW w:w="6024" w:type="dxa"/>
            <w:gridSpan w:val="2"/>
          </w:tcPr>
          <w:p w:rsidR="00F53A97" w:rsidRPr="004E591B" w:rsidRDefault="00C42EE4">
            <w:pPr>
              <w:pStyle w:val="HuvudRubrik"/>
            </w:pPr>
            <w:r w:rsidRPr="004E591B">
              <w:t>EU-nämndens yttrande</w:t>
            </w:r>
          </w:p>
          <w:p w:rsidR="00F53A97" w:rsidRPr="004E591B" w:rsidRDefault="001F7F20">
            <w:pPr>
              <w:pStyle w:val="HuvudRubrikRad2"/>
            </w:pPr>
            <w:bookmarkStart w:id="0" w:name="BetänkandeNr"/>
            <w:bookmarkEnd w:id="0"/>
            <w:r w:rsidRPr="004E591B">
              <w:t>2007/08</w:t>
            </w:r>
            <w:r w:rsidR="00F53A97" w:rsidRPr="004E591B">
              <w:t>:</w:t>
            </w:r>
            <w:r w:rsidRPr="004E591B">
              <w:t>EUN</w:t>
            </w:r>
            <w:r w:rsidR="001007DA" w:rsidRPr="004E591B">
              <w:t>1y</w:t>
            </w:r>
          </w:p>
        </w:tc>
        <w:tc>
          <w:tcPr>
            <w:tcW w:w="1418" w:type="dxa"/>
            <w:tcBorders>
              <w:bottom w:val="nil"/>
            </w:tcBorders>
          </w:tcPr>
          <w:p w:rsidR="00F53A97" w:rsidRPr="004E591B" w:rsidRDefault="004E591B">
            <w:pPr>
              <w:spacing w:line="230" w:lineRule="auto"/>
              <w:jc w:val="center"/>
            </w:pPr>
            <w:r w:rsidRPr="004E591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4E591B" w:rsidRDefault="00F53A97">
            <w:pPr>
              <w:pStyle w:val="StatusSida1"/>
            </w:pPr>
          </w:p>
          <w:p w:rsidR="00F53A97" w:rsidRPr="004E591B" w:rsidRDefault="00F53A97">
            <w:pPr>
              <w:pStyle w:val="UtskriftsdatumSida1"/>
              <w:framePr w:wrap="around"/>
            </w:pPr>
          </w:p>
        </w:tc>
      </w:tr>
      <w:tr w:rsidR="00F53A97" w:rsidRPr="004E591B">
        <w:tblPrEx>
          <w:tblCellMar>
            <w:top w:w="0" w:type="dxa"/>
            <w:bottom w:w="0" w:type="dxa"/>
          </w:tblCellMar>
        </w:tblPrEx>
        <w:trPr>
          <w:cantSplit/>
        </w:trPr>
        <w:tc>
          <w:tcPr>
            <w:tcW w:w="6024" w:type="dxa"/>
            <w:gridSpan w:val="2"/>
            <w:tcBorders>
              <w:bottom w:val="single" w:sz="4" w:space="0" w:color="auto"/>
            </w:tcBorders>
          </w:tcPr>
          <w:p w:rsidR="00F53A97" w:rsidRPr="004E591B" w:rsidRDefault="00C42EE4">
            <w:pPr>
              <w:pStyle w:val="DokumentRubrik"/>
              <w:rPr>
                <w:noProof w:val="0"/>
              </w:rPr>
            </w:pPr>
            <w:bookmarkStart w:id="1" w:name="Huvudrubrik"/>
            <w:bookmarkEnd w:id="1"/>
            <w:r w:rsidRPr="004E591B">
              <w:rPr>
                <w:noProof w:val="0"/>
              </w:rPr>
              <w:t xml:space="preserve">Yttrande till finansutskottet över </w:t>
            </w:r>
            <w:r w:rsidR="00A8184C" w:rsidRPr="004E591B">
              <w:rPr>
                <w:noProof w:val="0"/>
              </w:rPr>
              <w:t xml:space="preserve">Europeiska </w:t>
            </w:r>
            <w:r w:rsidRPr="004E591B">
              <w:rPr>
                <w:noProof w:val="0"/>
              </w:rPr>
              <w:t>kommiss</w:t>
            </w:r>
            <w:r w:rsidR="00810EA3" w:rsidRPr="004E591B">
              <w:rPr>
                <w:noProof w:val="0"/>
              </w:rPr>
              <w:t>i</w:t>
            </w:r>
            <w:r w:rsidRPr="004E591B">
              <w:rPr>
                <w:noProof w:val="0"/>
              </w:rPr>
              <w:t>onens meddelande om en budgetreform</w:t>
            </w:r>
          </w:p>
        </w:tc>
        <w:tc>
          <w:tcPr>
            <w:tcW w:w="1418" w:type="dxa"/>
            <w:tcBorders>
              <w:bottom w:val="nil"/>
            </w:tcBorders>
          </w:tcPr>
          <w:p w:rsidR="00F53A97" w:rsidRPr="004E591B" w:rsidRDefault="00F53A97"/>
        </w:tc>
      </w:tr>
      <w:tr w:rsidR="00F53A97" w:rsidRPr="004E591B">
        <w:tblPrEx>
          <w:tblCellMar>
            <w:top w:w="0" w:type="dxa"/>
            <w:bottom w:w="0" w:type="dxa"/>
          </w:tblCellMar>
        </w:tblPrEx>
        <w:trPr>
          <w:cantSplit/>
          <w:trHeight w:hRule="exact" w:val="360"/>
        </w:trPr>
        <w:tc>
          <w:tcPr>
            <w:tcW w:w="3012" w:type="dxa"/>
          </w:tcPr>
          <w:p w:rsidR="00F53A97" w:rsidRPr="004E591B" w:rsidRDefault="00F53A97"/>
        </w:tc>
        <w:tc>
          <w:tcPr>
            <w:tcW w:w="3012" w:type="dxa"/>
          </w:tcPr>
          <w:p w:rsidR="00F53A97" w:rsidRPr="004E591B" w:rsidRDefault="00F53A97"/>
          <w:p w:rsidR="002F3B5E" w:rsidRPr="004E591B" w:rsidRDefault="002F3B5E" w:rsidP="002F3B5E">
            <w:pPr>
              <w:pStyle w:val="Normaltindrag"/>
            </w:pPr>
          </w:p>
        </w:tc>
        <w:tc>
          <w:tcPr>
            <w:tcW w:w="1418" w:type="dxa"/>
          </w:tcPr>
          <w:p w:rsidR="00F53A97" w:rsidRPr="004E591B" w:rsidRDefault="00F53A97"/>
        </w:tc>
      </w:tr>
    </w:tbl>
    <w:p w:rsidR="00C42EE4" w:rsidRPr="004E591B" w:rsidRDefault="00C42EE4" w:rsidP="00C42EE4">
      <w:pPr>
        <w:pStyle w:val="R1"/>
        <w:spacing w:after="250"/>
      </w:pPr>
      <w:r w:rsidRPr="004E591B">
        <w:t>Till finansutskottet</w:t>
      </w:r>
    </w:p>
    <w:p w:rsidR="00CA74DA" w:rsidRPr="004E591B" w:rsidRDefault="00CA74DA" w:rsidP="009F7FFB">
      <w:bookmarkStart w:id="2" w:name="TextStart"/>
      <w:bookmarkEnd w:id="2"/>
      <w:r w:rsidRPr="004E591B">
        <w:t>Finansutskottet har beslutat att</w:t>
      </w:r>
      <w:r w:rsidR="00CD6AA2" w:rsidRPr="004E591B">
        <w:t xml:space="preserve"> </w:t>
      </w:r>
      <w:r w:rsidRPr="004E591B">
        <w:t>bereda utrikesutskottet, trafikutskottet, miljö- och jordbruksutskottet,</w:t>
      </w:r>
      <w:r w:rsidR="00CD6AA2" w:rsidRPr="004E591B">
        <w:t xml:space="preserve"> </w:t>
      </w:r>
      <w:r w:rsidRPr="004E591B">
        <w:t>näringsutskottet samt EU-nämnden tillfälle att senast den 5 mars 2008</w:t>
      </w:r>
      <w:r w:rsidR="00CD6AA2" w:rsidRPr="004E591B">
        <w:t xml:space="preserve"> </w:t>
      </w:r>
      <w:r w:rsidRPr="004E591B">
        <w:t>avge yttrande över kommissionens meddelande SEK(2007) 1188 Budgetreform för ett Europa i förän</w:t>
      </w:r>
      <w:r w:rsidRPr="004E591B">
        <w:t>d</w:t>
      </w:r>
      <w:r w:rsidRPr="004E591B">
        <w:t xml:space="preserve">ring. </w:t>
      </w:r>
      <w:r w:rsidR="00C23BB2" w:rsidRPr="004E591B">
        <w:t xml:space="preserve">EU-nämnden beslöt den </w:t>
      </w:r>
      <w:r w:rsidR="00977FB3" w:rsidRPr="004E591B">
        <w:t xml:space="preserve">9 </w:t>
      </w:r>
      <w:r w:rsidR="00120F96" w:rsidRPr="004E591B">
        <w:t>november 2007</w:t>
      </w:r>
      <w:r w:rsidRPr="004E591B">
        <w:t xml:space="preserve"> att avge yttra</w:t>
      </w:r>
      <w:r w:rsidRPr="004E591B">
        <w:t>n</w:t>
      </w:r>
      <w:r w:rsidRPr="004E591B">
        <w:t>de.</w:t>
      </w:r>
    </w:p>
    <w:p w:rsidR="00CA74DA" w:rsidRPr="004E591B" w:rsidRDefault="00CA74DA" w:rsidP="001F7F20">
      <w:pPr>
        <w:pStyle w:val="Rubrik1"/>
        <w:spacing w:before="625" w:after="250"/>
        <w:rPr>
          <w:noProof w:val="0"/>
        </w:rPr>
      </w:pPr>
      <w:bookmarkStart w:id="3" w:name="_Toc192485800"/>
      <w:r w:rsidRPr="004E591B">
        <w:rPr>
          <w:noProof w:val="0"/>
        </w:rPr>
        <w:t>Bakgrund</w:t>
      </w:r>
      <w:bookmarkEnd w:id="3"/>
    </w:p>
    <w:p w:rsidR="00CA74DA" w:rsidRPr="004E591B" w:rsidRDefault="00CA74DA" w:rsidP="001F7F20">
      <w:pPr>
        <w:spacing w:before="0"/>
      </w:pPr>
      <w:r w:rsidRPr="004E591B">
        <w:t xml:space="preserve">Europaparlamentet, rådet och kommissionen kom i </w:t>
      </w:r>
      <w:r w:rsidR="00CA3D20" w:rsidRPr="004E591B">
        <w:t xml:space="preserve">maj 2006 </w:t>
      </w:r>
      <w:r w:rsidRPr="004E591B">
        <w:t xml:space="preserve">överens </w:t>
      </w:r>
      <w:r w:rsidR="004E54A8" w:rsidRPr="004E591B">
        <w:t xml:space="preserve">om </w:t>
      </w:r>
      <w:r w:rsidRPr="004E591B">
        <w:t>den nu gäl</w:t>
      </w:r>
      <w:r w:rsidR="00CA3D20" w:rsidRPr="004E591B">
        <w:t xml:space="preserve">lande finansieringsramen </w:t>
      </w:r>
      <w:r w:rsidRPr="004E591B">
        <w:t>för perioden 2007</w:t>
      </w:r>
      <w:r w:rsidR="001F7F20" w:rsidRPr="004E591B">
        <w:t>–</w:t>
      </w:r>
      <w:r w:rsidRPr="004E591B">
        <w:t>2013. I beslutet inkluder</w:t>
      </w:r>
      <w:r w:rsidRPr="004E591B">
        <w:t>a</w:t>
      </w:r>
      <w:r w:rsidRPr="004E591B">
        <w:t>des en uppmaning till kommissionen att göra en genomgripande översyn av EU-budgeten. Kommissionen uppmanades a</w:t>
      </w:r>
      <w:r w:rsidR="004E54A8" w:rsidRPr="004E591B">
        <w:t>tt lägga fram en rapport om de</w:t>
      </w:r>
      <w:r w:rsidR="004E54A8" w:rsidRPr="004E591B">
        <w:t>n</w:t>
      </w:r>
      <w:r w:rsidR="004E54A8" w:rsidRPr="004E591B">
        <w:t>n</w:t>
      </w:r>
      <w:r w:rsidRPr="004E591B">
        <w:t>a 2008</w:t>
      </w:r>
      <w:r w:rsidR="001F7F20" w:rsidRPr="004E591B">
        <w:t>–</w:t>
      </w:r>
      <w:r w:rsidRPr="004E591B">
        <w:t>2009.</w:t>
      </w:r>
    </w:p>
    <w:p w:rsidR="00CA74DA" w:rsidRPr="004E591B" w:rsidRDefault="00CA74DA" w:rsidP="005C423D">
      <w:pPr>
        <w:pStyle w:val="Normaltindrag"/>
      </w:pPr>
      <w:r w:rsidRPr="004E591B">
        <w:t>Budgetöversynen ska täcka alla EU:s utgiftsområden, inklusive den g</w:t>
      </w:r>
      <w:r w:rsidRPr="004E591B">
        <w:t>e</w:t>
      </w:r>
      <w:r w:rsidRPr="004E591B">
        <w:t>mensamma jordbrukspolitiken. Även budgetens inkomstsida ska genomlysas. På grundval av översynsrapporten kan Europeiska rådet justera de nu gällande finansiella ramarna samt förbereda förhan</w:t>
      </w:r>
      <w:r w:rsidRPr="004E591B">
        <w:t>d</w:t>
      </w:r>
      <w:r w:rsidRPr="004E591B">
        <w:t>lingarna inför perioden efter 2013.</w:t>
      </w:r>
    </w:p>
    <w:p w:rsidR="00CA74DA" w:rsidRPr="004E591B" w:rsidRDefault="00CA74DA" w:rsidP="005C423D">
      <w:pPr>
        <w:pStyle w:val="Normaltindrag"/>
      </w:pPr>
      <w:r w:rsidRPr="004E591B">
        <w:t>För att förbereda rapporten om budgetöversynen presenterade kommissi</w:t>
      </w:r>
      <w:r w:rsidRPr="004E591B">
        <w:t>o</w:t>
      </w:r>
      <w:r w:rsidRPr="004E591B">
        <w:t xml:space="preserve">nen i september 2007 </w:t>
      </w:r>
      <w:r w:rsidR="00905016" w:rsidRPr="004E591B">
        <w:t>ett meddelande om budgetreform SEK(2007)1188</w:t>
      </w:r>
      <w:r w:rsidRPr="004E591B">
        <w:t>. Meddelandet ska utgöra star</w:t>
      </w:r>
      <w:r w:rsidR="004E54A8" w:rsidRPr="004E591B">
        <w:t>t</w:t>
      </w:r>
      <w:r w:rsidRPr="004E591B">
        <w:t>skottet för en bred samrådsprocess i EU. Resu</w:t>
      </w:r>
      <w:r w:rsidRPr="004E591B">
        <w:t>l</w:t>
      </w:r>
      <w:r w:rsidRPr="004E591B">
        <w:t xml:space="preserve">tatet av samrådet kommer att bli en viktig utgångspunkt för kommissionens översynsrapport. Noteras bör att </w:t>
      </w:r>
      <w:r w:rsidR="008721E8" w:rsidRPr="004E591B">
        <w:t xml:space="preserve">jordbrukspolitikens </w:t>
      </w:r>
      <w:r w:rsidRPr="004E591B">
        <w:t xml:space="preserve">hälsokontroll </w:t>
      </w:r>
      <w:r w:rsidR="0057544E" w:rsidRPr="004E591B">
        <w:t>och utvä</w:t>
      </w:r>
      <w:r w:rsidR="0057544E" w:rsidRPr="004E591B">
        <w:t>r</w:t>
      </w:r>
      <w:r w:rsidR="0057544E" w:rsidRPr="004E591B">
        <w:t xml:space="preserve">deringen av sammanhållningspolitiken </w:t>
      </w:r>
      <w:r w:rsidRPr="004E591B">
        <w:t>också kommer att vägas in i översyn</w:t>
      </w:r>
      <w:r w:rsidRPr="004E591B">
        <w:t>s</w:t>
      </w:r>
      <w:r w:rsidRPr="004E591B">
        <w:t xml:space="preserve">rapporten. </w:t>
      </w:r>
    </w:p>
    <w:p w:rsidR="00CA74DA" w:rsidRPr="004E591B" w:rsidRDefault="00CA74DA" w:rsidP="005C423D">
      <w:pPr>
        <w:pStyle w:val="Normaltindrag"/>
      </w:pPr>
      <w:r w:rsidRPr="004E591B">
        <w:t>Kommissionens samrådsprocess ska avslutas i april 2008</w:t>
      </w:r>
      <w:r w:rsidR="000C1A29" w:rsidRPr="004E591B">
        <w:t>.</w:t>
      </w:r>
      <w:r w:rsidRPr="004E591B">
        <w:t xml:space="preserve"> Därefter avser kommissionen utarbeta en vitbok som ska offentliggöras i sl</w:t>
      </w:r>
      <w:r w:rsidRPr="004E591B">
        <w:t>u</w:t>
      </w:r>
      <w:r w:rsidRPr="004E591B">
        <w:t xml:space="preserve">tet av 2008 eller i början av 2009. Kommissionen vill genomföra budgetöversynen utifrån ett </w:t>
      </w:r>
      <w:r w:rsidRPr="004E591B">
        <w:lastRenderedPageBreak/>
        <w:t>långsiktigt tidsperspektiv för att redan nu åstadkomma en budge</w:t>
      </w:r>
      <w:r w:rsidRPr="004E591B">
        <w:t>t</w:t>
      </w:r>
      <w:r w:rsidRPr="004E591B">
        <w:t xml:space="preserve">struktur som ligger i linje med EU:s långsiktiga utmaningar. </w:t>
      </w:r>
    </w:p>
    <w:p w:rsidR="00CA74DA" w:rsidRPr="004E591B" w:rsidRDefault="00994F55" w:rsidP="00E942D4">
      <w:pPr>
        <w:pStyle w:val="Rubrik2"/>
      </w:pPr>
      <w:bookmarkStart w:id="4" w:name="_Toc192485801"/>
      <w:r w:rsidRPr="004E591B">
        <w:t xml:space="preserve">Kommissionens meddelande </w:t>
      </w:r>
      <w:r w:rsidR="002F3B5E" w:rsidRPr="004E591B">
        <w:t>om budgetöversynen</w:t>
      </w:r>
      <w:bookmarkEnd w:id="4"/>
    </w:p>
    <w:p w:rsidR="005C423D" w:rsidRPr="004E591B" w:rsidRDefault="000A3A1E" w:rsidP="000A3A1E">
      <w:r w:rsidRPr="004E591B">
        <w:t>Meddelandet SEK(2007)1188 är indelat i tre huvudområden: besk</w:t>
      </w:r>
      <w:r w:rsidR="00905016" w:rsidRPr="004E591B">
        <w:t>rivning av det nuvarande budget</w:t>
      </w:r>
      <w:r w:rsidRPr="004E591B">
        <w:t>systemet (inklusive grundläggande fakta om budgeten), diskussion om utmaningar för utformningen av den framtida EU-budgeten samt diskussion om budgetens finansi</w:t>
      </w:r>
      <w:r w:rsidRPr="004E591B">
        <w:t>e</w:t>
      </w:r>
      <w:r w:rsidRPr="004E591B">
        <w:t xml:space="preserve">ring. </w:t>
      </w:r>
    </w:p>
    <w:p w:rsidR="009443CB" w:rsidRPr="004E591B" w:rsidRDefault="009443CB" w:rsidP="00E942D4">
      <w:pPr>
        <w:pStyle w:val="R3"/>
      </w:pPr>
      <w:r w:rsidRPr="004E591B">
        <w:t>Den nuvarande EU-budgetens förmåga att avspegla skiftande politiska prioriteringar</w:t>
      </w:r>
    </w:p>
    <w:p w:rsidR="009443CB" w:rsidRPr="004E591B" w:rsidRDefault="000A3A1E" w:rsidP="009443CB">
      <w:r w:rsidRPr="004E591B">
        <w:t>Vad gäller beskrivningen av det nuvarande budgetsystemet anförs att EU:s budget är stor i absoluta tal (mer än 100 miljarder euro/år), men endast 2,5 % av de samlade offentliga utgifterna i EU. Budgetens storlek och struktur har ändrats efter hand</w:t>
      </w:r>
      <w:r w:rsidR="001F7F20" w:rsidRPr="004E591B">
        <w:t>: mellan 1985 och 2013 kommer t.</w:t>
      </w:r>
      <w:r w:rsidRPr="004E591B">
        <w:t>ex</w:t>
      </w:r>
      <w:r w:rsidR="001F7F20" w:rsidRPr="004E591B">
        <w:t>.</w:t>
      </w:r>
      <w:r w:rsidRPr="004E591B">
        <w:t xml:space="preserve"> jordbrukspolitikens andel av budgeten att ha ändrats från knappt 71 % till 32 %. Strukturfonderna ökade samtidigt från knappt 11 % (1985) till knappt 36 % (2013). 2013 ko</w:t>
      </w:r>
      <w:r w:rsidRPr="004E591B">
        <w:t>m</w:t>
      </w:r>
      <w:r w:rsidRPr="004E591B">
        <w:t>mer 26 % av EU-budgeten att gå till olika konkurrenskraftsfrämjande åtgärder (inkl. åtgärder utanför EU och land</w:t>
      </w:r>
      <w:r w:rsidRPr="004E591B">
        <w:t>s</w:t>
      </w:r>
      <w:r w:rsidR="009443CB" w:rsidRPr="004E591B">
        <w:t>bygdsutveckling).</w:t>
      </w:r>
    </w:p>
    <w:p w:rsidR="005C6CFE" w:rsidRPr="004E591B" w:rsidRDefault="000A3A1E" w:rsidP="009443CB">
      <w:pPr>
        <w:pStyle w:val="Normaltindrag"/>
      </w:pPr>
      <w:r w:rsidRPr="004E591B">
        <w:t>Enligt kommissionen är budgeten ett centralt instrument för att förverkliga EU:s pol</w:t>
      </w:r>
      <w:r w:rsidRPr="004E591B">
        <w:t>i</w:t>
      </w:r>
      <w:r w:rsidRPr="004E591B">
        <w:t>tiska mål och en korrekt avvägning mellan behovet av stabilitet (fleråriga ekonomiska ramar) och flexibilitet (för att möta skiftande behov) är grundläggande. Kommissi</w:t>
      </w:r>
      <w:r w:rsidRPr="004E591B">
        <w:t>o</w:t>
      </w:r>
      <w:r w:rsidRPr="004E591B">
        <w:t xml:space="preserve">nen noterar att alla politikområden inte kräver utgifter på EU-nivå och att budgeten </w:t>
      </w:r>
      <w:r w:rsidR="007C41CB" w:rsidRPr="004E591B">
        <w:t>ska</w:t>
      </w:r>
      <w:r w:rsidRPr="004E591B">
        <w:t xml:space="preserve"> utnyttjas så effektivt som mö</w:t>
      </w:r>
      <w:r w:rsidRPr="004E591B">
        <w:t>j</w:t>
      </w:r>
      <w:r w:rsidRPr="004E591B">
        <w:t>ligt.</w:t>
      </w:r>
    </w:p>
    <w:p w:rsidR="001470B6" w:rsidRPr="004E591B" w:rsidRDefault="001470B6" w:rsidP="00E942D4">
      <w:pPr>
        <w:pStyle w:val="R3"/>
      </w:pPr>
      <w:r w:rsidRPr="004E591B">
        <w:t>Utmaningar för en moderniserad EU-budget</w:t>
      </w:r>
    </w:p>
    <w:p w:rsidR="000A3A1E" w:rsidRPr="004E591B" w:rsidRDefault="000A3A1E" w:rsidP="00464287">
      <w:r w:rsidRPr="004E591B">
        <w:t xml:space="preserve">Utgångspunkterna för kommissionens diskussion </w:t>
      </w:r>
      <w:r w:rsidR="00E4053F" w:rsidRPr="004E591B">
        <w:t>om utmaningar för utfor</w:t>
      </w:r>
      <w:r w:rsidR="00E4053F" w:rsidRPr="004E591B">
        <w:t>m</w:t>
      </w:r>
      <w:r w:rsidR="00E4053F" w:rsidRPr="004E591B">
        <w:t xml:space="preserve">ningen av den framtida EU-budgeten </w:t>
      </w:r>
      <w:r w:rsidRPr="004E591B">
        <w:t>är budgetdisciplin och europeiskt me</w:t>
      </w:r>
      <w:r w:rsidRPr="004E591B">
        <w:t>r</w:t>
      </w:r>
      <w:r w:rsidRPr="004E591B">
        <w:t>värde</w:t>
      </w:r>
      <w:r w:rsidR="002F3B5E" w:rsidRPr="004E591B">
        <w:t xml:space="preserve">. </w:t>
      </w:r>
      <w:r w:rsidRPr="004E591B">
        <w:t>Dessa principer ska underlätta prioriteringar inom en union som möter bl.a. följande utm</w:t>
      </w:r>
      <w:r w:rsidRPr="004E591B">
        <w:t>a</w:t>
      </w:r>
      <w:r w:rsidRPr="004E591B">
        <w:t xml:space="preserve">ningar: </w:t>
      </w:r>
    </w:p>
    <w:p w:rsidR="000A3A1E" w:rsidRPr="004E591B" w:rsidRDefault="000A3A1E" w:rsidP="0096107E">
      <w:pPr>
        <w:pStyle w:val="Punktlistastreck"/>
      </w:pPr>
      <w:r w:rsidRPr="004E591B">
        <w:t>en ökande mångfald och förändring i en allt komplexare global miljö, där EU:s utmaning består i att anpassa sig till strukturförändringar (inkl. ha</w:t>
      </w:r>
      <w:r w:rsidRPr="004E591B">
        <w:t>n</w:t>
      </w:r>
      <w:r w:rsidRPr="004E591B">
        <w:t>tering av sociala konsekvenser);</w:t>
      </w:r>
    </w:p>
    <w:p w:rsidR="000A3A1E" w:rsidRPr="004E591B" w:rsidRDefault="000A3A1E" w:rsidP="001F7F20">
      <w:pPr>
        <w:pStyle w:val="Punktlistastreck"/>
        <w:spacing w:before="0"/>
      </w:pPr>
      <w:r w:rsidRPr="004E591B">
        <w:t>vetenskapliga och tekniska framsteg, där EU bör främja kunskap, mobil</w:t>
      </w:r>
      <w:r w:rsidRPr="004E591B">
        <w:t>i</w:t>
      </w:r>
      <w:r w:rsidRPr="004E591B">
        <w:t>tet, konkurrenskraft och innovation;</w:t>
      </w:r>
    </w:p>
    <w:p w:rsidR="000A3A1E" w:rsidRPr="004E591B" w:rsidRDefault="000A3A1E" w:rsidP="001F7F20">
      <w:pPr>
        <w:pStyle w:val="Punktlistastreck"/>
        <w:spacing w:before="0"/>
      </w:pPr>
      <w:r w:rsidRPr="004E591B">
        <w:t>en omvandling till en tjänsteekonomi, vilket ändrar arbetets natur;</w:t>
      </w:r>
    </w:p>
    <w:p w:rsidR="000A3A1E" w:rsidRPr="004E591B" w:rsidRDefault="000A3A1E" w:rsidP="001F7F20">
      <w:pPr>
        <w:pStyle w:val="Punktlistastreck"/>
        <w:spacing w:before="0"/>
      </w:pPr>
      <w:r w:rsidRPr="004E591B">
        <w:t>en förändring av åldersstrukturen i Europa, där EU behöver främja dem</w:t>
      </w:r>
      <w:r w:rsidRPr="004E591B">
        <w:t>o</w:t>
      </w:r>
      <w:r w:rsidRPr="004E591B">
        <w:t>grafisk förnyelse;</w:t>
      </w:r>
    </w:p>
    <w:p w:rsidR="000A3A1E" w:rsidRPr="004E591B" w:rsidRDefault="000A3A1E" w:rsidP="001F7F20">
      <w:pPr>
        <w:pStyle w:val="Punktlistastreck"/>
        <w:spacing w:before="0"/>
      </w:pPr>
      <w:r w:rsidRPr="004E591B">
        <w:t>ett ökat behov av engagemang för solidaritet och social rättvisa, där EU b</w:t>
      </w:r>
      <w:r w:rsidRPr="004E591B">
        <w:t>e</w:t>
      </w:r>
      <w:r w:rsidRPr="004E591B">
        <w:t>höver främja den ekonomiska och sociala sammanhållningen;</w:t>
      </w:r>
    </w:p>
    <w:p w:rsidR="000A3A1E" w:rsidRPr="004E591B" w:rsidRDefault="000A3A1E" w:rsidP="001F7F20">
      <w:pPr>
        <w:pStyle w:val="Punktlistastreck"/>
        <w:spacing w:before="0"/>
      </w:pPr>
      <w:r w:rsidRPr="004E591B">
        <w:t>klimatförändringar (inkl</w:t>
      </w:r>
      <w:r w:rsidR="007C41CB" w:rsidRPr="004E591B">
        <w:t>.</w:t>
      </w:r>
      <w:r w:rsidRPr="004E591B">
        <w:t xml:space="preserve"> påfrestningar på landsbygds- och havsmiljö), där EU behöver använda relevanta instrument till att begränsa klimatförän</w:t>
      </w:r>
      <w:r w:rsidRPr="004E591B">
        <w:t>d</w:t>
      </w:r>
      <w:r w:rsidRPr="004E591B">
        <w:t>ringarna, likväl som till att bromsa tillväxttakten i utsläppen av växthusg</w:t>
      </w:r>
      <w:r w:rsidRPr="004E591B">
        <w:t>a</w:t>
      </w:r>
      <w:r w:rsidRPr="004E591B">
        <w:t>ser liksom att anpassa sig för klimatförändringens effekter;</w:t>
      </w:r>
    </w:p>
    <w:p w:rsidR="000A3A1E" w:rsidRPr="004E591B" w:rsidRDefault="000A3A1E" w:rsidP="001F7F20">
      <w:pPr>
        <w:pStyle w:val="Punktlistastreck"/>
        <w:spacing w:before="0"/>
      </w:pPr>
      <w:r w:rsidRPr="004E591B">
        <w:t>begränsade tillgångar på energi, där EU behöver säkerställa en hållbar och konkurrenskraftig energiförsörjning;</w:t>
      </w:r>
    </w:p>
    <w:p w:rsidR="000A3A1E" w:rsidRPr="004E591B" w:rsidRDefault="000A3A1E" w:rsidP="001F7F20">
      <w:pPr>
        <w:pStyle w:val="Punktlistastreck"/>
        <w:spacing w:before="0"/>
      </w:pPr>
      <w:r w:rsidRPr="004E591B">
        <w:t>ett ökat migrationstryck, där EU behöver agera för säkrare gränser likväl som att tänka nytt vad gäller hur migration ska hanteras;</w:t>
      </w:r>
    </w:p>
    <w:p w:rsidR="000A3A1E" w:rsidRPr="004E591B" w:rsidRDefault="000A3A1E" w:rsidP="001F7F20">
      <w:pPr>
        <w:pStyle w:val="Punktlistastreck"/>
        <w:spacing w:before="0"/>
      </w:pPr>
      <w:r w:rsidRPr="004E591B">
        <w:t>nya hot mot medborgarnas säkerhet, där EU behöver reagera effektivt för att kunna bekämpa brottslighet och terrorism liksom begränsa risker för transpo</w:t>
      </w:r>
      <w:r w:rsidRPr="004E591B">
        <w:t>r</w:t>
      </w:r>
      <w:r w:rsidRPr="004E591B">
        <w:t>ter, miljö, hälsa och säkerhet;</w:t>
      </w:r>
    </w:p>
    <w:p w:rsidR="000A3A1E" w:rsidRPr="004E591B" w:rsidRDefault="000A3A1E" w:rsidP="001F7F20">
      <w:pPr>
        <w:pStyle w:val="Punktlistastreck"/>
        <w:spacing w:before="0"/>
      </w:pPr>
      <w:r w:rsidRPr="004E591B">
        <w:t>globaliseringen, där EU måste vara närvarande på den globala arenan, inkl. främjande av stabilitet i närregionen, främja effektiv multilateralism, mänskliga rättigheter och respekt för rättsstatsprincipen, bekäm</w:t>
      </w:r>
      <w:r w:rsidRPr="004E591B">
        <w:t>p</w:t>
      </w:r>
      <w:r w:rsidRPr="004E591B">
        <w:t>ning av fattigdom etc.</w:t>
      </w:r>
    </w:p>
    <w:p w:rsidR="005C6CFE" w:rsidRPr="004E591B" w:rsidRDefault="000A3A1E" w:rsidP="0096107E">
      <w:r w:rsidRPr="004E591B">
        <w:t xml:space="preserve">Subsidiaritet (ett instrument får endast tillgripas om målet inte kan uppnås av medlemsstaterna </w:t>
      </w:r>
      <w:r w:rsidRPr="004E591B">
        <w:rPr>
          <w:sz w:val="18"/>
          <w:szCs w:val="18"/>
        </w:rPr>
        <w:t xml:space="preserve">själva) och proportionalitet </w:t>
      </w:r>
      <w:r w:rsidRPr="004E591B">
        <w:t>(det minst ingripande tillgän</w:t>
      </w:r>
      <w:r w:rsidRPr="004E591B">
        <w:t>g</w:t>
      </w:r>
      <w:r w:rsidRPr="004E591B">
        <w:t>liga redskapet för att nå ett mål) är enligt kommissionen de viktigaste kriter</w:t>
      </w:r>
      <w:r w:rsidRPr="004E591B">
        <w:t>i</w:t>
      </w:r>
      <w:r w:rsidRPr="004E591B">
        <w:t>erna för att avgöra det europeiska mervärdet av en utgift på EU-nivå. Genomf</w:t>
      </w:r>
      <w:r w:rsidRPr="004E591B">
        <w:t>ö</w:t>
      </w:r>
      <w:r w:rsidRPr="004E591B">
        <w:t>randet av EU-politiken ska präglas av effektivitet och ändamålse</w:t>
      </w:r>
      <w:r w:rsidRPr="004E591B">
        <w:t>n</w:t>
      </w:r>
      <w:r w:rsidRPr="004E591B">
        <w:t>lighet.</w:t>
      </w:r>
      <w:r w:rsidRPr="004E591B">
        <w:rPr>
          <w:rStyle w:val="Fotnotsreferens"/>
        </w:rPr>
        <w:footnoteReference w:id="1"/>
      </w:r>
      <w:r w:rsidRPr="004E591B">
        <w:t xml:space="preserve"> </w:t>
      </w:r>
    </w:p>
    <w:p w:rsidR="005C6CFE" w:rsidRPr="004E591B" w:rsidRDefault="00F21878" w:rsidP="00E942D4">
      <w:pPr>
        <w:pStyle w:val="R3"/>
      </w:pPr>
      <w:r w:rsidRPr="004E591B">
        <w:t>Budgetens finansiering</w:t>
      </w:r>
    </w:p>
    <w:p w:rsidR="005C423D" w:rsidRPr="004E591B" w:rsidRDefault="00252DD1" w:rsidP="00F21878">
      <w:r w:rsidRPr="004E591B">
        <w:t xml:space="preserve">Kommissionen </w:t>
      </w:r>
      <w:r w:rsidR="00E35F43" w:rsidRPr="004E591B">
        <w:t>notera</w:t>
      </w:r>
      <w:r w:rsidRPr="004E591B">
        <w:t>r</w:t>
      </w:r>
      <w:r w:rsidR="00E35F43" w:rsidRPr="004E591B">
        <w:t xml:space="preserve"> att </w:t>
      </w:r>
      <w:r w:rsidR="000A3A1E" w:rsidRPr="004E591B">
        <w:t>EU:s inkomster hålls inom en i lag fastställd gräns (1,31 % av BNI för anslag till åtaganden). Den främsta fina</w:t>
      </w:r>
      <w:r w:rsidR="000A3A1E" w:rsidRPr="004E591B">
        <w:t>n</w:t>
      </w:r>
      <w:r w:rsidR="000A3A1E" w:rsidRPr="004E591B">
        <w:t>sieringskällan bygger på medlemsstaternas BNI (2013: 74 %). Övriga stora inkomstkällor är tu</w:t>
      </w:r>
      <w:r w:rsidR="000A3A1E" w:rsidRPr="004E591B">
        <w:t>l</w:t>
      </w:r>
      <w:r w:rsidR="000A3A1E" w:rsidRPr="004E591B">
        <w:t xml:space="preserve">lar/jordbruksavgifter (13 %) och momsmedel (12 %). </w:t>
      </w:r>
    </w:p>
    <w:p w:rsidR="000A3A1E" w:rsidRPr="004E591B" w:rsidRDefault="000A3A1E" w:rsidP="005C423D">
      <w:pPr>
        <w:pStyle w:val="Normaltindrag"/>
      </w:pPr>
      <w:r w:rsidRPr="004E591B">
        <w:t>Finansieringskällorna ska vara utformade så att de räcker till att genomföra EU:s politik. De behöver grundas på den bästa möjliga b</w:t>
      </w:r>
      <w:r w:rsidRPr="004E591B">
        <w:t>a</w:t>
      </w:r>
      <w:r w:rsidRPr="004E591B">
        <w:t>lansen mellan gemensamt överenskomna principer, exempelvis effektivitet, jämvikt, stabil</w:t>
      </w:r>
      <w:r w:rsidRPr="004E591B">
        <w:t>i</w:t>
      </w:r>
      <w:r w:rsidRPr="004E591B">
        <w:t>tet, enkelhet, ”synlighet”, kostnadseffektiv administration, ekonomiskt ober</w:t>
      </w:r>
      <w:r w:rsidRPr="004E591B">
        <w:t>o</w:t>
      </w:r>
      <w:r w:rsidRPr="004E591B">
        <w:t xml:space="preserve">ende och tillräckliga resurser. Kommissionen menar att finansieringssystemet bör kunna anpassas bättre till ovanstående principer. </w:t>
      </w:r>
    </w:p>
    <w:p w:rsidR="000A3A1E" w:rsidRPr="004E591B" w:rsidRDefault="000A3A1E" w:rsidP="005C423D">
      <w:pPr>
        <w:pStyle w:val="Normaltindrag"/>
      </w:pPr>
      <w:r w:rsidRPr="004E591B">
        <w:t>Korrigeringsmekanismerna (för Storbritannien, Nederländerna, Sverige, Tyskland och Öst</w:t>
      </w:r>
      <w:r w:rsidR="00905016" w:rsidRPr="004E591B">
        <w:t>errike) samt en rättighet för medlemsländerna</w:t>
      </w:r>
      <w:r w:rsidRPr="004E591B">
        <w:t xml:space="preserve"> att behålla 25 % av de traditionella egna medlen för egen räkning har gjort systemet svårb</w:t>
      </w:r>
      <w:r w:rsidRPr="004E591B">
        <w:t>e</w:t>
      </w:r>
      <w:r w:rsidRPr="004E591B">
        <w:t>gripligt.</w:t>
      </w:r>
    </w:p>
    <w:p w:rsidR="000A3A1E" w:rsidRPr="004E591B" w:rsidRDefault="000A3A1E" w:rsidP="000A3A1E"/>
    <w:p w:rsidR="001F7F20" w:rsidRPr="004E591B" w:rsidRDefault="001F7F20" w:rsidP="009F7FFB">
      <w:pPr>
        <w:pStyle w:val="R1"/>
        <w:spacing w:after="250"/>
        <w:sectPr w:rsidR="001F7F20" w:rsidRPr="004E591B" w:rsidSect="00BC05C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31445B" w:rsidRPr="004E591B" w:rsidRDefault="009F7FFB" w:rsidP="000071C2">
      <w:pPr>
        <w:pStyle w:val="Rubrik1"/>
        <w:spacing w:after="250"/>
        <w:rPr>
          <w:noProof w:val="0"/>
        </w:rPr>
      </w:pPr>
      <w:bookmarkStart w:id="5" w:name="_Toc192485802"/>
      <w:r w:rsidRPr="004E591B">
        <w:rPr>
          <w:noProof w:val="0"/>
        </w:rPr>
        <w:t>EU-n</w:t>
      </w:r>
      <w:r w:rsidR="00094EBA" w:rsidRPr="004E591B">
        <w:rPr>
          <w:noProof w:val="0"/>
        </w:rPr>
        <w:t xml:space="preserve">ämndens </w:t>
      </w:r>
      <w:r w:rsidR="00E35F43" w:rsidRPr="004E591B">
        <w:rPr>
          <w:noProof w:val="0"/>
        </w:rPr>
        <w:t>överväganden</w:t>
      </w:r>
      <w:bookmarkEnd w:id="5"/>
    </w:p>
    <w:p w:rsidR="00300EF7" w:rsidRPr="004E591B" w:rsidRDefault="0092704E" w:rsidP="00C27C24">
      <w:r w:rsidRPr="004E591B">
        <w:t xml:space="preserve">Regeringen har tidigare samrått med </w:t>
      </w:r>
      <w:r w:rsidR="009F7FFB" w:rsidRPr="004E591B">
        <w:t>EU-n</w:t>
      </w:r>
      <w:r w:rsidR="00C27C24" w:rsidRPr="004E591B">
        <w:t xml:space="preserve">ämnden </w:t>
      </w:r>
      <w:r w:rsidR="0039799B" w:rsidRPr="004E591B">
        <w:t>inför för</w:t>
      </w:r>
      <w:r w:rsidR="00C27C24" w:rsidRPr="004E591B">
        <w:t>handlingarna om långtidsbudgetar (Agenda 2000 och långtidsbu</w:t>
      </w:r>
      <w:r w:rsidR="00C27C24" w:rsidRPr="004E591B">
        <w:t>d</w:t>
      </w:r>
      <w:r w:rsidR="00C27C24" w:rsidRPr="004E591B">
        <w:t>geten 2007</w:t>
      </w:r>
      <w:r w:rsidR="001F7F20" w:rsidRPr="004E591B">
        <w:t>–</w:t>
      </w:r>
      <w:r w:rsidR="00C27C24" w:rsidRPr="004E591B">
        <w:t xml:space="preserve">2013), liksom </w:t>
      </w:r>
      <w:r w:rsidRPr="004E591B">
        <w:t xml:space="preserve">inför </w:t>
      </w:r>
      <w:r w:rsidR="00C27C24" w:rsidRPr="004E591B">
        <w:t xml:space="preserve">löpande beslut i budgetrelaterade frågor inom ramen för Ekofinrådet. </w:t>
      </w:r>
      <w:r w:rsidR="009904C2" w:rsidRPr="004E591B">
        <w:t>Nämnden uppmärksammar att införlivandet av en budgetöversyn i mandatet för den nu aktuella långtidsbudgeten utgjorde en viktig hörnsten i överväg</w:t>
      </w:r>
      <w:r w:rsidR="00F14C11" w:rsidRPr="004E591B">
        <w:t>a</w:t>
      </w:r>
      <w:r w:rsidR="00F14C11" w:rsidRPr="004E591B">
        <w:t>n</w:t>
      </w:r>
      <w:r w:rsidR="00F14C11" w:rsidRPr="004E591B">
        <w:t>dena</w:t>
      </w:r>
      <w:r w:rsidR="009904C2" w:rsidRPr="004E591B">
        <w:t xml:space="preserve"> inför godkännandet av denna</w:t>
      </w:r>
      <w:r w:rsidR="00905016" w:rsidRPr="004E591B">
        <w:t>,</w:t>
      </w:r>
      <w:r w:rsidR="0039799B" w:rsidRPr="004E591B">
        <w:t xml:space="preserve"> och ser fram emot detta tillfälle till</w:t>
      </w:r>
      <w:r w:rsidR="00252DD1" w:rsidRPr="004E591B">
        <w:t xml:space="preserve"> en offentlig diskussion om EU-budgetens framt</w:t>
      </w:r>
      <w:r w:rsidR="00252DD1" w:rsidRPr="004E591B">
        <w:t>i</w:t>
      </w:r>
      <w:r w:rsidR="00252DD1" w:rsidRPr="004E591B">
        <w:t>da inriktning</w:t>
      </w:r>
      <w:r w:rsidR="009904C2" w:rsidRPr="004E591B">
        <w:t xml:space="preserve">. </w:t>
      </w:r>
    </w:p>
    <w:p w:rsidR="00C27C24" w:rsidRPr="004E591B" w:rsidRDefault="005655AD" w:rsidP="00300EF7">
      <w:pPr>
        <w:pStyle w:val="Normaltindrag"/>
      </w:pPr>
      <w:r w:rsidRPr="004E591B">
        <w:t xml:space="preserve">Nämnden </w:t>
      </w:r>
      <w:r w:rsidR="00FE742F" w:rsidRPr="004E591B">
        <w:t>kommer</w:t>
      </w:r>
      <w:r w:rsidR="000C1A29" w:rsidRPr="004E591B">
        <w:t xml:space="preserve"> även fortsättningsvis </w:t>
      </w:r>
      <w:r w:rsidR="00300EF7" w:rsidRPr="004E591B">
        <w:t>a</w:t>
      </w:r>
      <w:r w:rsidR="000F39F2" w:rsidRPr="004E591B">
        <w:t xml:space="preserve">tt </w:t>
      </w:r>
      <w:r w:rsidR="0092704E" w:rsidRPr="004E591B">
        <w:t xml:space="preserve">behandla </w:t>
      </w:r>
      <w:r w:rsidR="00C27C24" w:rsidRPr="004E591B">
        <w:t>förhandlin</w:t>
      </w:r>
      <w:r w:rsidR="00C27C24" w:rsidRPr="004E591B">
        <w:t>g</w:t>
      </w:r>
      <w:r w:rsidR="00C27C24" w:rsidRPr="004E591B">
        <w:t>arna om budgetöversynen samt, i förlängningen, den långtidsbudg</w:t>
      </w:r>
      <w:r w:rsidR="001B0753" w:rsidRPr="004E591B">
        <w:t xml:space="preserve">et som kommer att baseras på </w:t>
      </w:r>
      <w:r w:rsidR="00FE742F" w:rsidRPr="004E591B">
        <w:t xml:space="preserve">de </w:t>
      </w:r>
      <w:r w:rsidR="0092704E" w:rsidRPr="004E591B">
        <w:t xml:space="preserve">genom översynen </w:t>
      </w:r>
      <w:r w:rsidR="00C27C24" w:rsidRPr="004E591B">
        <w:t>framförhandlade principerna. Nämnden vä</w:t>
      </w:r>
      <w:r w:rsidR="00C27C24" w:rsidRPr="004E591B">
        <w:t>l</w:t>
      </w:r>
      <w:r w:rsidR="00C27C24" w:rsidRPr="004E591B">
        <w:t>komnar därför</w:t>
      </w:r>
      <w:r w:rsidR="00461415" w:rsidRPr="004E591B">
        <w:t xml:space="preserve"> detta</w:t>
      </w:r>
      <w:r w:rsidR="00C27C24" w:rsidRPr="004E591B">
        <w:t xml:space="preserve"> tillfälle att pröva på vilket sätt de gemensamma resurse</w:t>
      </w:r>
      <w:r w:rsidR="00C27C24" w:rsidRPr="004E591B">
        <w:t>r</w:t>
      </w:r>
      <w:r w:rsidR="00C27C24" w:rsidRPr="004E591B">
        <w:t>na utnyttjas för att uppnå EU-samarbetets långsikt</w:t>
      </w:r>
      <w:r w:rsidR="00C27C24" w:rsidRPr="004E591B">
        <w:t>i</w:t>
      </w:r>
      <w:r w:rsidR="00C27C24" w:rsidRPr="004E591B">
        <w:t xml:space="preserve">ga politiska mål. </w:t>
      </w:r>
    </w:p>
    <w:p w:rsidR="000C1A29" w:rsidRPr="004E591B" w:rsidRDefault="000C1A29" w:rsidP="000C1A29">
      <w:pPr>
        <w:pStyle w:val="Normaltindrag"/>
      </w:pPr>
      <w:r w:rsidRPr="004E591B">
        <w:t>Nämnden genomförde även, tillsammans med finansutskottet, den 6 d</w:t>
      </w:r>
      <w:r w:rsidRPr="004E591B">
        <w:t>e</w:t>
      </w:r>
      <w:r w:rsidRPr="004E591B">
        <w:t xml:space="preserve">cember 2007 en offentlig utfrågning om budgetöversynen i syfte att fördjupa kunskapen </w:t>
      </w:r>
      <w:r w:rsidR="002908D5" w:rsidRPr="004E591B">
        <w:t xml:space="preserve">om </w:t>
      </w:r>
      <w:r w:rsidRPr="004E591B">
        <w:t>och utbyta synpunkter</w:t>
      </w:r>
      <w:r w:rsidR="002908D5" w:rsidRPr="004E591B">
        <w:t xml:space="preserve"> på denna</w:t>
      </w:r>
      <w:r w:rsidRPr="004E591B">
        <w:t xml:space="preserve">. Inledningstalare var </w:t>
      </w:r>
      <w:r w:rsidR="004E19E5" w:rsidRPr="004E591B">
        <w:t xml:space="preserve">EU-minister </w:t>
      </w:r>
      <w:r w:rsidRPr="004E591B">
        <w:t>Cec</w:t>
      </w:r>
      <w:r w:rsidRPr="004E591B">
        <w:t>i</w:t>
      </w:r>
      <w:r w:rsidRPr="004E591B">
        <w:t xml:space="preserve">lia Malmström, ledamoten i Europeiska revisionsrätten Lars Heikensten samt </w:t>
      </w:r>
      <w:r w:rsidRPr="004E591B">
        <w:rPr>
          <w:color w:val="000000"/>
          <w:szCs w:val="24"/>
        </w:rPr>
        <w:t>verkställande direktören för finska näringslivets forskning</w:t>
      </w:r>
      <w:r w:rsidRPr="004E591B">
        <w:rPr>
          <w:color w:val="000000"/>
          <w:szCs w:val="24"/>
        </w:rPr>
        <w:t>s</w:t>
      </w:r>
      <w:r w:rsidRPr="004E591B">
        <w:rPr>
          <w:color w:val="000000"/>
          <w:szCs w:val="24"/>
        </w:rPr>
        <w:t>institut ETLA,</w:t>
      </w:r>
      <w:r w:rsidRPr="004E591B">
        <w:t xml:space="preserve"> Sixten Kor</w:t>
      </w:r>
      <w:r w:rsidRPr="004E591B">
        <w:t>k</w:t>
      </w:r>
      <w:r w:rsidRPr="004E591B">
        <w:t xml:space="preserve">man. </w:t>
      </w:r>
    </w:p>
    <w:p w:rsidR="00CB4431" w:rsidRPr="004E591B" w:rsidRDefault="00CB4431" w:rsidP="00C27C24">
      <w:pPr>
        <w:pStyle w:val="Normaltindrag"/>
        <w:rPr>
          <w:spacing w:val="-2"/>
        </w:rPr>
      </w:pPr>
      <w:r w:rsidRPr="004E591B">
        <w:rPr>
          <w:spacing w:val="-2"/>
        </w:rPr>
        <w:t>Mot bakgrund av vad nämnden anfört ovan och i syfte att vara väl förb</w:t>
      </w:r>
      <w:r w:rsidRPr="004E591B">
        <w:rPr>
          <w:spacing w:val="-2"/>
        </w:rPr>
        <w:t>e</w:t>
      </w:r>
      <w:r w:rsidRPr="004E591B">
        <w:rPr>
          <w:spacing w:val="-2"/>
        </w:rPr>
        <w:t xml:space="preserve">redd inför framtida </w:t>
      </w:r>
      <w:r w:rsidR="00252DD1" w:rsidRPr="004E591B">
        <w:rPr>
          <w:spacing w:val="-2"/>
        </w:rPr>
        <w:t xml:space="preserve">samråd </w:t>
      </w:r>
      <w:r w:rsidR="0025502F" w:rsidRPr="004E591B">
        <w:rPr>
          <w:spacing w:val="-2"/>
        </w:rPr>
        <w:t xml:space="preserve">om EU:s budget </w:t>
      </w:r>
      <w:r w:rsidRPr="004E591B">
        <w:rPr>
          <w:spacing w:val="-2"/>
        </w:rPr>
        <w:t>väljer nämnden att kommentera arbetet med budgetöversynen och kommissionens meddelande från ett öve</w:t>
      </w:r>
      <w:r w:rsidRPr="004E591B">
        <w:rPr>
          <w:spacing w:val="-2"/>
        </w:rPr>
        <w:t>r</w:t>
      </w:r>
      <w:r w:rsidRPr="004E591B">
        <w:rPr>
          <w:spacing w:val="-2"/>
        </w:rPr>
        <w:t>gripande perspektiv</w:t>
      </w:r>
      <w:r w:rsidR="005460BE" w:rsidRPr="004E591B">
        <w:rPr>
          <w:spacing w:val="-2"/>
        </w:rPr>
        <w:t xml:space="preserve"> i förhållande till utskottens mer tematiskt inriktade yt</w:t>
      </w:r>
      <w:r w:rsidR="005460BE" w:rsidRPr="004E591B">
        <w:rPr>
          <w:spacing w:val="-2"/>
        </w:rPr>
        <w:t>t</w:t>
      </w:r>
      <w:r w:rsidR="005460BE" w:rsidRPr="004E591B">
        <w:rPr>
          <w:spacing w:val="-2"/>
        </w:rPr>
        <w:t>randen</w:t>
      </w:r>
      <w:r w:rsidRPr="004E591B">
        <w:rPr>
          <w:spacing w:val="-2"/>
        </w:rPr>
        <w:t>.</w:t>
      </w:r>
    </w:p>
    <w:p w:rsidR="0013652E" w:rsidRPr="004E591B" w:rsidRDefault="009904C2" w:rsidP="006A4B04">
      <w:pPr>
        <w:pStyle w:val="Normaltindrag"/>
      </w:pPr>
      <w:r w:rsidRPr="004E591B">
        <w:t>Nämnden anser det</w:t>
      </w:r>
      <w:r w:rsidR="00E110C4" w:rsidRPr="004E591B">
        <w:t xml:space="preserve"> positivt att kommissionen på ett tidigt stadium och med en bred ansats möjliggör ett samråd med intresserade pa</w:t>
      </w:r>
      <w:r w:rsidR="00E110C4" w:rsidRPr="004E591B">
        <w:t>r</w:t>
      </w:r>
      <w:r w:rsidR="00E110C4" w:rsidRPr="004E591B">
        <w:t>ter på</w:t>
      </w:r>
      <w:r w:rsidR="0025502F" w:rsidRPr="004E591B">
        <w:t xml:space="preserve"> såväl</w:t>
      </w:r>
      <w:r w:rsidR="00E110C4" w:rsidRPr="004E591B">
        <w:t xml:space="preserve"> lokal, regional, nationell </w:t>
      </w:r>
      <w:r w:rsidR="0025502F" w:rsidRPr="004E591B">
        <w:t>som</w:t>
      </w:r>
      <w:r w:rsidR="00E110C4" w:rsidRPr="004E591B">
        <w:t xml:space="preserve"> europeisk nivå.</w:t>
      </w:r>
      <w:r w:rsidR="00AF68A7" w:rsidRPr="004E591B" w:rsidDel="00AF68A7">
        <w:t xml:space="preserve"> </w:t>
      </w:r>
      <w:r w:rsidR="00E44FD3" w:rsidRPr="004E591B">
        <w:t>B</w:t>
      </w:r>
      <w:r w:rsidR="00CB50C2" w:rsidRPr="004E591B">
        <w:t>udgetöversynen är en</w:t>
      </w:r>
      <w:r w:rsidR="00E44FD3" w:rsidRPr="004E591B">
        <w:t xml:space="preserve"> del av ett långsiktigt arbete. Fö</w:t>
      </w:r>
      <w:r w:rsidR="00CB50C2" w:rsidRPr="004E591B">
        <w:t xml:space="preserve">rhandlingarna kan </w:t>
      </w:r>
      <w:r w:rsidR="00E44FD3" w:rsidRPr="004E591B">
        <w:t>des</w:t>
      </w:r>
      <w:r w:rsidR="00E44FD3" w:rsidRPr="004E591B">
        <w:t>s</w:t>
      </w:r>
      <w:r w:rsidR="00E44FD3" w:rsidRPr="004E591B">
        <w:t xml:space="preserve">utom komma att </w:t>
      </w:r>
      <w:r w:rsidR="00CB50C2" w:rsidRPr="004E591B">
        <w:t>befinna sig i ett intensivt skede under det svenska EU-ordförandeskapet hö</w:t>
      </w:r>
      <w:r w:rsidR="00CB50C2" w:rsidRPr="004E591B">
        <w:t>s</w:t>
      </w:r>
      <w:r w:rsidR="00CB50C2" w:rsidRPr="004E591B">
        <w:t>ten 2009</w:t>
      </w:r>
      <w:r w:rsidR="00E44FD3" w:rsidRPr="004E591B">
        <w:t xml:space="preserve">. Med tanke på detta </w:t>
      </w:r>
      <w:r w:rsidRPr="004E591B">
        <w:t xml:space="preserve">är det naturligt att riksdagen </w:t>
      </w:r>
      <w:r w:rsidR="00AF68A7" w:rsidRPr="004E591B">
        <w:t xml:space="preserve">tidigt </w:t>
      </w:r>
      <w:r w:rsidR="00E44FD3" w:rsidRPr="004E591B">
        <w:t>och under hela proce</w:t>
      </w:r>
      <w:r w:rsidR="00E44FD3" w:rsidRPr="004E591B">
        <w:t>s</w:t>
      </w:r>
      <w:r w:rsidR="00E44FD3" w:rsidRPr="004E591B">
        <w:t xml:space="preserve">sen </w:t>
      </w:r>
      <w:r w:rsidR="00C261CD" w:rsidRPr="004E591B">
        <w:t xml:space="preserve">är </w:t>
      </w:r>
      <w:r w:rsidRPr="004E591B">
        <w:t>aktivt involverad</w:t>
      </w:r>
      <w:r w:rsidR="0025502F" w:rsidRPr="004E591B">
        <w:t xml:space="preserve"> i dessa frågor</w:t>
      </w:r>
      <w:r w:rsidR="0013652E" w:rsidRPr="004E591B">
        <w:t xml:space="preserve">. </w:t>
      </w:r>
    </w:p>
    <w:p w:rsidR="004D5328" w:rsidRPr="004E591B" w:rsidRDefault="00CF5092" w:rsidP="006A4B04">
      <w:pPr>
        <w:pStyle w:val="Normaltindrag"/>
      </w:pPr>
      <w:r w:rsidRPr="004E591B">
        <w:t xml:space="preserve">I samma anda </w:t>
      </w:r>
      <w:r w:rsidR="003A6A98" w:rsidRPr="004E591B">
        <w:t xml:space="preserve">vill nämnden poängtera vikten av att budgetöversynen blir </w:t>
      </w:r>
      <w:r w:rsidR="009904C2" w:rsidRPr="004E591B">
        <w:t>genomgripande för att den ska</w:t>
      </w:r>
      <w:r w:rsidR="008B1F72" w:rsidRPr="004E591B">
        <w:t xml:space="preserve"> kunna</w:t>
      </w:r>
      <w:r w:rsidR="009904C2" w:rsidRPr="004E591B">
        <w:t xml:space="preserve"> </w:t>
      </w:r>
      <w:r w:rsidR="003A6A98" w:rsidRPr="004E591B">
        <w:t>utmynna i en heltäckande modernis</w:t>
      </w:r>
      <w:r w:rsidR="003A6A98" w:rsidRPr="004E591B">
        <w:t>e</w:t>
      </w:r>
      <w:r w:rsidR="003A6A98" w:rsidRPr="004E591B">
        <w:t xml:space="preserve">ring av det nuvarande budgetsystemet. </w:t>
      </w:r>
      <w:r w:rsidR="001F44D9" w:rsidRPr="004E591B">
        <w:t>Detta är inte minst av vikt ur trovä</w:t>
      </w:r>
      <w:r w:rsidR="001F44D9" w:rsidRPr="004E591B">
        <w:t>r</w:t>
      </w:r>
      <w:r w:rsidR="001F44D9" w:rsidRPr="004E591B">
        <w:t xml:space="preserve">dighets- och öppenhetsperspektiv. </w:t>
      </w:r>
      <w:r w:rsidR="005D5886" w:rsidRPr="004E591B">
        <w:t xml:space="preserve">I begreppet heltäckande modernisering lägger nämnden </w:t>
      </w:r>
      <w:r w:rsidR="008B1F72" w:rsidRPr="004E591B">
        <w:t xml:space="preserve">även </w:t>
      </w:r>
      <w:r w:rsidR="005D5886" w:rsidRPr="004E591B">
        <w:t>in betydelsen av att</w:t>
      </w:r>
      <w:r w:rsidR="00FE742F" w:rsidRPr="004E591B">
        <w:t xml:space="preserve"> också</w:t>
      </w:r>
      <w:r w:rsidR="000A57CA" w:rsidRPr="004E591B">
        <w:t xml:space="preserve"> </w:t>
      </w:r>
      <w:r w:rsidR="00111962" w:rsidRPr="004E591B">
        <w:t xml:space="preserve">hälsokontrollen </w:t>
      </w:r>
      <w:r w:rsidR="00222F84" w:rsidRPr="004E591B">
        <w:t>av</w:t>
      </w:r>
      <w:r w:rsidR="0025502F" w:rsidRPr="004E591B">
        <w:t xml:space="preserve"> </w:t>
      </w:r>
      <w:r w:rsidR="005D5886" w:rsidRPr="004E591B">
        <w:t>den g</w:t>
      </w:r>
      <w:r w:rsidR="005D5886" w:rsidRPr="004E591B">
        <w:t>e</w:t>
      </w:r>
      <w:r w:rsidR="005D5886" w:rsidRPr="004E591B">
        <w:t>mensamma jordbruks</w:t>
      </w:r>
      <w:r w:rsidR="00111962" w:rsidRPr="004E591B">
        <w:t>politiken och översynen av</w:t>
      </w:r>
      <w:r w:rsidR="000A57CA" w:rsidRPr="004E591B">
        <w:t xml:space="preserve"> sammanhållnings</w:t>
      </w:r>
      <w:r w:rsidR="005D5886" w:rsidRPr="004E591B">
        <w:t xml:space="preserve">politiken </w:t>
      </w:r>
      <w:r w:rsidR="006F35D0" w:rsidRPr="004E591B">
        <w:t xml:space="preserve">blir </w:t>
      </w:r>
      <w:r w:rsidR="000A57CA" w:rsidRPr="004E591B">
        <w:t>g</w:t>
      </w:r>
      <w:r w:rsidR="000A57CA" w:rsidRPr="004E591B">
        <w:t>e</w:t>
      </w:r>
      <w:r w:rsidR="000A57CA" w:rsidRPr="004E591B">
        <w:t xml:space="preserve">nomgripande </w:t>
      </w:r>
      <w:r w:rsidR="006F35D0" w:rsidRPr="004E591B">
        <w:t xml:space="preserve">och framåtsyftande. </w:t>
      </w:r>
      <w:r w:rsidR="00796D89" w:rsidRPr="004E591B">
        <w:t>Eventuella beslut inom ramen för dessa översyner bör bidra till</w:t>
      </w:r>
      <w:r w:rsidR="00DB7C6F" w:rsidRPr="004E591B">
        <w:t xml:space="preserve"> </w:t>
      </w:r>
      <w:r w:rsidR="00796D89" w:rsidRPr="004E591B">
        <w:t>ytterligare reformer och utgiftsminsk</w:t>
      </w:r>
      <w:r w:rsidR="000A57CA" w:rsidRPr="004E591B">
        <w:t xml:space="preserve">ningar i </w:t>
      </w:r>
      <w:r w:rsidR="00796D89" w:rsidRPr="004E591B">
        <w:t>budgetövers</w:t>
      </w:r>
      <w:r w:rsidR="00796D89" w:rsidRPr="004E591B">
        <w:t>y</w:t>
      </w:r>
      <w:r w:rsidR="00796D89" w:rsidRPr="004E591B">
        <w:t>nen.</w:t>
      </w:r>
      <w:r w:rsidR="00DB7C6F" w:rsidRPr="004E591B">
        <w:t xml:space="preserve"> </w:t>
      </w:r>
    </w:p>
    <w:p w:rsidR="005D5886" w:rsidRPr="004E591B" w:rsidRDefault="00EE096B" w:rsidP="001F7F20">
      <w:pPr>
        <w:pStyle w:val="Normaltindrag"/>
      </w:pPr>
      <w:r w:rsidRPr="004E591B">
        <w:t>Utgångspunkterna för nämndens yt</w:t>
      </w:r>
      <w:r w:rsidRPr="004E591B">
        <w:t>t</w:t>
      </w:r>
      <w:r w:rsidRPr="004E591B">
        <w:t xml:space="preserve">rande är subsidiaritet, proportionalitet, europeiskt mervärde och sund ekonomisk förvaltning. </w:t>
      </w:r>
      <w:r w:rsidR="00BB4A67" w:rsidRPr="004E591B">
        <w:t>Med europeiskt me</w:t>
      </w:r>
      <w:r w:rsidR="00BB4A67" w:rsidRPr="004E591B">
        <w:t>r</w:t>
      </w:r>
      <w:r w:rsidR="00BB4A67" w:rsidRPr="004E591B">
        <w:t>värde menas</w:t>
      </w:r>
      <w:r w:rsidR="00FE742F" w:rsidRPr="004E591B">
        <w:t xml:space="preserve"> enligt nämnden</w:t>
      </w:r>
      <w:r w:rsidR="00BB4A67" w:rsidRPr="004E591B">
        <w:t xml:space="preserve"> att samarbete på EU-nivå ska ge </w:t>
      </w:r>
      <w:r w:rsidR="004A0CA6" w:rsidRPr="004E591B">
        <w:t xml:space="preserve">bättre verkan </w:t>
      </w:r>
      <w:r w:rsidR="00BB4A67" w:rsidRPr="004E591B">
        <w:t xml:space="preserve">jämfört med om medlemsstaterna var för sig hade genomfört </w:t>
      </w:r>
      <w:r w:rsidR="004A0CA6" w:rsidRPr="004E591B">
        <w:t xml:space="preserve">motsvarande </w:t>
      </w:r>
      <w:r w:rsidR="00BB4A67" w:rsidRPr="004E591B">
        <w:t>åtgärd. Med</w:t>
      </w:r>
      <w:r w:rsidR="004A0CA6" w:rsidRPr="004E591B">
        <w:t xml:space="preserve"> europeiskt</w:t>
      </w:r>
      <w:r w:rsidR="00BB4A67" w:rsidRPr="004E591B">
        <w:t xml:space="preserve"> mervärde mena</w:t>
      </w:r>
      <w:r w:rsidR="00FE742F" w:rsidRPr="004E591B">
        <w:t>s</w:t>
      </w:r>
      <w:r w:rsidR="00BB4A67" w:rsidRPr="004E591B">
        <w:t xml:space="preserve"> också att EU-utgifter ska bidra till positiva (eller minska negativa) gränsöverskridande effekter. </w:t>
      </w:r>
      <w:r w:rsidR="0025502F" w:rsidRPr="004E591B">
        <w:t>En öve</w:t>
      </w:r>
      <w:r w:rsidR="0025502F" w:rsidRPr="004E591B">
        <w:t>r</w:t>
      </w:r>
      <w:r w:rsidR="0025502F" w:rsidRPr="004E591B">
        <w:t xml:space="preserve">gripande princip </w:t>
      </w:r>
      <w:r w:rsidR="00106A6B" w:rsidRPr="004E591B">
        <w:t>måste vara</w:t>
      </w:r>
      <w:r w:rsidR="0025502F" w:rsidRPr="004E591B">
        <w:t xml:space="preserve"> b</w:t>
      </w:r>
      <w:r w:rsidR="00DB7C6F" w:rsidRPr="004E591B">
        <w:t>udgetrestriktiv</w:t>
      </w:r>
      <w:r w:rsidR="00DB7C6F" w:rsidRPr="004E591B">
        <w:t>i</w:t>
      </w:r>
      <w:r w:rsidR="00106A6B" w:rsidRPr="004E591B">
        <w:t>tet</w:t>
      </w:r>
      <w:r w:rsidR="00111962" w:rsidRPr="004E591B">
        <w:t>.</w:t>
      </w:r>
    </w:p>
    <w:p w:rsidR="008E2158" w:rsidRPr="004E591B" w:rsidRDefault="008E2158" w:rsidP="00E942D4">
      <w:pPr>
        <w:pStyle w:val="Rubrik2"/>
      </w:pPr>
      <w:bookmarkStart w:id="6" w:name="_Toc192485803"/>
      <w:r w:rsidRPr="004E591B">
        <w:t>Den nuvarande EU-budgetens förmåga att avspegla skiftande politiska prioriteringar</w:t>
      </w:r>
      <w:bookmarkEnd w:id="6"/>
    </w:p>
    <w:p w:rsidR="00DA28FE" w:rsidRPr="004E591B" w:rsidRDefault="006121D8" w:rsidP="007704F4">
      <w:r w:rsidRPr="004E591B">
        <w:t xml:space="preserve">Nuvarande budgetsystem har kunnat uppvisa en viss flexibilitet över tid, genom att möta framväxande behov </w:t>
      </w:r>
      <w:r w:rsidR="00066E86" w:rsidRPr="004E591B">
        <w:t>samtidigt som utgifterna som andel av BNI har minskat.</w:t>
      </w:r>
      <w:r w:rsidRPr="004E591B">
        <w:t xml:space="preserve"> </w:t>
      </w:r>
    </w:p>
    <w:p w:rsidR="00D22840" w:rsidRPr="004E591B" w:rsidRDefault="00C23440" w:rsidP="00DA28FE">
      <w:pPr>
        <w:pStyle w:val="Normaltindrag"/>
      </w:pPr>
      <w:r w:rsidRPr="004E591B">
        <w:t>Trots detta, är ”de nya utmaningarnas” andelar av budgeten myck</w:t>
      </w:r>
      <w:r w:rsidR="00E44FD3" w:rsidRPr="004E591B">
        <w:t xml:space="preserve">et låga eller </w:t>
      </w:r>
      <w:r w:rsidR="003D3DB1" w:rsidRPr="004E591B">
        <w:t xml:space="preserve">saknas </w:t>
      </w:r>
      <w:r w:rsidR="00E44FD3" w:rsidRPr="004E591B">
        <w:t>i vissa fall</w:t>
      </w:r>
      <w:r w:rsidRPr="004E591B">
        <w:t xml:space="preserve">. </w:t>
      </w:r>
      <w:r w:rsidR="00765BE8" w:rsidRPr="004E591B">
        <w:t>N</w:t>
      </w:r>
      <w:r w:rsidR="00FF33E8" w:rsidRPr="004E591B">
        <w:t>ämnden</w:t>
      </w:r>
      <w:r w:rsidR="00765BE8" w:rsidRPr="004E591B">
        <w:t xml:space="preserve"> återkommer</w:t>
      </w:r>
      <w:r w:rsidR="00FF33E8" w:rsidRPr="004E591B">
        <w:t xml:space="preserve"> om lämpliga utgiftspriorit</w:t>
      </w:r>
      <w:r w:rsidR="00FF33E8" w:rsidRPr="004E591B">
        <w:t>e</w:t>
      </w:r>
      <w:r w:rsidR="00FF33E8" w:rsidRPr="004E591B">
        <w:t xml:space="preserve">ringar under </w:t>
      </w:r>
      <w:r w:rsidR="00765BE8" w:rsidRPr="004E591B">
        <w:t xml:space="preserve">nästa </w:t>
      </w:r>
      <w:r w:rsidR="00FF33E8" w:rsidRPr="004E591B">
        <w:t>avsnitt</w:t>
      </w:r>
      <w:r w:rsidR="00765BE8" w:rsidRPr="004E591B">
        <w:t>,</w:t>
      </w:r>
      <w:r w:rsidR="00FF33E8" w:rsidRPr="004E591B">
        <w:t xml:space="preserve"> ”Utmaningar för en mode</w:t>
      </w:r>
      <w:r w:rsidR="00FF33E8" w:rsidRPr="004E591B">
        <w:t>r</w:t>
      </w:r>
      <w:r w:rsidR="00FF33E8" w:rsidRPr="004E591B">
        <w:t>niserad EU-budget”</w:t>
      </w:r>
      <w:r w:rsidR="00765BE8" w:rsidRPr="004E591B">
        <w:t>.</w:t>
      </w:r>
    </w:p>
    <w:p w:rsidR="00D22840" w:rsidRPr="004E591B" w:rsidRDefault="005566E9" w:rsidP="00D22840">
      <w:pPr>
        <w:pStyle w:val="Normaltindrag"/>
      </w:pPr>
      <w:r w:rsidRPr="004E591B">
        <w:t>Nämnden anser att j</w:t>
      </w:r>
      <w:r w:rsidR="007704F4" w:rsidRPr="004E591B">
        <w:t xml:space="preserve">ordbrukspolitikens andel av den totala budgeten bör </w:t>
      </w:r>
      <w:r w:rsidR="007704F4" w:rsidRPr="004E591B">
        <w:rPr>
          <w:spacing w:val="-2"/>
        </w:rPr>
        <w:t>minska</w:t>
      </w:r>
      <w:r w:rsidR="00CD6A7F" w:rsidRPr="004E591B">
        <w:rPr>
          <w:spacing w:val="-2"/>
        </w:rPr>
        <w:t xml:space="preserve"> kraftigt</w:t>
      </w:r>
      <w:r w:rsidRPr="004E591B">
        <w:rPr>
          <w:spacing w:val="-2"/>
        </w:rPr>
        <w:t xml:space="preserve"> och att f</w:t>
      </w:r>
      <w:r w:rsidR="008D1E14" w:rsidRPr="004E591B">
        <w:rPr>
          <w:spacing w:val="-2"/>
        </w:rPr>
        <w:t>ortsatta reformer krävs. Ramen för politikens utfor</w:t>
      </w:r>
      <w:r w:rsidR="008D1E14" w:rsidRPr="004E591B">
        <w:rPr>
          <w:spacing w:val="-2"/>
        </w:rPr>
        <w:t>m</w:t>
      </w:r>
      <w:r w:rsidR="008D1E14" w:rsidRPr="004E591B">
        <w:rPr>
          <w:spacing w:val="-2"/>
        </w:rPr>
        <w:t>ning bör vara sådan att den stödjer produktion som tar hänsyn till miljö, kons</w:t>
      </w:r>
      <w:r w:rsidR="008D1E14" w:rsidRPr="004E591B">
        <w:rPr>
          <w:spacing w:val="-2"/>
        </w:rPr>
        <w:t>u</w:t>
      </w:r>
      <w:r w:rsidR="008D1E14" w:rsidRPr="004E591B">
        <w:rPr>
          <w:spacing w:val="-2"/>
        </w:rPr>
        <w:t>mentintresse, djur</w:t>
      </w:r>
      <w:r w:rsidR="005F6104" w:rsidRPr="004E591B">
        <w:rPr>
          <w:spacing w:val="-2"/>
        </w:rPr>
        <w:t>skydd</w:t>
      </w:r>
      <w:r w:rsidR="008D1E14" w:rsidRPr="004E591B">
        <w:rPr>
          <w:spacing w:val="-2"/>
        </w:rPr>
        <w:t xml:space="preserve"> och säkra livsmedel. </w:t>
      </w:r>
      <w:r w:rsidR="00747460" w:rsidRPr="004E591B">
        <w:rPr>
          <w:spacing w:val="-2"/>
        </w:rPr>
        <w:t>Den redan gjorda ö</w:t>
      </w:r>
      <w:r w:rsidR="00D22840" w:rsidRPr="004E591B">
        <w:rPr>
          <w:spacing w:val="-2"/>
        </w:rPr>
        <w:t>verförin</w:t>
      </w:r>
      <w:r w:rsidR="00747460" w:rsidRPr="004E591B">
        <w:rPr>
          <w:spacing w:val="-2"/>
        </w:rPr>
        <w:t>g</w:t>
      </w:r>
      <w:r w:rsidR="00747460" w:rsidRPr="004E591B">
        <w:rPr>
          <w:spacing w:val="-2"/>
        </w:rPr>
        <w:t>en inom jordbruksbudgeten till</w:t>
      </w:r>
      <w:r w:rsidR="003C391A" w:rsidRPr="004E591B">
        <w:rPr>
          <w:spacing w:val="-2"/>
        </w:rPr>
        <w:t xml:space="preserve"> </w:t>
      </w:r>
      <w:r w:rsidR="004A27B1" w:rsidRPr="004E591B">
        <w:rPr>
          <w:spacing w:val="-2"/>
        </w:rPr>
        <w:t>landsbygdsutveckling</w:t>
      </w:r>
      <w:r w:rsidR="007704F4" w:rsidRPr="004E591B">
        <w:rPr>
          <w:spacing w:val="-2"/>
        </w:rPr>
        <w:t xml:space="preserve"> </w:t>
      </w:r>
      <w:r w:rsidR="004A27B1" w:rsidRPr="004E591B">
        <w:rPr>
          <w:spacing w:val="-2"/>
        </w:rPr>
        <w:t xml:space="preserve">(andra pelaren) </w:t>
      </w:r>
      <w:r w:rsidR="0000234E" w:rsidRPr="004E591B">
        <w:rPr>
          <w:spacing w:val="-2"/>
        </w:rPr>
        <w:t xml:space="preserve">är i denna mening </w:t>
      </w:r>
      <w:r w:rsidR="004026CD" w:rsidRPr="004E591B">
        <w:rPr>
          <w:spacing w:val="-2"/>
        </w:rPr>
        <w:t>positiv. Nämnden vill dock</w:t>
      </w:r>
      <w:r w:rsidR="0000234E" w:rsidRPr="004E591B">
        <w:rPr>
          <w:spacing w:val="-2"/>
        </w:rPr>
        <w:t xml:space="preserve"> understryka vikten av att de</w:t>
      </w:r>
      <w:r w:rsidR="004E7F42" w:rsidRPr="004E591B">
        <w:rPr>
          <w:spacing w:val="-2"/>
        </w:rPr>
        <w:t>nn</w:t>
      </w:r>
      <w:r w:rsidR="0000234E" w:rsidRPr="004E591B">
        <w:rPr>
          <w:spacing w:val="-2"/>
        </w:rPr>
        <w:t>a</w:t>
      </w:r>
      <w:r w:rsidR="004E7F42" w:rsidRPr="004E591B">
        <w:rPr>
          <w:spacing w:val="-2"/>
        </w:rPr>
        <w:t xml:space="preserve"> överföring</w:t>
      </w:r>
      <w:r w:rsidR="0000234E" w:rsidRPr="004E591B">
        <w:rPr>
          <w:spacing w:val="-2"/>
        </w:rPr>
        <w:t xml:space="preserve"> inte tas till intäkt för att de totala utgifterna inom jordbrukspolit</w:t>
      </w:r>
      <w:r w:rsidR="0000234E" w:rsidRPr="004E591B">
        <w:rPr>
          <w:spacing w:val="-2"/>
        </w:rPr>
        <w:t>i</w:t>
      </w:r>
      <w:r w:rsidR="0000234E" w:rsidRPr="004E591B">
        <w:rPr>
          <w:spacing w:val="-2"/>
        </w:rPr>
        <w:t>ken tillåts öka.</w:t>
      </w:r>
    </w:p>
    <w:p w:rsidR="006F75BD" w:rsidRPr="004E591B" w:rsidRDefault="00CD31D4" w:rsidP="006F75BD">
      <w:pPr>
        <w:pStyle w:val="Normaltindrag"/>
      </w:pPr>
      <w:r w:rsidRPr="004E591B">
        <w:t>Nämnden anser även att s</w:t>
      </w:r>
      <w:r w:rsidR="005E0A0A" w:rsidRPr="004E591B">
        <w:t xml:space="preserve">trukturfondernas andel av den totala budgeten bör minska. </w:t>
      </w:r>
      <w:r w:rsidR="007704F4" w:rsidRPr="004E591B">
        <w:t xml:space="preserve">Effektiviteten i strukturfonderna </w:t>
      </w:r>
      <w:r w:rsidR="006F75BD" w:rsidRPr="004E591B">
        <w:t>i</w:t>
      </w:r>
      <w:r w:rsidR="007704F4" w:rsidRPr="004E591B">
        <w:t>frågas</w:t>
      </w:r>
      <w:r w:rsidR="006F75BD" w:rsidRPr="004E591B">
        <w:t>ä</w:t>
      </w:r>
      <w:r w:rsidR="007704F4" w:rsidRPr="004E591B">
        <w:t>tts</w:t>
      </w:r>
      <w:r w:rsidR="006F75BD" w:rsidRPr="004E591B">
        <w:t xml:space="preserve"> av nämnden</w:t>
      </w:r>
      <w:r w:rsidR="007704F4" w:rsidRPr="004E591B">
        <w:t>.</w:t>
      </w:r>
      <w:r w:rsidR="00AF0F4F" w:rsidRPr="004E591B">
        <w:t xml:space="preserve"> </w:t>
      </w:r>
      <w:r w:rsidR="00C23440" w:rsidRPr="004E591B">
        <w:t>Det ce</w:t>
      </w:r>
      <w:r w:rsidR="00C23440" w:rsidRPr="004E591B">
        <w:t>n</w:t>
      </w:r>
      <w:r w:rsidR="00C23440" w:rsidRPr="004E591B">
        <w:t xml:space="preserve">trala inför översynen av sammanhållningspolitiken är att ha en djupgående diskussion om vilka länder och regioner som verkligen </w:t>
      </w:r>
      <w:r w:rsidR="00222F84" w:rsidRPr="004E591B">
        <w:t xml:space="preserve">kan dra nytta av </w:t>
      </w:r>
      <w:r w:rsidR="00FE742F" w:rsidRPr="004E591B">
        <w:t>sa</w:t>
      </w:r>
      <w:r w:rsidR="00FE742F" w:rsidRPr="004E591B">
        <w:t>m</w:t>
      </w:r>
      <w:r w:rsidR="00FE742F" w:rsidRPr="004E591B">
        <w:t>manhållningspolitiken</w:t>
      </w:r>
      <w:r w:rsidR="00C23440" w:rsidRPr="004E591B">
        <w:t>. Nämnden</w:t>
      </w:r>
      <w:r w:rsidR="00D60563" w:rsidRPr="004E591B">
        <w:t xml:space="preserve"> </w:t>
      </w:r>
      <w:r w:rsidR="00FE742F" w:rsidRPr="004E591B">
        <w:t>anser</w:t>
      </w:r>
      <w:r w:rsidR="00C23440" w:rsidRPr="004E591B">
        <w:t xml:space="preserve"> att det stöd som ges i första hand ska främja tillväxt och sysse</w:t>
      </w:r>
      <w:r w:rsidR="00C23440" w:rsidRPr="004E591B">
        <w:t>l</w:t>
      </w:r>
      <w:r w:rsidR="00C23440" w:rsidRPr="004E591B">
        <w:t>sättning i</w:t>
      </w:r>
      <w:r w:rsidR="00222F84" w:rsidRPr="004E591B">
        <w:t xml:space="preserve"> </w:t>
      </w:r>
      <w:r w:rsidR="00153D7E" w:rsidRPr="004E591B">
        <w:t>de delar av unionen</w:t>
      </w:r>
      <w:r w:rsidR="00222F84" w:rsidRPr="004E591B">
        <w:t xml:space="preserve"> </w:t>
      </w:r>
      <w:r w:rsidR="00F14C11" w:rsidRPr="004E591B">
        <w:t xml:space="preserve">som har </w:t>
      </w:r>
      <w:r w:rsidR="00222F84" w:rsidRPr="004E591B">
        <w:t>relativt sett lägst välståndsnivå</w:t>
      </w:r>
      <w:r w:rsidR="00E44FD3" w:rsidRPr="004E591B">
        <w:t>, även när behov</w:t>
      </w:r>
      <w:r w:rsidR="000C1A29" w:rsidRPr="004E591B">
        <w:t>en förändras</w:t>
      </w:r>
      <w:r w:rsidR="00E44FD3" w:rsidRPr="004E591B">
        <w:t xml:space="preserve"> över tid</w:t>
      </w:r>
      <w:r w:rsidR="00C23440" w:rsidRPr="004E591B">
        <w:t xml:space="preserve">. </w:t>
      </w:r>
      <w:r w:rsidR="00AF0F4F" w:rsidRPr="004E591B">
        <w:t>Att medlemsst</w:t>
      </w:r>
      <w:r w:rsidR="00AF0F4F" w:rsidRPr="004E591B">
        <w:t>a</w:t>
      </w:r>
      <w:r w:rsidR="00AF0F4F" w:rsidRPr="004E591B">
        <w:t>terna i första hand själva ska ansvara för sin regionalpolitik är viktigt att understr</w:t>
      </w:r>
      <w:r w:rsidR="00AF0F4F" w:rsidRPr="004E591B">
        <w:t>y</w:t>
      </w:r>
      <w:r w:rsidR="00AF0F4F" w:rsidRPr="004E591B">
        <w:t xml:space="preserve">ka. </w:t>
      </w:r>
      <w:r w:rsidR="000478BC" w:rsidRPr="004E591B">
        <w:t>Den sociala dimensionen bör</w:t>
      </w:r>
      <w:r w:rsidR="00714D7E" w:rsidRPr="004E591B">
        <w:t>,</w:t>
      </w:r>
      <w:r w:rsidR="000478BC" w:rsidRPr="004E591B">
        <w:t xml:space="preserve"> </w:t>
      </w:r>
      <w:r w:rsidR="003D3DB1" w:rsidRPr="004E591B">
        <w:t xml:space="preserve">när det gäller </w:t>
      </w:r>
      <w:r w:rsidR="00687EC5" w:rsidRPr="004E591B">
        <w:t>fördelningen av resu</w:t>
      </w:r>
      <w:r w:rsidR="00687EC5" w:rsidRPr="004E591B">
        <w:t>r</w:t>
      </w:r>
      <w:r w:rsidR="00687EC5" w:rsidRPr="004E591B">
        <w:t>serna</w:t>
      </w:r>
      <w:r w:rsidR="00714D7E" w:rsidRPr="004E591B">
        <w:t>,</w:t>
      </w:r>
      <w:r w:rsidR="00687EC5" w:rsidRPr="004E591B">
        <w:t xml:space="preserve"> </w:t>
      </w:r>
      <w:r w:rsidR="000478BC" w:rsidRPr="004E591B">
        <w:t>spela en</w:t>
      </w:r>
      <w:r w:rsidR="00687EC5" w:rsidRPr="004E591B">
        <w:t xml:space="preserve"> vikt</w:t>
      </w:r>
      <w:r w:rsidRPr="004E591B">
        <w:t>ig roll</w:t>
      </w:r>
      <w:r w:rsidR="00687EC5" w:rsidRPr="004E591B">
        <w:t>.</w:t>
      </w:r>
    </w:p>
    <w:p w:rsidR="008E2158" w:rsidRPr="004E591B" w:rsidRDefault="008E2158" w:rsidP="00E942D4">
      <w:pPr>
        <w:pStyle w:val="Rubrik2"/>
      </w:pPr>
      <w:bookmarkStart w:id="7" w:name="_Toc192485804"/>
      <w:r w:rsidRPr="004E591B">
        <w:t>Utmaningar för en moderniserad EU-budget</w:t>
      </w:r>
      <w:bookmarkEnd w:id="7"/>
    </w:p>
    <w:p w:rsidR="00C23440" w:rsidRPr="004E591B" w:rsidRDefault="00C23440" w:rsidP="00C23440">
      <w:r w:rsidRPr="004E591B">
        <w:t>En moderniserad EU-budget</w:t>
      </w:r>
      <w:r w:rsidR="00222F84" w:rsidRPr="004E591B">
        <w:t xml:space="preserve"> ska</w:t>
      </w:r>
      <w:r w:rsidR="003D3DB1" w:rsidRPr="004E591B">
        <w:t>,</w:t>
      </w:r>
      <w:r w:rsidR="00222F84" w:rsidRPr="004E591B">
        <w:t xml:space="preserve"> enligt</w:t>
      </w:r>
      <w:r w:rsidRPr="004E591B">
        <w:t xml:space="preserve"> nämndens</w:t>
      </w:r>
      <w:r w:rsidR="00222F84" w:rsidRPr="004E591B">
        <w:t xml:space="preserve"> mening</w:t>
      </w:r>
      <w:r w:rsidRPr="004E591B">
        <w:t>, vara överskå</w:t>
      </w:r>
      <w:r w:rsidRPr="004E591B">
        <w:t>d</w:t>
      </w:r>
      <w:r w:rsidR="00222F84" w:rsidRPr="004E591B">
        <w:t>lig,</w:t>
      </w:r>
      <w:r w:rsidRPr="004E591B">
        <w:t xml:space="preserve"> tydlig i sina politiska prioriteringar och begriplig för EU-medborgarna.</w:t>
      </w:r>
      <w:r w:rsidR="00222F84" w:rsidRPr="004E591B">
        <w:t xml:space="preserve"> </w:t>
      </w:r>
    </w:p>
    <w:p w:rsidR="007517A3" w:rsidRPr="004E591B" w:rsidRDefault="00777FE2" w:rsidP="00C23440">
      <w:pPr>
        <w:pStyle w:val="Normaltindrag"/>
      </w:pPr>
      <w:r w:rsidRPr="004E591B">
        <w:t xml:space="preserve">De </w:t>
      </w:r>
      <w:r w:rsidR="00540403" w:rsidRPr="004E591B">
        <w:t xml:space="preserve">nämnda </w:t>
      </w:r>
      <w:r w:rsidRPr="004E591B">
        <w:t>utmaningarna</w:t>
      </w:r>
      <w:r w:rsidR="00FD0352" w:rsidRPr="004E591B">
        <w:t xml:space="preserve"> i meddelandet</w:t>
      </w:r>
      <w:r w:rsidRPr="004E591B">
        <w:t xml:space="preserve"> </w:t>
      </w:r>
      <w:r w:rsidR="004037A9" w:rsidRPr="004E591B">
        <w:t>beskriver väl de framtidsfrågor som unionen står inför och som bör uppmärksammas i den framtida budge</w:t>
      </w:r>
      <w:r w:rsidR="004037A9" w:rsidRPr="004E591B">
        <w:t>t</w:t>
      </w:r>
      <w:r w:rsidR="004037A9" w:rsidRPr="004E591B">
        <w:t xml:space="preserve">strukturen, om än </w:t>
      </w:r>
      <w:r w:rsidR="003F3DE0" w:rsidRPr="004E591B">
        <w:t>rangordningen är oklar</w:t>
      </w:r>
      <w:r w:rsidR="004037A9" w:rsidRPr="004E591B">
        <w:t xml:space="preserve">. </w:t>
      </w:r>
      <w:r w:rsidR="007517A3" w:rsidRPr="004E591B">
        <w:t>För att uppnå en budget som svarar mot de beskrivna behoven krävs en genomgripande reformering av utgiftss</w:t>
      </w:r>
      <w:r w:rsidR="007517A3" w:rsidRPr="004E591B">
        <w:t>i</w:t>
      </w:r>
      <w:r w:rsidR="007517A3" w:rsidRPr="004E591B">
        <w:t>dan och en ompri</w:t>
      </w:r>
      <w:r w:rsidR="007517A3" w:rsidRPr="004E591B">
        <w:t>o</w:t>
      </w:r>
      <w:r w:rsidR="007517A3" w:rsidRPr="004E591B">
        <w:t xml:space="preserve">ritering mellan utgifterna. </w:t>
      </w:r>
    </w:p>
    <w:p w:rsidR="00222F84" w:rsidRPr="004E591B" w:rsidRDefault="007517A3" w:rsidP="007517A3">
      <w:pPr>
        <w:pStyle w:val="Normaltindrag"/>
      </w:pPr>
      <w:r w:rsidRPr="004E591B">
        <w:t xml:space="preserve">I </w:t>
      </w:r>
      <w:r w:rsidR="00F4792C" w:rsidRPr="004E591B">
        <w:t xml:space="preserve">detta sammanhang </w:t>
      </w:r>
      <w:r w:rsidRPr="004E591B">
        <w:t xml:space="preserve">vill nämnden </w:t>
      </w:r>
      <w:r w:rsidR="004037A9" w:rsidRPr="004E591B">
        <w:t>särskilt understryka vikten av att</w:t>
      </w:r>
      <w:r w:rsidR="00777FE2" w:rsidRPr="004E591B">
        <w:t xml:space="preserve"> </w:t>
      </w:r>
      <w:r w:rsidR="008655E2" w:rsidRPr="004E591B">
        <w:t>pol</w:t>
      </w:r>
      <w:r w:rsidR="008655E2" w:rsidRPr="004E591B">
        <w:t>i</w:t>
      </w:r>
      <w:r w:rsidR="008655E2" w:rsidRPr="004E591B">
        <w:t xml:space="preserve">tikområden </w:t>
      </w:r>
      <w:r w:rsidR="00953B5A" w:rsidRPr="004E591B">
        <w:t xml:space="preserve">som prioriteras högt – även när dessa är nyligen tillkomna – får de resurser som </w:t>
      </w:r>
      <w:r w:rsidR="00777FE2" w:rsidRPr="004E591B">
        <w:t>krävs</w:t>
      </w:r>
      <w:r w:rsidR="003D3DB1" w:rsidRPr="004E591B">
        <w:t xml:space="preserve"> och att dessa ryms</w:t>
      </w:r>
      <w:r w:rsidR="008655E2" w:rsidRPr="004E591B">
        <w:t xml:space="preserve"> inom budgetramen</w:t>
      </w:r>
      <w:r w:rsidR="00777FE2" w:rsidRPr="004E591B">
        <w:t xml:space="preserve">. </w:t>
      </w:r>
      <w:r w:rsidR="00953B5A" w:rsidRPr="004E591B">
        <w:t xml:space="preserve"> Nämnden vill </w:t>
      </w:r>
      <w:r w:rsidR="003D3DB1" w:rsidRPr="004E591B">
        <w:t xml:space="preserve">här </w:t>
      </w:r>
      <w:r w:rsidR="00953B5A" w:rsidRPr="004E591B">
        <w:t>särskilt understryka klimat- och fors</w:t>
      </w:r>
      <w:r w:rsidR="00953B5A" w:rsidRPr="004E591B">
        <w:t>k</w:t>
      </w:r>
      <w:r w:rsidR="00953B5A" w:rsidRPr="004E591B">
        <w:t xml:space="preserve">ningsområdena. </w:t>
      </w:r>
      <w:r w:rsidR="00BD611E" w:rsidRPr="004E591B">
        <w:t xml:space="preserve">Dessa motsvarar också väl definitionen på områden </w:t>
      </w:r>
      <w:r w:rsidR="009A2459" w:rsidRPr="004E591B">
        <w:t xml:space="preserve">där det finns ett tydligt </w:t>
      </w:r>
      <w:r w:rsidR="00BD611E" w:rsidRPr="004E591B">
        <w:t>europeiskt mervä</w:t>
      </w:r>
      <w:r w:rsidR="00BD611E" w:rsidRPr="004E591B">
        <w:t>r</w:t>
      </w:r>
      <w:r w:rsidR="00BD611E" w:rsidRPr="004E591B">
        <w:t>de och som därmed bör högprioriteras i unionens arbete.</w:t>
      </w:r>
      <w:r w:rsidR="00156CEF" w:rsidRPr="004E591B">
        <w:t xml:space="preserve"> Inte minst inom klimatpolitiken finns tydliga behov av samordning för att nå de målsättningar som överenskoms vid</w:t>
      </w:r>
      <w:r w:rsidR="008655E2" w:rsidRPr="004E591B">
        <w:t xml:space="preserve"> Europei</w:t>
      </w:r>
      <w:r w:rsidR="008655E2" w:rsidRPr="004E591B">
        <w:t>s</w:t>
      </w:r>
      <w:r w:rsidR="008655E2" w:rsidRPr="004E591B">
        <w:t>ka rådets</w:t>
      </w:r>
      <w:r w:rsidR="003D3DB1" w:rsidRPr="004E591B">
        <w:t xml:space="preserve"> </w:t>
      </w:r>
      <w:r w:rsidR="00156CEF" w:rsidRPr="004E591B">
        <w:t>möte i mars 2007</w:t>
      </w:r>
      <w:r w:rsidR="003B244F" w:rsidRPr="004E591B">
        <w:t xml:space="preserve">. </w:t>
      </w:r>
    </w:p>
    <w:p w:rsidR="001223AC" w:rsidRPr="004E591B" w:rsidRDefault="00F02350" w:rsidP="001223AC">
      <w:pPr>
        <w:pStyle w:val="Normaltindrag"/>
      </w:pPr>
      <w:r w:rsidRPr="004E591B">
        <w:t>I sammanhanget vill nämnden poängtera att prioritering av ett politiko</w:t>
      </w:r>
      <w:r w:rsidRPr="004E591B">
        <w:t>m</w:t>
      </w:r>
      <w:r w:rsidRPr="004E591B">
        <w:t xml:space="preserve">råde inte med nödvändighet </w:t>
      </w:r>
      <w:r w:rsidR="00953B5A" w:rsidRPr="004E591B">
        <w:t xml:space="preserve">ska innebära </w:t>
      </w:r>
      <w:r w:rsidRPr="004E591B">
        <w:t>utgifter – målen kan</w:t>
      </w:r>
      <w:r w:rsidR="009A2459" w:rsidRPr="004E591B">
        <w:t xml:space="preserve"> också</w:t>
      </w:r>
      <w:r w:rsidRPr="004E591B">
        <w:t xml:space="preserve"> uppnås</w:t>
      </w:r>
      <w:r w:rsidR="00953B5A" w:rsidRPr="004E591B">
        <w:t xml:space="preserve"> på andra sätt, t.ex. genom lagstiftning</w:t>
      </w:r>
      <w:r w:rsidRPr="004E591B">
        <w:t>.</w:t>
      </w:r>
      <w:r w:rsidR="00C13868" w:rsidRPr="004E591B">
        <w:t xml:space="preserve"> Nya uppgifter får inte innebära att totalramarna ökar. </w:t>
      </w:r>
      <w:r w:rsidRPr="004E591B">
        <w:t>Utöver vad nämnden tidigare anfört om jordbruks- och sammanhållnings</w:t>
      </w:r>
      <w:r w:rsidR="003D3DB1" w:rsidRPr="004E591B">
        <w:t xml:space="preserve">politiken </w:t>
      </w:r>
      <w:r w:rsidR="009A2459" w:rsidRPr="004E591B">
        <w:t xml:space="preserve">vill </w:t>
      </w:r>
      <w:r w:rsidR="003D3DB1" w:rsidRPr="004E591B">
        <w:t>nämnden</w:t>
      </w:r>
      <w:r w:rsidR="000379E9" w:rsidRPr="004E591B">
        <w:t xml:space="preserve"> framhålla </w:t>
      </w:r>
      <w:r w:rsidR="00FE742F" w:rsidRPr="004E591B">
        <w:t xml:space="preserve">att </w:t>
      </w:r>
      <w:r w:rsidR="000379E9" w:rsidRPr="004E591B">
        <w:t>den s</w:t>
      </w:r>
      <w:r w:rsidR="00DA4155" w:rsidRPr="004E591B">
        <w:t>.</w:t>
      </w:r>
      <w:r w:rsidR="000379E9" w:rsidRPr="004E591B">
        <w:t>k</w:t>
      </w:r>
      <w:r w:rsidR="00DA4155" w:rsidRPr="004E591B">
        <w:t>.</w:t>
      </w:r>
      <w:r w:rsidR="000379E9" w:rsidRPr="004E591B">
        <w:t xml:space="preserve"> </w:t>
      </w:r>
      <w:r w:rsidR="00777FE2" w:rsidRPr="004E591B">
        <w:t>glo</w:t>
      </w:r>
      <w:r w:rsidR="000449B8" w:rsidRPr="004E591B">
        <w:t>balisering</w:t>
      </w:r>
      <w:r w:rsidR="000449B8" w:rsidRPr="004E591B">
        <w:t>s</w:t>
      </w:r>
      <w:r w:rsidR="000449B8" w:rsidRPr="004E591B">
        <w:t xml:space="preserve">fonden </w:t>
      </w:r>
      <w:r w:rsidR="00FE742F" w:rsidRPr="004E591B">
        <w:t xml:space="preserve">inte är </w:t>
      </w:r>
      <w:r w:rsidR="00777FE2" w:rsidRPr="004E591B">
        <w:t>ä</w:t>
      </w:r>
      <w:r w:rsidR="00777FE2" w:rsidRPr="004E591B">
        <w:t>n</w:t>
      </w:r>
      <w:r w:rsidR="00777FE2" w:rsidRPr="004E591B">
        <w:t>damålsenlig.</w:t>
      </w:r>
    </w:p>
    <w:p w:rsidR="00222F84" w:rsidRPr="004E591B" w:rsidRDefault="00874C1C" w:rsidP="001F7BAF">
      <w:pPr>
        <w:pStyle w:val="Normaltindrag"/>
        <w:rPr>
          <w:spacing w:val="-2"/>
        </w:rPr>
      </w:pPr>
      <w:r w:rsidRPr="004E591B">
        <w:rPr>
          <w:spacing w:val="-2"/>
        </w:rPr>
        <w:t>Ansvaret</w:t>
      </w:r>
      <w:r w:rsidR="00DD35C5" w:rsidRPr="004E591B">
        <w:rPr>
          <w:spacing w:val="-2"/>
        </w:rPr>
        <w:t xml:space="preserve"> i samband med budgetens genomförande är en central fråga</w:t>
      </w:r>
      <w:r w:rsidR="009A2459" w:rsidRPr="004E591B">
        <w:rPr>
          <w:spacing w:val="-2"/>
        </w:rPr>
        <w:t xml:space="preserve">. </w:t>
      </w:r>
      <w:r w:rsidR="00920AAA" w:rsidRPr="004E591B">
        <w:rPr>
          <w:spacing w:val="-2"/>
        </w:rPr>
        <w:t xml:space="preserve">Bättre styrning med </w:t>
      </w:r>
      <w:r w:rsidR="00BD3B94" w:rsidRPr="004E591B">
        <w:rPr>
          <w:spacing w:val="-2"/>
        </w:rPr>
        <w:t>k</w:t>
      </w:r>
      <w:r w:rsidR="00B4634C" w:rsidRPr="004E591B">
        <w:rPr>
          <w:spacing w:val="-2"/>
        </w:rPr>
        <w:t>larare mål, tydligare ansvarsfördelning</w:t>
      </w:r>
      <w:r w:rsidR="00AC7981" w:rsidRPr="004E591B">
        <w:rPr>
          <w:spacing w:val="-2"/>
        </w:rPr>
        <w:t xml:space="preserve"> (inbegripet en ökad del</w:t>
      </w:r>
      <w:r w:rsidR="00AC7981" w:rsidRPr="004E591B">
        <w:rPr>
          <w:spacing w:val="-2"/>
        </w:rPr>
        <w:t>e</w:t>
      </w:r>
      <w:r w:rsidR="00AC7981" w:rsidRPr="004E591B">
        <w:rPr>
          <w:spacing w:val="-2"/>
        </w:rPr>
        <w:t>gering)</w:t>
      </w:r>
      <w:r w:rsidR="00B4634C" w:rsidRPr="004E591B">
        <w:rPr>
          <w:spacing w:val="-2"/>
        </w:rPr>
        <w:t xml:space="preserve"> och förbättrade sanktionsmöjligheter är tre förbättringso</w:t>
      </w:r>
      <w:r w:rsidR="00B4634C" w:rsidRPr="004E591B">
        <w:rPr>
          <w:spacing w:val="-2"/>
        </w:rPr>
        <w:t>m</w:t>
      </w:r>
      <w:r w:rsidR="00B4634C" w:rsidRPr="004E591B">
        <w:rPr>
          <w:spacing w:val="-2"/>
        </w:rPr>
        <w:t>råden</w:t>
      </w:r>
      <w:r w:rsidR="00247D11" w:rsidRPr="004E591B">
        <w:rPr>
          <w:spacing w:val="-2"/>
        </w:rPr>
        <w:t xml:space="preserve"> som i sin tur skulle ge rev</w:t>
      </w:r>
      <w:r w:rsidR="00247D11" w:rsidRPr="004E591B">
        <w:rPr>
          <w:spacing w:val="-2"/>
        </w:rPr>
        <w:t>i</w:t>
      </w:r>
      <w:r w:rsidR="00247D11" w:rsidRPr="004E591B">
        <w:rPr>
          <w:spacing w:val="-2"/>
        </w:rPr>
        <w:t>sionsrätten förbättrade förutsättningar att granska budgeten och i förlängnin</w:t>
      </w:r>
      <w:r w:rsidR="00247D11" w:rsidRPr="004E591B">
        <w:rPr>
          <w:spacing w:val="-2"/>
        </w:rPr>
        <w:t>g</w:t>
      </w:r>
      <w:r w:rsidR="00247D11" w:rsidRPr="004E591B">
        <w:rPr>
          <w:spacing w:val="-2"/>
        </w:rPr>
        <w:t>en betydligt öka andelen korrekt hanterade medel</w:t>
      </w:r>
      <w:r w:rsidR="00B4634C" w:rsidRPr="004E591B">
        <w:rPr>
          <w:spacing w:val="-2"/>
        </w:rPr>
        <w:t>.</w:t>
      </w:r>
      <w:r w:rsidR="00DE631C" w:rsidRPr="004E591B">
        <w:rPr>
          <w:spacing w:val="-2"/>
        </w:rPr>
        <w:t xml:space="preserve"> </w:t>
      </w:r>
    </w:p>
    <w:p w:rsidR="00222F84" w:rsidRPr="004E591B" w:rsidRDefault="00CB7997" w:rsidP="00222F84">
      <w:pPr>
        <w:pStyle w:val="Normaltindrag"/>
      </w:pPr>
      <w:r w:rsidRPr="004E591B">
        <w:t xml:space="preserve">En enklare, modernare budgetstruktur skulle även </w:t>
      </w:r>
      <w:r w:rsidR="00247D11" w:rsidRPr="004E591B">
        <w:t xml:space="preserve">i sig </w:t>
      </w:r>
      <w:r w:rsidRPr="004E591B">
        <w:t>ge förbättrade mö</w:t>
      </w:r>
      <w:r w:rsidRPr="004E591B">
        <w:t>j</w:t>
      </w:r>
      <w:r w:rsidRPr="004E591B">
        <w:t>ligh</w:t>
      </w:r>
      <w:r w:rsidR="003D3DB1" w:rsidRPr="004E591B">
        <w:t xml:space="preserve">eter till överblickbarhet och </w:t>
      </w:r>
      <w:r w:rsidRPr="004E591B">
        <w:t>ansvars</w:t>
      </w:r>
      <w:r w:rsidR="003D3DB1" w:rsidRPr="004E591B">
        <w:t>ut</w:t>
      </w:r>
      <w:r w:rsidRPr="004E591B">
        <w:t>kr</w:t>
      </w:r>
      <w:r w:rsidRPr="004E591B">
        <w:t>ä</w:t>
      </w:r>
      <w:r w:rsidRPr="004E591B">
        <w:t xml:space="preserve">vande. </w:t>
      </w:r>
      <w:r w:rsidR="00222F84" w:rsidRPr="004E591B">
        <w:t xml:space="preserve">Nämnden anser </w:t>
      </w:r>
      <w:r w:rsidR="00F0414E" w:rsidRPr="004E591B">
        <w:t xml:space="preserve">att en översyn av budgetens </w:t>
      </w:r>
      <w:r w:rsidR="00222F84" w:rsidRPr="004E591B">
        <w:t>uppbyggnad bör ske. En sådan öv</w:t>
      </w:r>
      <w:r w:rsidR="00DE631C" w:rsidRPr="004E591B">
        <w:t>ersyn kunde</w:t>
      </w:r>
      <w:r w:rsidR="00222F84" w:rsidRPr="004E591B">
        <w:t xml:space="preserve"> också tjäna till att förbättra samstämmighet</w:t>
      </w:r>
      <w:r w:rsidR="009A2459" w:rsidRPr="004E591B">
        <w:t>en</w:t>
      </w:r>
      <w:r w:rsidR="00222F84" w:rsidRPr="004E591B">
        <w:t xml:space="preserve"> mellan de olika politiko</w:t>
      </w:r>
      <w:r w:rsidR="00222F84" w:rsidRPr="004E591B">
        <w:t>m</w:t>
      </w:r>
      <w:r w:rsidR="00222F84" w:rsidRPr="004E591B">
        <w:t>rådena.</w:t>
      </w:r>
    </w:p>
    <w:p w:rsidR="00222F84" w:rsidRPr="004E591B" w:rsidRDefault="00222F84" w:rsidP="00222F84">
      <w:pPr>
        <w:pStyle w:val="Normaltindrag"/>
      </w:pPr>
      <w:r w:rsidRPr="004E591B">
        <w:t>Analyser av hur en förändrad budgetprocess skulle kunna inverka på</w:t>
      </w:r>
      <w:r w:rsidR="003D3DB1" w:rsidRPr="004E591B">
        <w:t xml:space="preserve"> </w:t>
      </w:r>
      <w:r w:rsidRPr="004E591B">
        <w:t>öve</w:t>
      </w:r>
      <w:r w:rsidRPr="004E591B">
        <w:t>r</w:t>
      </w:r>
      <w:r w:rsidRPr="004E591B">
        <w:t>blickbarhet, legitimitet, ansvarsfördelning samt budgetens innehåll bör geno</w:t>
      </w:r>
      <w:r w:rsidRPr="004E591B">
        <w:t>m</w:t>
      </w:r>
      <w:r w:rsidRPr="004E591B">
        <w:t xml:space="preserve">föras. </w:t>
      </w:r>
    </w:p>
    <w:p w:rsidR="00222F84" w:rsidRPr="004E591B" w:rsidRDefault="00BD3B94" w:rsidP="00BD3B94">
      <w:pPr>
        <w:pStyle w:val="Normaltindrag"/>
      </w:pPr>
      <w:r w:rsidRPr="004E591B">
        <w:t>Att effektivisera genomförandet av budgeten är en prioriterad fråga, men nämnden vill understryka vikten av att denna inte organiseras så</w:t>
      </w:r>
      <w:r w:rsidR="003D3DB1" w:rsidRPr="004E591B">
        <w:t>,</w:t>
      </w:r>
      <w:r w:rsidRPr="004E591B">
        <w:t xml:space="preserve"> att möjligh</w:t>
      </w:r>
      <w:r w:rsidRPr="004E591B">
        <w:t>e</w:t>
      </w:r>
      <w:r w:rsidRPr="004E591B">
        <w:t>ter till öppenhet inskränks. Exempelvis bör inte resurser till öve</w:t>
      </w:r>
      <w:r w:rsidRPr="004E591B">
        <w:t>r</w:t>
      </w:r>
      <w:r w:rsidRPr="004E591B">
        <w:t>sättningar till de olika medlemsspråken minska.</w:t>
      </w:r>
    </w:p>
    <w:p w:rsidR="00920AAA" w:rsidRPr="004E591B" w:rsidRDefault="002E39D2" w:rsidP="00BD3B94">
      <w:pPr>
        <w:pStyle w:val="Normaltindrag"/>
        <w:rPr>
          <w:u w:val="single"/>
        </w:rPr>
      </w:pPr>
      <w:r w:rsidRPr="004E591B">
        <w:t xml:space="preserve">Det är graverande att revisionsrätten under ett stort antal år starkt kritiserat förvaltningen </w:t>
      </w:r>
      <w:r w:rsidR="009A2459" w:rsidRPr="004E591B">
        <w:t xml:space="preserve">av gemensamma medel </w:t>
      </w:r>
      <w:r w:rsidRPr="004E591B">
        <w:t>utan att tydliga fö</w:t>
      </w:r>
      <w:r w:rsidRPr="004E591B">
        <w:t>r</w:t>
      </w:r>
      <w:r w:rsidRPr="004E591B">
        <w:t xml:space="preserve">bättringar uppnåtts. </w:t>
      </w:r>
      <w:r w:rsidR="009A2459" w:rsidRPr="004E591B">
        <w:t xml:space="preserve">Förvaltningen och kontrollen måste bli bättre på unionsnivå, samtidigt som medlemsstaterna måste ta sitt ansvar. </w:t>
      </w:r>
      <w:r w:rsidR="00920AAA" w:rsidRPr="004E591B">
        <w:t xml:space="preserve">Nämnden </w:t>
      </w:r>
      <w:r w:rsidRPr="004E591B">
        <w:t xml:space="preserve">vill därför </w:t>
      </w:r>
      <w:r w:rsidR="00920AAA" w:rsidRPr="004E591B">
        <w:t xml:space="preserve">uppmärksamma att Sverige, tillsammans med ett antal andra medlemsländer, </w:t>
      </w:r>
      <w:r w:rsidR="00E56C9B" w:rsidRPr="004E591B">
        <w:t xml:space="preserve">arbetar för att </w:t>
      </w:r>
      <w:r w:rsidR="00920AAA" w:rsidRPr="004E591B">
        <w:t>fö</w:t>
      </w:r>
      <w:r w:rsidR="00920AAA" w:rsidRPr="004E591B">
        <w:t>r</w:t>
      </w:r>
      <w:r w:rsidR="00920AAA" w:rsidRPr="004E591B">
        <w:t>bätt</w:t>
      </w:r>
      <w:r w:rsidRPr="004E591B">
        <w:t>r</w:t>
      </w:r>
      <w:r w:rsidR="00920AAA" w:rsidRPr="004E591B">
        <w:t>a den inhemska förvaltningen av EU-medel. Regeringen kommer, efter avstämning med riksdagen,</w:t>
      </w:r>
      <w:r w:rsidR="00336F3B" w:rsidRPr="004E591B">
        <w:t xml:space="preserve"> </w:t>
      </w:r>
      <w:r w:rsidR="00714D7E" w:rsidRPr="004E591B">
        <w:t xml:space="preserve">att </w:t>
      </w:r>
      <w:r w:rsidR="00336F3B" w:rsidRPr="004E591B">
        <w:t>sända in e</w:t>
      </w:r>
      <w:r w:rsidRPr="004E591B">
        <w:t>n</w:t>
      </w:r>
      <w:r w:rsidR="00920AAA" w:rsidRPr="004E591B">
        <w:t xml:space="preserve"> na</w:t>
      </w:r>
      <w:r w:rsidR="00336F3B" w:rsidRPr="004E591B">
        <w:t>tionell</w:t>
      </w:r>
      <w:r w:rsidRPr="004E591B">
        <w:t xml:space="preserve"> deklaration</w:t>
      </w:r>
      <w:r w:rsidR="00336F3B" w:rsidRPr="004E591B">
        <w:t xml:space="preserve"> </w:t>
      </w:r>
      <w:r w:rsidRPr="004E591B">
        <w:t>om kontro</w:t>
      </w:r>
      <w:r w:rsidRPr="004E591B">
        <w:t>l</w:t>
      </w:r>
      <w:r w:rsidRPr="004E591B">
        <w:t xml:space="preserve">len </w:t>
      </w:r>
      <w:r w:rsidR="00920AAA" w:rsidRPr="004E591B">
        <w:t>av EU-medel.</w:t>
      </w:r>
      <w:r w:rsidRPr="004E591B">
        <w:t xml:space="preserve"> </w:t>
      </w:r>
      <w:r w:rsidR="00E12179" w:rsidRPr="004E591B">
        <w:t xml:space="preserve">Sådana </w:t>
      </w:r>
      <w:r w:rsidRPr="004E591B">
        <w:t>nationella dekla</w:t>
      </w:r>
      <w:r w:rsidR="00E56C9B" w:rsidRPr="004E591B">
        <w:t>rationer bör</w:t>
      </w:r>
      <w:r w:rsidR="009A2459" w:rsidRPr="004E591B">
        <w:t xml:space="preserve"> även </w:t>
      </w:r>
      <w:r w:rsidR="00C141AB" w:rsidRPr="004E591B">
        <w:t xml:space="preserve">kunna bidra till att </w:t>
      </w:r>
      <w:r w:rsidRPr="004E591B">
        <w:t>öka trycket på en förbät</w:t>
      </w:r>
      <w:r w:rsidRPr="004E591B">
        <w:t>t</w:t>
      </w:r>
      <w:r w:rsidRPr="004E591B">
        <w:t xml:space="preserve">rad kontroll </w:t>
      </w:r>
      <w:r w:rsidR="00C141AB" w:rsidRPr="004E591B">
        <w:t xml:space="preserve">även </w:t>
      </w:r>
      <w:r w:rsidRPr="004E591B">
        <w:t>på EU-nivå.</w:t>
      </w:r>
    </w:p>
    <w:p w:rsidR="008E2158" w:rsidRPr="004E591B" w:rsidRDefault="008E2158" w:rsidP="00E942D4">
      <w:pPr>
        <w:pStyle w:val="Rubrik2"/>
      </w:pPr>
      <w:bookmarkStart w:id="8" w:name="_Toc192485805"/>
      <w:r w:rsidRPr="004E591B">
        <w:t>Budgetens finansiering</w:t>
      </w:r>
      <w:bookmarkEnd w:id="8"/>
    </w:p>
    <w:p w:rsidR="001F7BAF" w:rsidRPr="004E591B" w:rsidRDefault="00A27F0A" w:rsidP="00FE742F">
      <w:r w:rsidRPr="004E591B">
        <w:t xml:space="preserve">Enligt EU-nämndens mening </w:t>
      </w:r>
      <w:r w:rsidR="00E12179" w:rsidRPr="004E591B">
        <w:t>ska</w:t>
      </w:r>
      <w:r w:rsidR="00B6794C" w:rsidRPr="004E591B">
        <w:t xml:space="preserve"> </w:t>
      </w:r>
      <w:r w:rsidR="00C141AB" w:rsidRPr="004E591B">
        <w:t xml:space="preserve">EU:s </w:t>
      </w:r>
      <w:r w:rsidRPr="004E591B">
        <w:t>i</w:t>
      </w:r>
      <w:r w:rsidR="001F7BAF" w:rsidRPr="004E591B">
        <w:t xml:space="preserve">nkomstsystem </w:t>
      </w:r>
      <w:r w:rsidR="00C141AB" w:rsidRPr="004E591B">
        <w:t xml:space="preserve">även i fortsättningen </w:t>
      </w:r>
      <w:r w:rsidR="00E12179" w:rsidRPr="004E591B">
        <w:t xml:space="preserve">i huvudsak </w:t>
      </w:r>
      <w:r w:rsidR="00C141AB" w:rsidRPr="004E591B">
        <w:t>vara</w:t>
      </w:r>
      <w:r w:rsidR="00E12179" w:rsidRPr="004E591B">
        <w:t xml:space="preserve"> utformat som dagens system</w:t>
      </w:r>
      <w:r w:rsidR="00C141AB" w:rsidRPr="004E591B">
        <w:t xml:space="preserve">. </w:t>
      </w:r>
      <w:r w:rsidR="00B6794C" w:rsidRPr="004E591B">
        <w:t>B</w:t>
      </w:r>
      <w:r w:rsidR="009A2459" w:rsidRPr="004E591B">
        <w:t>eskattning</w:t>
      </w:r>
      <w:r w:rsidR="009A2459" w:rsidRPr="004E591B">
        <w:t>s</w:t>
      </w:r>
      <w:r w:rsidR="009A2459" w:rsidRPr="004E591B">
        <w:t xml:space="preserve">rätt på EU-nivå ska </w:t>
      </w:r>
      <w:r w:rsidR="00B6794C" w:rsidRPr="004E591B">
        <w:t xml:space="preserve">inte införas. Systemet ska vara överskådligt och </w:t>
      </w:r>
      <w:r w:rsidR="00C141AB" w:rsidRPr="004E591B">
        <w:t>ha</w:t>
      </w:r>
      <w:r w:rsidR="00B6794C" w:rsidRPr="004E591B">
        <w:t xml:space="preserve"> en tydlig struktur. Det</w:t>
      </w:r>
      <w:r w:rsidR="00C141AB" w:rsidRPr="004E591B">
        <w:t xml:space="preserve"> måste också upplevas som legitim</w:t>
      </w:r>
      <w:r w:rsidR="00E12179" w:rsidRPr="004E591B">
        <w:t>t</w:t>
      </w:r>
      <w:r w:rsidR="001F7BAF" w:rsidRPr="004E591B">
        <w:t xml:space="preserve"> samt möjliggöra en </w:t>
      </w:r>
      <w:r w:rsidRPr="004E591B">
        <w:t>rättvis ansvars</w:t>
      </w:r>
      <w:r w:rsidR="001F7BAF" w:rsidRPr="004E591B">
        <w:t>förde</w:t>
      </w:r>
      <w:r w:rsidR="001F7BAF" w:rsidRPr="004E591B">
        <w:t>l</w:t>
      </w:r>
      <w:r w:rsidR="001F7BAF" w:rsidRPr="004E591B">
        <w:t>ning</w:t>
      </w:r>
      <w:r w:rsidR="00B6794C" w:rsidRPr="004E591B">
        <w:t xml:space="preserve"> medlemsstaterna emellan</w:t>
      </w:r>
      <w:r w:rsidR="001F7BAF" w:rsidRPr="004E591B">
        <w:t xml:space="preserve">. </w:t>
      </w:r>
      <w:r w:rsidR="005F6817" w:rsidRPr="004E591B">
        <w:t>En rättvis ansvars</w:t>
      </w:r>
      <w:r w:rsidR="00853BC9" w:rsidRPr="004E591B">
        <w:t>fö</w:t>
      </w:r>
      <w:r w:rsidR="00853BC9" w:rsidRPr="004E591B">
        <w:t>r</w:t>
      </w:r>
      <w:r w:rsidR="00853BC9" w:rsidRPr="004E591B">
        <w:t>del</w:t>
      </w:r>
      <w:r w:rsidR="00E12179" w:rsidRPr="004E591B">
        <w:t xml:space="preserve">ning </w:t>
      </w:r>
      <w:r w:rsidR="00853BC9" w:rsidRPr="004E591B">
        <w:t>kan endast ske genom reformer både på inkomst- och utgiftssido</w:t>
      </w:r>
      <w:r w:rsidR="00853BC9" w:rsidRPr="004E591B">
        <w:t>r</w:t>
      </w:r>
      <w:r w:rsidR="00853BC9" w:rsidRPr="004E591B">
        <w:t xml:space="preserve">na. </w:t>
      </w:r>
    </w:p>
    <w:p w:rsidR="00E942D4" w:rsidRPr="004E591B" w:rsidRDefault="00E942D4" w:rsidP="000071C2">
      <w:pPr>
        <w:pStyle w:val="Utskriftsdatum"/>
        <w:spacing w:before="125"/>
      </w:pPr>
    </w:p>
    <w:p w:rsidR="00C42EE4" w:rsidRPr="004E591B" w:rsidRDefault="002908D5" w:rsidP="000071C2">
      <w:pPr>
        <w:pStyle w:val="Utskriftsdatum"/>
        <w:spacing w:before="125"/>
      </w:pPr>
      <w:r w:rsidRPr="004E591B">
        <w:t>Stockholm den 29 februari</w:t>
      </w:r>
      <w:r w:rsidR="00F14BE1" w:rsidRPr="004E591B">
        <w:t xml:space="preserve"> 2008</w:t>
      </w:r>
    </w:p>
    <w:p w:rsidR="00C42EE4" w:rsidRPr="004E591B" w:rsidRDefault="00DD271A" w:rsidP="00C42EE4">
      <w:r w:rsidRPr="004E591B">
        <w:t>På EU</w:t>
      </w:r>
      <w:r w:rsidR="00C42EE4" w:rsidRPr="004E591B">
        <w:t>-nämndens vägnar</w:t>
      </w:r>
    </w:p>
    <w:p w:rsidR="00C42EE4" w:rsidRPr="004E591B" w:rsidRDefault="00C42EE4" w:rsidP="00C42EE4">
      <w:pPr>
        <w:pStyle w:val="Normaltindrag"/>
      </w:pPr>
      <w:bookmarkStart w:id="9" w:name="Ordförande"/>
      <w:bookmarkStart w:id="10" w:name="Deltagare"/>
      <w:bookmarkEnd w:id="9"/>
      <w:bookmarkEnd w:id="10"/>
    </w:p>
    <w:p w:rsidR="000071C2" w:rsidRPr="004E591B" w:rsidRDefault="00F14BE1" w:rsidP="002908D5">
      <w:pPr>
        <w:pStyle w:val="Normaltindrag"/>
        <w:ind w:firstLine="0"/>
        <w:rPr>
          <w:i/>
        </w:rPr>
      </w:pPr>
      <w:r w:rsidRPr="004E591B">
        <w:rPr>
          <w:i/>
        </w:rPr>
        <w:t>Anna Kinberg Batra</w:t>
      </w:r>
    </w:p>
    <w:p w:rsidR="000071C2" w:rsidRPr="004E591B" w:rsidRDefault="000071C2" w:rsidP="000071C2">
      <w:pPr>
        <w:pStyle w:val="Deltagare"/>
        <w:rPr>
          <w:noProof w:val="0"/>
        </w:rPr>
      </w:pPr>
      <w:r w:rsidRPr="004E591B">
        <w:rPr>
          <w:noProof w:val="0"/>
        </w:rPr>
        <w:t>Följande ledamöter har deltagit i beslutet:</w:t>
      </w:r>
      <w:r w:rsidR="000245CC" w:rsidRPr="004E591B">
        <w:rPr>
          <w:noProof w:val="0"/>
        </w:rPr>
        <w:t xml:space="preserve"> </w:t>
      </w:r>
      <w:r w:rsidR="009D284A" w:rsidRPr="004E591B">
        <w:rPr>
          <w:noProof w:val="0"/>
        </w:rPr>
        <w:t xml:space="preserve">Anna Kinberg Batra (m), </w:t>
      </w:r>
      <w:r w:rsidR="000245CC" w:rsidRPr="004E591B">
        <w:rPr>
          <w:noProof w:val="0"/>
        </w:rPr>
        <w:t xml:space="preserve">Sonia Karlsson (s), </w:t>
      </w:r>
      <w:r w:rsidR="0005553C" w:rsidRPr="004E591B">
        <w:rPr>
          <w:noProof w:val="0"/>
        </w:rPr>
        <w:t>Staffan Danielsson (c)</w:t>
      </w:r>
      <w:r w:rsidR="000245CC" w:rsidRPr="004E591B">
        <w:rPr>
          <w:noProof w:val="0"/>
        </w:rPr>
        <w:t xml:space="preserve">, Carl B Hamilton (fp), </w:t>
      </w:r>
      <w:r w:rsidR="00FE7431" w:rsidRPr="004E591B">
        <w:rPr>
          <w:noProof w:val="0"/>
        </w:rPr>
        <w:t xml:space="preserve">Billy Gustafsson (s), </w:t>
      </w:r>
      <w:r w:rsidR="0005553C" w:rsidRPr="004E591B">
        <w:rPr>
          <w:noProof w:val="0"/>
        </w:rPr>
        <w:t xml:space="preserve">Peder Wachtmeister (m), Carina Ohlsson (s), Christer Winbäck (fp), Ulf Holm (mp), </w:t>
      </w:r>
      <w:r w:rsidR="000245CC" w:rsidRPr="004E591B">
        <w:rPr>
          <w:noProof w:val="0"/>
        </w:rPr>
        <w:t>Gustav Blix (m),</w:t>
      </w:r>
      <w:r w:rsidR="0005553C" w:rsidRPr="004E591B">
        <w:rPr>
          <w:noProof w:val="0"/>
        </w:rPr>
        <w:t xml:space="preserve"> Lars Lilja (s), </w:t>
      </w:r>
      <w:r w:rsidR="000245CC" w:rsidRPr="004E591B">
        <w:rPr>
          <w:noProof w:val="0"/>
        </w:rPr>
        <w:t>Karl Sigfrid (m),</w:t>
      </w:r>
      <w:r w:rsidR="0005553C" w:rsidRPr="004E591B">
        <w:rPr>
          <w:noProof w:val="0"/>
        </w:rPr>
        <w:t xml:space="preserve"> Christina Axelsson (s)</w:t>
      </w:r>
      <w:r w:rsidR="00876139" w:rsidRPr="004E591B">
        <w:rPr>
          <w:noProof w:val="0"/>
        </w:rPr>
        <w:t xml:space="preserve"> </w:t>
      </w:r>
      <w:r w:rsidR="0005553C" w:rsidRPr="004E591B">
        <w:rPr>
          <w:noProof w:val="0"/>
        </w:rPr>
        <w:t xml:space="preserve">och </w:t>
      </w:r>
      <w:r w:rsidR="00E6333C" w:rsidRPr="004E591B">
        <w:rPr>
          <w:noProof w:val="0"/>
        </w:rPr>
        <w:t>Else-Marie Lindgren (</w:t>
      </w:r>
      <w:r w:rsidR="0005553C" w:rsidRPr="004E591B">
        <w:rPr>
          <w:noProof w:val="0"/>
        </w:rPr>
        <w:t>kd).</w:t>
      </w:r>
      <w:r w:rsidR="000245CC" w:rsidRPr="004E591B">
        <w:rPr>
          <w:noProof w:val="0"/>
        </w:rPr>
        <w:t xml:space="preserve"> </w:t>
      </w:r>
    </w:p>
    <w:p w:rsidR="00C42EE4" w:rsidRPr="004E591B" w:rsidRDefault="00C42EE4" w:rsidP="00C42EE4">
      <w:pPr>
        <w:pStyle w:val="Normaltindrag"/>
      </w:pPr>
    </w:p>
    <w:p w:rsidR="000071C2" w:rsidRPr="004E591B" w:rsidRDefault="000071C2" w:rsidP="00C42EE4">
      <w:pPr>
        <w:pStyle w:val="Normaltindrag"/>
      </w:pPr>
    </w:p>
    <w:p w:rsidR="000071C2" w:rsidRPr="004E591B" w:rsidRDefault="000071C2" w:rsidP="00C42EE4">
      <w:pPr>
        <w:pStyle w:val="Normaltindrag"/>
        <w:sectPr w:rsidR="000071C2" w:rsidRPr="004E591B" w:rsidSect="00BC05C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C42EE4" w:rsidRPr="004E591B" w:rsidRDefault="00C42EE4" w:rsidP="00C42EE4">
      <w:pPr>
        <w:pStyle w:val="Rubrik1"/>
        <w:rPr>
          <w:noProof w:val="0"/>
        </w:rPr>
      </w:pPr>
      <w:bookmarkStart w:id="11" w:name="_Toc192485806"/>
      <w:r w:rsidRPr="004E591B">
        <w:rPr>
          <w:noProof w:val="0"/>
        </w:rPr>
        <w:t>Avvikande mening</w:t>
      </w:r>
      <w:r w:rsidR="00DD01FA" w:rsidRPr="004E591B">
        <w:rPr>
          <w:noProof w:val="0"/>
        </w:rPr>
        <w:t>ar</w:t>
      </w:r>
      <w:bookmarkEnd w:id="11"/>
    </w:p>
    <w:p w:rsidR="00DD01FA" w:rsidRPr="004E591B" w:rsidRDefault="00DD01FA" w:rsidP="00DD01FA">
      <w:pPr>
        <w:pStyle w:val="Rubrik3"/>
        <w:rPr>
          <w:noProof w:val="0"/>
        </w:rPr>
      </w:pPr>
      <w:r w:rsidRPr="004E591B">
        <w:rPr>
          <w:noProof w:val="0"/>
        </w:rPr>
        <w:t xml:space="preserve">1. Yttrande till finansutskottet över </w:t>
      </w:r>
      <w:r w:rsidR="009E70DD" w:rsidRPr="004E591B">
        <w:rPr>
          <w:noProof w:val="0"/>
        </w:rPr>
        <w:t xml:space="preserve">Europeiska </w:t>
      </w:r>
      <w:r w:rsidRPr="004E591B">
        <w:rPr>
          <w:noProof w:val="0"/>
        </w:rPr>
        <w:t xml:space="preserve">kommissionens meddelande om en budgetreform </w:t>
      </w:r>
    </w:p>
    <w:p w:rsidR="000071C2" w:rsidRPr="004E591B" w:rsidRDefault="000071C2" w:rsidP="00DD01FA">
      <w:r w:rsidRPr="004E591B">
        <w:t>Ulf Holm (mp) anför:</w:t>
      </w:r>
    </w:p>
    <w:p w:rsidR="00E942D4" w:rsidRPr="004E591B" w:rsidRDefault="00E942D4" w:rsidP="000071C2"/>
    <w:p w:rsidR="000071C2" w:rsidRPr="004E591B" w:rsidRDefault="000071C2" w:rsidP="00E942D4">
      <w:pPr>
        <w:spacing w:before="0"/>
      </w:pPr>
      <w:r w:rsidRPr="004E591B">
        <w:t>Till kommissionens meddelande om en budgetreform har m</w:t>
      </w:r>
      <w:r w:rsidRPr="004E591B">
        <w:t>a</w:t>
      </w:r>
      <w:r w:rsidRPr="004E591B">
        <w:t>joriteten i EU-nämnden, de fyra borgerliga partierna och Soc</w:t>
      </w:r>
      <w:r w:rsidRPr="004E591B">
        <w:t>i</w:t>
      </w:r>
      <w:r w:rsidRPr="004E591B">
        <w:t>aldemokraterna, till stora delar skrivit ett yttrande till finansu</w:t>
      </w:r>
      <w:r w:rsidRPr="004E591B">
        <w:t>t</w:t>
      </w:r>
      <w:r w:rsidRPr="004E591B">
        <w:t>skottet som är fylligt och tar upp ”allsvenska” uppfattningar och överväganden kring EU-budgeten som också vi från Milj</w:t>
      </w:r>
      <w:r w:rsidRPr="004E591B">
        <w:t>ö</w:t>
      </w:r>
      <w:r w:rsidRPr="004E591B">
        <w:t xml:space="preserve">partiet de gröna kan skriva under på. Men det finns också flera större frågor som vi hade önskat togs upp och där vi har avvikande mening jämfört med majoriteten. </w:t>
      </w:r>
    </w:p>
    <w:p w:rsidR="000071C2" w:rsidRPr="004E591B" w:rsidRDefault="000071C2" w:rsidP="000071C2">
      <w:pPr>
        <w:pStyle w:val="Normaltindrag"/>
      </w:pPr>
      <w:r w:rsidRPr="004E591B">
        <w:t>Miljöpartiet tycker det är bra att en allmän budgetöversyn blir av och m</w:t>
      </w:r>
      <w:r w:rsidRPr="004E591B">
        <w:t>å</w:t>
      </w:r>
      <w:r w:rsidRPr="004E591B">
        <w:t>nar om att den nu genomförs på ett seriöst och öppet sätt. Mål</w:t>
      </w:r>
      <w:r w:rsidRPr="004E591B">
        <w:rPr>
          <w:rStyle w:val="NormaltindragChar"/>
        </w:rPr>
        <w:t>s</w:t>
      </w:r>
      <w:r w:rsidRPr="004E591B">
        <w:t>ättningen ska givetvis vara att man under denna översyn vågar och har möjlighet att ta upp saker som många, såväl i Sverige som inom EU, tar för givna. Därför är det vikigt att processerna med den s.k. hälsokontrollen inom jordbruk</w:t>
      </w:r>
      <w:r w:rsidRPr="004E591B">
        <w:t>s</w:t>
      </w:r>
      <w:r w:rsidRPr="004E591B">
        <w:t>politiken och översynen inom sammanhållningspolitiken inte blir parallella processer till budgetöversynen, utan i högsta grad en samordnad del av hela EU:s bu</w:t>
      </w:r>
      <w:r w:rsidRPr="004E591B">
        <w:t>d</w:t>
      </w:r>
      <w:r w:rsidRPr="004E591B">
        <w:t xml:space="preserve">getöversyn. Detta inte minst på grund av de bådas ekonomiska och politiska omfång och de behov av reformering vi ser inom dessa områden. </w:t>
      </w:r>
    </w:p>
    <w:p w:rsidR="000071C2" w:rsidRPr="004E591B" w:rsidRDefault="000071C2" w:rsidP="000071C2">
      <w:pPr>
        <w:pStyle w:val="Normaltindrag"/>
      </w:pPr>
      <w:r w:rsidRPr="004E591B">
        <w:t>När det gäller den nuvarande EU-budgetens förmåga att a</w:t>
      </w:r>
      <w:r w:rsidRPr="004E591B">
        <w:t>v</w:t>
      </w:r>
      <w:r w:rsidRPr="004E591B">
        <w:t>spegla skiftande politiska prioriteringar anser Miljöpartiet att EU:s budget i och med femår</w:t>
      </w:r>
      <w:r w:rsidRPr="004E591B">
        <w:t>s</w:t>
      </w:r>
      <w:r w:rsidRPr="004E591B">
        <w:t>planerna varit alltför rigid och därmed gjort att EU:s budget haft mycket svårt att förändras genom åren. Trots att miljöfrågorna varit i fokus under en längre tid kan detta ännu inte avspeglas i budgeten på ett til</w:t>
      </w:r>
      <w:r w:rsidRPr="004E591B">
        <w:t>l</w:t>
      </w:r>
      <w:r w:rsidRPr="004E591B">
        <w:t>fredsställande sätt. Bland annat kan man konstatera att klima</w:t>
      </w:r>
      <w:r w:rsidRPr="004E591B">
        <w:t>t</w:t>
      </w:r>
      <w:r w:rsidRPr="004E591B">
        <w:t>politiken inte getts tillräckliga resurser inom hittillsvarande budgetramar. De nya utmaningarnas andel av budgeten är liten och har också startat från en mycket låg nivå. Det ska här dock tilläggas att stora delar av klimat- och miljöpolitiken g</w:t>
      </w:r>
      <w:r w:rsidRPr="004E591B">
        <w:t>i</w:t>
      </w:r>
      <w:r w:rsidRPr="004E591B">
        <w:t>vetvis ska genomföras nationellt utifrån de olika förutsättnin</w:t>
      </w:r>
      <w:r w:rsidRPr="004E591B">
        <w:t>g</w:t>
      </w:r>
      <w:r w:rsidRPr="004E591B">
        <w:t>ar som länderna har samt att en del handlar mer om lagstif</w:t>
      </w:r>
      <w:r w:rsidRPr="004E591B">
        <w:t>t</w:t>
      </w:r>
      <w:r w:rsidRPr="004E591B">
        <w:t>ning än om rena budgetposter. Samtidigt är det viktigt att EU:s budget inte innehåller delar som gör att en aktiv klimatp</w:t>
      </w:r>
      <w:r w:rsidRPr="004E591B">
        <w:t>o</w:t>
      </w:r>
      <w:r w:rsidRPr="004E591B">
        <w:t xml:space="preserve">litik motverkas, vilket såväl strukturfonder som jordbrukspolitik gör. Detta synsätt borde EU-nämndens majoritet ha lyft fram i sitt yttrande. </w:t>
      </w:r>
    </w:p>
    <w:p w:rsidR="000071C2" w:rsidRPr="004E591B" w:rsidRDefault="000071C2" w:rsidP="000071C2">
      <w:pPr>
        <w:pStyle w:val="Normaltindrag"/>
      </w:pPr>
      <w:r w:rsidRPr="004E591B">
        <w:t>Miljöpartiet anser att jordbrukspolitikens andel av den totala budgeten g</w:t>
      </w:r>
      <w:r w:rsidRPr="004E591B">
        <w:t>i</w:t>
      </w:r>
      <w:r w:rsidRPr="004E591B">
        <w:t>vetvis bör minskas kraftigt</w:t>
      </w:r>
      <w:r w:rsidR="007C41CB" w:rsidRPr="004E591B">
        <w:t>,</w:t>
      </w:r>
      <w:r w:rsidRPr="004E591B">
        <w:t xml:space="preserve"> men till skillnad från utskottsmajoriteten anser Miljöpartiet att även strukturfonde</w:t>
      </w:r>
      <w:r w:rsidRPr="004E591B">
        <w:t>r</w:t>
      </w:r>
      <w:r w:rsidRPr="004E591B">
        <w:t xml:space="preserve">na bör minskas </w:t>
      </w:r>
      <w:r w:rsidRPr="004E591B">
        <w:rPr>
          <w:i/>
        </w:rPr>
        <w:t>kraftigt</w:t>
      </w:r>
      <w:r w:rsidRPr="004E591B">
        <w:t xml:space="preserve">. </w:t>
      </w:r>
    </w:p>
    <w:p w:rsidR="000071C2" w:rsidRPr="004E591B" w:rsidRDefault="00810101" w:rsidP="00810101">
      <w:pPr>
        <w:pStyle w:val="Normaltindrag"/>
      </w:pPr>
      <w:r w:rsidRPr="004E591B">
        <w:t>I avsnittet om utmaningar för en moderniserad EU-budget har nämndsm</w:t>
      </w:r>
      <w:r w:rsidRPr="004E591B">
        <w:t>a</w:t>
      </w:r>
      <w:r w:rsidRPr="004E591B">
        <w:t>joriteten haft svårt att avgöra vad som är utmaningar för framtiden; man hä</w:t>
      </w:r>
      <w:r w:rsidRPr="004E591B">
        <w:t>n</w:t>
      </w:r>
      <w:r w:rsidRPr="004E591B">
        <w:t>visar i stort till kommissionens egna långa lista på förslag och namnger kl</w:t>
      </w:r>
      <w:r w:rsidRPr="004E591B">
        <w:t>i</w:t>
      </w:r>
      <w:r w:rsidRPr="004E591B">
        <w:t>mat- och forskning som viktiga. M</w:t>
      </w:r>
      <w:r w:rsidR="000071C2" w:rsidRPr="004E591B">
        <w:t>iljöpartiet delar inte åsikten att i vida ord</w:t>
      </w:r>
      <w:r w:rsidR="000071C2" w:rsidRPr="004E591B">
        <w:t>a</w:t>
      </w:r>
      <w:r w:rsidR="000071C2" w:rsidRPr="004E591B">
        <w:t>lag ange t.ex. konkurrenskraft, brottsbekämpning, asylpolitik och utrikespol</w:t>
      </w:r>
      <w:r w:rsidR="000071C2" w:rsidRPr="004E591B">
        <w:t>i</w:t>
      </w:r>
      <w:r w:rsidR="000071C2" w:rsidRPr="004E591B">
        <w:t>tik som nya utmaningar. Prior</w:t>
      </w:r>
      <w:r w:rsidR="000071C2" w:rsidRPr="004E591B">
        <w:t>i</w:t>
      </w:r>
      <w:r w:rsidR="000071C2" w:rsidRPr="004E591B">
        <w:t>teringen och rangordningen bör vara mer snäv. Miljöpartiet anser att budgeten måste anpassas så att framtidfrågor som kl</w:t>
      </w:r>
      <w:r w:rsidR="000071C2" w:rsidRPr="004E591B">
        <w:t>i</w:t>
      </w:r>
      <w:r w:rsidR="000071C2" w:rsidRPr="004E591B">
        <w:t>mat- och milj</w:t>
      </w:r>
      <w:r w:rsidR="000071C2" w:rsidRPr="004E591B">
        <w:t>ö</w:t>
      </w:r>
      <w:r w:rsidR="000071C2" w:rsidRPr="004E591B">
        <w:t>politik prioriteras och får en ökad andel av EU:s budgetram samt att EU:s budget klimatsäkras, dvs. att budgeten inte ska gå till verksa</w:t>
      </w:r>
      <w:r w:rsidR="000071C2" w:rsidRPr="004E591B">
        <w:t>m</w:t>
      </w:r>
      <w:r w:rsidR="000071C2" w:rsidRPr="004E591B">
        <w:t>het som fö</w:t>
      </w:r>
      <w:r w:rsidR="000071C2" w:rsidRPr="004E591B">
        <w:t>r</w:t>
      </w:r>
      <w:r w:rsidR="000071C2" w:rsidRPr="004E591B">
        <w:t>stör klimatet. Det betyder t.ex. mindre ekonomiska resurser till motorvägar och flygplatser och mer pengar till järnvägar. I just järnvägspol</w:t>
      </w:r>
      <w:r w:rsidR="000071C2" w:rsidRPr="004E591B">
        <w:t>i</w:t>
      </w:r>
      <w:r w:rsidR="000071C2" w:rsidRPr="004E591B">
        <w:t>tiken fi</w:t>
      </w:r>
      <w:r w:rsidR="007C41CB" w:rsidRPr="004E591B">
        <w:t>nns ett klart mervärde för EU: S</w:t>
      </w:r>
      <w:r w:rsidR="000071C2" w:rsidRPr="004E591B">
        <w:t>ka människor kunna ersätta flygresor (som förstör klimatet) med järnväg</w:t>
      </w:r>
      <w:r w:rsidR="000071C2" w:rsidRPr="004E591B">
        <w:t>s</w:t>
      </w:r>
      <w:r w:rsidR="000071C2" w:rsidRPr="004E591B">
        <w:t>åkande (som är bättre för miljön) krävs också att järnvägsnäten över gränse</w:t>
      </w:r>
      <w:r w:rsidR="000071C2" w:rsidRPr="004E591B">
        <w:t>r</w:t>
      </w:r>
      <w:r w:rsidR="000071C2" w:rsidRPr="004E591B">
        <w:t>na förbättras och en kraftig utbyggnad av höghasti</w:t>
      </w:r>
      <w:r w:rsidR="000071C2" w:rsidRPr="004E591B">
        <w:t>g</w:t>
      </w:r>
      <w:r w:rsidR="000071C2" w:rsidRPr="004E591B">
        <w:t>hetståg inom och över nationsgränser görs. Vi anser det också vara en viktig prioritering att lyfta fram den sociala dimensionen samt att dessa två grundbultar genomsyrar alla politikområden i E</w:t>
      </w:r>
      <w:r w:rsidR="007C41CB" w:rsidRPr="004E591B">
        <w:t>U,</w:t>
      </w:r>
      <w:r w:rsidR="000071C2" w:rsidRPr="004E591B">
        <w:t xml:space="preserve"> detta för att optimal sa</w:t>
      </w:r>
      <w:r w:rsidR="000071C2" w:rsidRPr="004E591B">
        <w:t>m</w:t>
      </w:r>
      <w:r w:rsidR="000071C2" w:rsidRPr="004E591B">
        <w:t xml:space="preserve">ordning ska kunna ske. Det får inte fortsätta att vara vattentäta skott mellan de olika politikområdena. </w:t>
      </w:r>
    </w:p>
    <w:p w:rsidR="000071C2" w:rsidRPr="004E591B" w:rsidRDefault="000071C2" w:rsidP="000071C2">
      <w:pPr>
        <w:pStyle w:val="Normaltindrag"/>
      </w:pPr>
      <w:r w:rsidRPr="004E591B">
        <w:t>Miljöpartiet anser att det bör tillsättas en särskild arbetsgrupp på EU-nivå för att se över EU:s budget utifrån klimatfrågan, som ett led i den påbörjade översynen, och se på hur och inom vilka områden åtgärder krävs för att EU-budgeten ska kunna klimatsäkras. Det borde ligga både i ett svenskt och i ett EU-intresse att försöka vrida budgeten till en utveckling som inte påskyndar klimatförändringarna. Tyvärr är det ju så att stora delar av EU:s budget i dag är direkt klimatförstörande, trots de storslagna målsättningarna som sattes vid EU-toppmötet i mars 2007 om att bl.a. sänka utsläppen med 20 % fram till 2020. Milj</w:t>
      </w:r>
      <w:r w:rsidRPr="004E591B">
        <w:t>ö</w:t>
      </w:r>
      <w:r w:rsidRPr="004E591B">
        <w:t xml:space="preserve">partiet beklagar att utskottsmajoriteten inte velat lyfta upp frågan om att klimatsäkra budgeten till ett svenskt krav att driva i EU. </w:t>
      </w:r>
    </w:p>
    <w:p w:rsidR="000071C2" w:rsidRPr="004E591B" w:rsidRDefault="000071C2" w:rsidP="000071C2">
      <w:pPr>
        <w:pStyle w:val="Normaltindrag"/>
      </w:pPr>
      <w:r w:rsidRPr="004E591B">
        <w:t>Miljöpartiet delar givetvis utskottsmajoritetens texter kring att den s.k. globaliseringsfonden inte är ändamålsenlig, att de krav som revision</w:t>
      </w:r>
      <w:r w:rsidRPr="004E591B">
        <w:t>s</w:t>
      </w:r>
      <w:r w:rsidRPr="004E591B">
        <w:t>rätten lyft fram för att bättre kunna granska hantering av medel finns med och vi</w:t>
      </w:r>
      <w:r w:rsidRPr="004E591B">
        <w:t>k</w:t>
      </w:r>
      <w:r w:rsidRPr="004E591B">
        <w:t xml:space="preserve">ten av att översättningar m.m. inte inskränks. </w:t>
      </w:r>
    </w:p>
    <w:p w:rsidR="000071C2" w:rsidRPr="004E591B" w:rsidRDefault="000071C2" w:rsidP="000071C2">
      <w:pPr>
        <w:pStyle w:val="Normaltindrag"/>
      </w:pPr>
      <w:r w:rsidRPr="004E591B">
        <w:t>Miljöpartiet ser att det finns möjlighet att begränsa EU:s budget ytterligare, vilket vi ansåg vara möjligt också när nuvarande femårsbudget godkändes av riksdagens samtliga andra partier i december 2005. En reformerad och mer framtidsinriktad budget torde kunna förbättra den svenska nettopositionen avs</w:t>
      </w:r>
      <w:r w:rsidRPr="004E591B">
        <w:t>e</w:t>
      </w:r>
      <w:r w:rsidR="007C41CB" w:rsidRPr="004E591B">
        <w:t>värt, dvs</w:t>
      </w:r>
      <w:r w:rsidRPr="004E591B">
        <w:t xml:space="preserve">. att Sverige betalar betydligt mindre till EU:s budget. </w:t>
      </w:r>
    </w:p>
    <w:p w:rsidR="000071C2" w:rsidRPr="004E591B" w:rsidRDefault="000071C2" w:rsidP="000071C2">
      <w:pPr>
        <w:pStyle w:val="Normaltindrag"/>
      </w:pPr>
      <w:r w:rsidRPr="004E591B">
        <w:t>Ökad öppenhet för att begränsa möjligheterna till oegentligheter, korru</w:t>
      </w:r>
      <w:r w:rsidRPr="004E591B">
        <w:t>p</w:t>
      </w:r>
      <w:r w:rsidRPr="004E591B">
        <w:t>tion och bedrägerier på EU-nivå är ett krav som tyvärr fortfarande är aktuellt. Att revisionsrätten på 13 år inte kunnat avge en enda ren revisionsberättelse är skandal. Det är också viktigt att trycka på att EU-budgeten inte ska betraktas som EU:s pengar, ”någon annans”, med vilket vi menar att det tycks finnas en uppfattning hos många att just EU:s pengar kan man slösa och leka med, jämfört med de nationella som man ser som ”sina” egna pengar och håller hårt i. Miljöpartiet delar åsikten som förs fram av EU-nämndens majoritet, nämligen att också de nationella myndigheterna har ett stort ansvar men att det inte fråntar EU-kommissionen ansvar för pengarna eftersom den har slu</w:t>
      </w:r>
      <w:r w:rsidRPr="004E591B">
        <w:t>t</w:t>
      </w:r>
      <w:r w:rsidRPr="004E591B">
        <w:t>ligt ansvar och det är den EU-parlamentet och att ministerrådet ska ge a</w:t>
      </w:r>
      <w:r w:rsidRPr="004E591B">
        <w:t>n</w:t>
      </w:r>
      <w:r w:rsidRPr="004E591B">
        <w:t xml:space="preserve">svarsfrihet. Frågan om s.k. whistle-blowers är också fortfarande aktuell. </w:t>
      </w:r>
    </w:p>
    <w:p w:rsidR="00C42EE4" w:rsidRPr="004E591B" w:rsidRDefault="000071C2" w:rsidP="000071C2">
      <w:pPr>
        <w:pStyle w:val="Normaltindrag"/>
      </w:pPr>
      <w:r w:rsidRPr="004E591B">
        <w:t>Slutligen gäller det avsnittet om budgetens finansiering. Miljöpartiet säger nej till varje form av beskattningsrätt på EU-nivå, precis som utskottsmajor</w:t>
      </w:r>
      <w:r w:rsidRPr="004E591B">
        <w:t>i</w:t>
      </w:r>
      <w:r w:rsidRPr="004E591B">
        <w:t>teten. Behovet av en förbättring av Sveriges nettopos</w:t>
      </w:r>
      <w:r w:rsidRPr="004E591B">
        <w:t>i</w:t>
      </w:r>
      <w:r w:rsidRPr="004E591B">
        <w:t>tion är viktig, främst genom minskade avgifter. Vi ser det också som viktigt att man ser över bu</w:t>
      </w:r>
      <w:r w:rsidRPr="004E591B">
        <w:t>d</w:t>
      </w:r>
      <w:r w:rsidRPr="004E591B">
        <w:t xml:space="preserve">getprocessen. I den europeiska debatten har det lags fram förslag om att man </w:t>
      </w:r>
      <w:r w:rsidRPr="004E591B">
        <w:rPr>
          <w:rFonts w:cs="Palatino Linotype"/>
          <w:color w:val="000000"/>
        </w:rPr>
        <w:t>först bör fastställa hur mycket varje land ska betala netto, och först därefter gå in på hur pengarna fördelas. Ordningen i dag är ju att man först fastställer hur mycket länderna ska betala, och därefter slåss man om var utgifterna ska li</w:t>
      </w:r>
      <w:r w:rsidRPr="004E591B">
        <w:rPr>
          <w:rFonts w:cs="Palatino Linotype"/>
          <w:color w:val="000000"/>
        </w:rPr>
        <w:t>g</w:t>
      </w:r>
      <w:r w:rsidRPr="004E591B">
        <w:rPr>
          <w:rFonts w:cs="Palatino Linotype"/>
          <w:color w:val="000000"/>
        </w:rPr>
        <w:t>ga, vilket gör att nationella ministrar frestas att driva på för dåliga utgifter bara för att de vill plocka politiska poäng genom att sänka nettoavgiften. Det vore önskvärt att EU eller Sverige tittade närmare på denna del av budgetpr</w:t>
      </w:r>
      <w:r w:rsidRPr="004E591B">
        <w:rPr>
          <w:rFonts w:cs="Palatino Linotype"/>
          <w:color w:val="000000"/>
        </w:rPr>
        <w:t>o</w:t>
      </w:r>
      <w:r w:rsidRPr="004E591B">
        <w:rPr>
          <w:rFonts w:cs="Palatino Linotype"/>
          <w:color w:val="000000"/>
        </w:rPr>
        <w:t>cessen och gjorde en analys av vad en fö</w:t>
      </w:r>
      <w:r w:rsidRPr="004E591B">
        <w:rPr>
          <w:rFonts w:cs="Palatino Linotype"/>
          <w:color w:val="000000"/>
        </w:rPr>
        <w:t>r</w:t>
      </w:r>
      <w:r w:rsidRPr="004E591B">
        <w:rPr>
          <w:rFonts w:cs="Palatino Linotype"/>
          <w:color w:val="000000"/>
        </w:rPr>
        <w:t>ändrad sådan skulle innebära.</w:t>
      </w:r>
    </w:p>
    <w:p w:rsidR="00C42EE4" w:rsidRPr="004E591B" w:rsidRDefault="00C42EE4" w:rsidP="00C42EE4">
      <w:pPr>
        <w:pStyle w:val="Normaltindrag"/>
      </w:pPr>
    </w:p>
    <w:p w:rsidR="00DD01FA" w:rsidRPr="004E591B" w:rsidRDefault="00DD01FA" w:rsidP="00721DC8">
      <w:pPr>
        <w:pStyle w:val="Rubrik3"/>
        <w:rPr>
          <w:noProof w:val="0"/>
        </w:rPr>
      </w:pPr>
      <w:r w:rsidRPr="004E591B">
        <w:rPr>
          <w:noProof w:val="0"/>
        </w:rPr>
        <w:t xml:space="preserve">2. Yttrande till finansutskottet över </w:t>
      </w:r>
      <w:r w:rsidR="009E70DD" w:rsidRPr="004E591B">
        <w:rPr>
          <w:noProof w:val="0"/>
        </w:rPr>
        <w:t xml:space="preserve">Europeiska </w:t>
      </w:r>
      <w:r w:rsidRPr="004E591B">
        <w:rPr>
          <w:noProof w:val="0"/>
        </w:rPr>
        <w:t xml:space="preserve">kommissionens meddelande om en budgetreform </w:t>
      </w:r>
    </w:p>
    <w:p w:rsidR="00E942D4" w:rsidRPr="004E591B" w:rsidRDefault="00E942D4" w:rsidP="00DD01FA">
      <w:r w:rsidRPr="004E591B">
        <w:t>(</w:t>
      </w:r>
      <w:r w:rsidR="000245CC" w:rsidRPr="004E591B">
        <w:t>v</w:t>
      </w:r>
      <w:r w:rsidRPr="004E591B">
        <w:t>) anför</w:t>
      </w:r>
      <w:r w:rsidR="00612D09" w:rsidRPr="004E591B">
        <w:rPr>
          <w:rStyle w:val="Fotnotsreferens"/>
        </w:rPr>
        <w:footnoteReference w:id="2"/>
      </w:r>
      <w:r w:rsidRPr="004E591B">
        <w:t>:</w:t>
      </w:r>
    </w:p>
    <w:p w:rsidR="00E942D4" w:rsidRPr="004E591B" w:rsidRDefault="00E942D4" w:rsidP="00E942D4"/>
    <w:p w:rsidR="00E942D4" w:rsidRPr="004E591B" w:rsidRDefault="00E942D4" w:rsidP="00E942D4">
      <w:r w:rsidRPr="004E591B">
        <w:t>Vänsterpartiet vill stärka friheten för det nationella självbestämmandet både i och utanför EU. Därför vill vi dra ned på EU:s intäkter och utgifter generellt. Överlag skulle de verksamheter som i dag administreras av eller via EU ku</w:t>
      </w:r>
      <w:r w:rsidRPr="004E591B">
        <w:t>n</w:t>
      </w:r>
      <w:r w:rsidRPr="004E591B">
        <w:t>na skötas både mer demokratiskt och ekonomiskt sett effektivare om de i stället låg på medlemsländerna själva. I det här yttrandet vill vi särskilt lyfta fram de två största utgiftsposterna: jordbrukspolitiken och strukturfonds- och regionalpolitiken.</w:t>
      </w:r>
    </w:p>
    <w:p w:rsidR="00E942D4" w:rsidRPr="004E591B" w:rsidRDefault="00E942D4" w:rsidP="00E942D4">
      <w:pPr>
        <w:pStyle w:val="Normaltindrag"/>
      </w:pPr>
      <w:r w:rsidRPr="004E591B">
        <w:t>Vi är djupt kritiska till EU:s jordbrukspolitik – inte enbart för att den är oerhört kostsam utan också för att den är ineffektiv, byråkratisk, inbjuder till fusk och är djupt orättfärdig mot tredje världen. Den gynnar dessutom en utvec</w:t>
      </w:r>
      <w:r w:rsidRPr="004E591B">
        <w:t>k</w:t>
      </w:r>
      <w:r w:rsidRPr="004E591B">
        <w:t>ling mot storskaliga industriella jordbruk med långa djurtransporter. Vi vill att jordbrukspolitiken till allra största del återförs till medlemsländerna.</w:t>
      </w:r>
    </w:p>
    <w:p w:rsidR="00E942D4" w:rsidRPr="004E591B" w:rsidRDefault="00E942D4" w:rsidP="00E942D4">
      <w:pPr>
        <w:pStyle w:val="Normaltindrag"/>
      </w:pPr>
      <w:r w:rsidRPr="004E591B">
        <w:t>Även strukturfonds- och regionalpolitiken är ineffektiv och byråkratisk. Den omges av omfattande fusk och oegentligheter, låser in regioner i bidrag</w:t>
      </w:r>
      <w:r w:rsidRPr="004E591B">
        <w:t>s</w:t>
      </w:r>
      <w:r w:rsidRPr="004E591B">
        <w:t>ber</w:t>
      </w:r>
      <w:r w:rsidRPr="004E591B">
        <w:t>o</w:t>
      </w:r>
      <w:r w:rsidRPr="004E591B">
        <w:t>ende och försvårar skapandet av riktiga jobb i offentlig sektor eftersom det kring många av de tillfälliga projekten krävs offentlig medfinansiering. Pol</w:t>
      </w:r>
      <w:r w:rsidRPr="004E591B">
        <w:t>i</w:t>
      </w:r>
      <w:r w:rsidRPr="004E591B">
        <w:t xml:space="preserve">tikområdet bör i allt väsentligt återföras till medlemsländerna. </w:t>
      </w:r>
    </w:p>
    <w:p w:rsidR="00E942D4" w:rsidRPr="004E591B" w:rsidRDefault="00E942D4" w:rsidP="00E942D4">
      <w:pPr>
        <w:pStyle w:val="Normaltindrag"/>
      </w:pPr>
      <w:r w:rsidRPr="004E591B">
        <w:t>Den del av EU-budgeten som inte rationaliseras bort bör finansieras med avgifter relaterade till medlemsländernas respektive ekonomiska styrka. R</w:t>
      </w:r>
      <w:r w:rsidRPr="004E591B">
        <w:t>a</w:t>
      </w:r>
      <w:r w:rsidRPr="004E591B">
        <w:t xml:space="preserve">batten för framför allt Storbritannien bör avvecklas. </w:t>
      </w:r>
    </w:p>
    <w:p w:rsidR="000071C2" w:rsidRPr="004E591B" w:rsidRDefault="00E942D4" w:rsidP="00E942D4">
      <w:pPr>
        <w:pStyle w:val="Normaltindrag"/>
      </w:pPr>
      <w:r w:rsidRPr="004E591B">
        <w:t>EU:s brister i att hantera ekonomiska frågor har visat sig tydligt i den stä</w:t>
      </w:r>
      <w:r w:rsidRPr="004E591B">
        <w:t>n</w:t>
      </w:r>
      <w:r w:rsidRPr="004E591B">
        <w:t>diga revisionskritiken. Den syns också i oförmågan att fatta beslut baserade på forskningsläget i klimatfrågan: EU har hittills misslyckats fullständigt med sitt system för utsläppsrättigheter. Vi menar att den här sortens ekonomiska fiaskon hänger tätt ihop med EU:s konstruktion, där kommissionens tjänst</w:t>
      </w:r>
      <w:r w:rsidRPr="004E591B">
        <w:t>e</w:t>
      </w:r>
      <w:r w:rsidRPr="004E591B">
        <w:t>män trots sitt avgörande inflytande inte står under demokratisk kontroll</w:t>
      </w:r>
      <w:r w:rsidR="007C41CB" w:rsidRPr="004E591B">
        <w:t>.</w:t>
      </w:r>
    </w:p>
    <w:p w:rsidR="000071C2" w:rsidRPr="004E591B" w:rsidRDefault="000071C2" w:rsidP="00C42EE4">
      <w:pPr>
        <w:pStyle w:val="Normaltindrag"/>
        <w:sectPr w:rsidR="000071C2" w:rsidRPr="004E591B" w:rsidSect="00BC05C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code="9"/>
          <w:pgMar w:top="907" w:right="4649" w:bottom="4508" w:left="1304" w:header="340" w:footer="227" w:gutter="0"/>
          <w:cols w:space="720"/>
          <w:titlePg/>
          <w:docGrid w:linePitch="258"/>
        </w:sectPr>
      </w:pPr>
    </w:p>
    <w:p w:rsidR="00C42EE4" w:rsidRPr="004E591B" w:rsidRDefault="00C42EE4" w:rsidP="00E942D4">
      <w:pPr>
        <w:pStyle w:val="R1"/>
      </w:pPr>
      <w:r w:rsidRPr="004E591B">
        <w:t>Innehållsförteckning</w:t>
      </w:r>
    </w:p>
    <w:p w:rsidR="00612D09" w:rsidRPr="004E591B" w:rsidRDefault="00612D09">
      <w:pPr>
        <w:pStyle w:val="Innehll1"/>
        <w:rPr>
          <w:sz w:val="24"/>
          <w:szCs w:val="24"/>
        </w:rPr>
      </w:pPr>
      <w:r w:rsidRPr="004E591B">
        <w:t>Bakgrund</w:t>
      </w:r>
      <w:r w:rsidRPr="004E591B">
        <w:tab/>
      </w:r>
      <w:r w:rsidR="00C60865" w:rsidRPr="004E591B">
        <w:t>1</w:t>
      </w:r>
    </w:p>
    <w:p w:rsidR="00612D09" w:rsidRPr="004E591B" w:rsidRDefault="00612D09">
      <w:pPr>
        <w:pStyle w:val="Innehll2"/>
        <w:rPr>
          <w:sz w:val="24"/>
          <w:szCs w:val="24"/>
        </w:rPr>
      </w:pPr>
      <w:r w:rsidRPr="004E591B">
        <w:t>Kommissionens meddelande om budgetöversynen</w:t>
      </w:r>
      <w:r w:rsidRPr="004E591B">
        <w:tab/>
      </w:r>
      <w:r w:rsidR="00C60865" w:rsidRPr="004E591B">
        <w:t>2</w:t>
      </w:r>
    </w:p>
    <w:p w:rsidR="00612D09" w:rsidRPr="004E591B" w:rsidRDefault="00612D09">
      <w:pPr>
        <w:pStyle w:val="Innehll1"/>
        <w:rPr>
          <w:sz w:val="24"/>
          <w:szCs w:val="24"/>
        </w:rPr>
      </w:pPr>
      <w:r w:rsidRPr="004E591B">
        <w:t>EU-nämndens överväganden</w:t>
      </w:r>
      <w:r w:rsidRPr="004E591B">
        <w:tab/>
      </w:r>
      <w:r w:rsidR="00C60865" w:rsidRPr="004E591B">
        <w:t>4</w:t>
      </w:r>
    </w:p>
    <w:p w:rsidR="00612D09" w:rsidRPr="004E591B" w:rsidRDefault="00612D09">
      <w:pPr>
        <w:pStyle w:val="Innehll2"/>
        <w:rPr>
          <w:sz w:val="24"/>
          <w:szCs w:val="24"/>
        </w:rPr>
      </w:pPr>
      <w:r w:rsidRPr="004E591B">
        <w:t>Den nuvarande EU-budgetens förmåga att avspegla skiftande politiska prioriteringar</w:t>
      </w:r>
      <w:r w:rsidRPr="004E591B">
        <w:tab/>
      </w:r>
      <w:r w:rsidR="00C60865" w:rsidRPr="004E591B">
        <w:t>5</w:t>
      </w:r>
    </w:p>
    <w:p w:rsidR="00612D09" w:rsidRPr="004E591B" w:rsidRDefault="00612D09">
      <w:pPr>
        <w:pStyle w:val="Innehll2"/>
        <w:rPr>
          <w:sz w:val="24"/>
          <w:szCs w:val="24"/>
        </w:rPr>
      </w:pPr>
      <w:r w:rsidRPr="004E591B">
        <w:t>Utmaningar för en moderniserad EU-budget</w:t>
      </w:r>
      <w:r w:rsidRPr="004E591B">
        <w:tab/>
      </w:r>
      <w:r w:rsidR="00C60865" w:rsidRPr="004E591B">
        <w:t>5</w:t>
      </w:r>
    </w:p>
    <w:p w:rsidR="00612D09" w:rsidRPr="004E591B" w:rsidRDefault="00612D09">
      <w:pPr>
        <w:pStyle w:val="Innehll2"/>
        <w:rPr>
          <w:sz w:val="24"/>
          <w:szCs w:val="24"/>
        </w:rPr>
      </w:pPr>
      <w:r w:rsidRPr="004E591B">
        <w:t>Budgetens finansiering</w:t>
      </w:r>
      <w:r w:rsidRPr="004E591B">
        <w:tab/>
      </w:r>
      <w:r w:rsidR="00C60865" w:rsidRPr="004E591B">
        <w:t>6</w:t>
      </w:r>
    </w:p>
    <w:p w:rsidR="00612D09" w:rsidRPr="004E591B" w:rsidRDefault="00612D09">
      <w:pPr>
        <w:pStyle w:val="Innehll1"/>
        <w:rPr>
          <w:sz w:val="24"/>
          <w:szCs w:val="24"/>
        </w:rPr>
      </w:pPr>
      <w:r w:rsidRPr="004E591B">
        <w:t>Avvikande meningar</w:t>
      </w:r>
      <w:r w:rsidRPr="004E591B">
        <w:tab/>
      </w:r>
      <w:r w:rsidR="00C60865" w:rsidRPr="004E591B">
        <w:t>8</w:t>
      </w:r>
    </w:p>
    <w:p w:rsidR="00DD6525" w:rsidRPr="004E591B" w:rsidRDefault="00DD6525" w:rsidP="00C42EE4"/>
    <w:p w:rsidR="00DD6525" w:rsidRPr="004E591B" w:rsidRDefault="00DD6525" w:rsidP="00DD6525">
      <w:pPr>
        <w:pStyle w:val="Tryckort"/>
        <w:framePr w:wrap="around"/>
        <w:jc w:val="right"/>
      </w:pPr>
      <w:r w:rsidRPr="004E591B">
        <w:t>Elanders, Vällingby  2008</w:t>
      </w:r>
    </w:p>
    <w:p w:rsidR="00C42EE4" w:rsidRPr="004E591B" w:rsidRDefault="00C42EE4" w:rsidP="00DD6525">
      <w:pPr>
        <w:pStyle w:val="Normaltindrag"/>
      </w:pPr>
    </w:p>
    <w:sectPr w:rsidR="00C42EE4" w:rsidRPr="004E591B" w:rsidSect="00BC05C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957" w:rsidRPr="004E591B" w:rsidRDefault="00761957">
      <w:r w:rsidRPr="004E591B">
        <w:separator/>
      </w:r>
    </w:p>
  </w:endnote>
  <w:endnote w:type="continuationSeparator" w:id="0">
    <w:p w:rsidR="00761957" w:rsidRPr="004E591B" w:rsidRDefault="00761957">
      <w:r w:rsidRPr="004E5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t>2</w:t>
    </w:r>
    <w:r w:rsidRPr="004E591B">
      <w:fldChar w:fldCharType="end"/>
    </w:r>
  </w:p>
  <w:p w:rsidR="009D17FA" w:rsidRPr="004E591B" w:rsidRDefault="009D17F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Pr="004E591B">
      <w:t>2</w:t>
    </w:r>
    <w:r w:rsidRPr="004E591B">
      <w:fldChar w:fldCharType="end"/>
    </w:r>
  </w:p>
  <w:p w:rsidR="009D17FA" w:rsidRPr="004E591B" w:rsidRDefault="009D17F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H"/>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Pr="004E591B">
      <w:t>3</w:t>
    </w:r>
    <w:r w:rsidRPr="004E591B">
      <w:fldChar w:fldCharType="end"/>
    </w:r>
  </w:p>
  <w:p w:rsidR="009D17FA" w:rsidRPr="004E591B" w:rsidRDefault="009D17F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if </w:instrText>
    </w:r>
    <w:r w:rsidRPr="004E591B">
      <w:fldChar w:fldCharType="begin" w:fldLock="1"/>
    </w:r>
    <w:r w:rsidRPr="004E591B">
      <w:instrText xml:space="preserve"> = </w:instrText>
    </w:r>
    <w:r w:rsidRPr="004E591B">
      <w:fldChar w:fldCharType="begin" w:fldLock="1"/>
    </w:r>
    <w:r w:rsidRPr="004E591B">
      <w:instrText xml:space="preserve"> = </w:instrText>
    </w:r>
    <w:r w:rsidRPr="004E591B">
      <w:fldChar w:fldCharType="begin" w:fldLock="1"/>
    </w:r>
    <w:r w:rsidRPr="004E591B">
      <w:instrText xml:space="preserve"> page</w:instrText>
    </w:r>
    <w:r w:rsidRPr="004E591B">
      <w:fldChar w:fldCharType="separate"/>
    </w:r>
    <w:r w:rsidR="004400AB" w:rsidRPr="004E591B">
      <w:instrText>12</w:instrText>
    </w:r>
    <w:r w:rsidRPr="004E591B">
      <w:fldChar w:fldCharType="end"/>
    </w:r>
    <w:r w:rsidRPr="004E591B">
      <w:instrText xml:space="preserve">/2 </w:instrText>
    </w:r>
    <w:r w:rsidRPr="004E591B">
      <w:fldChar w:fldCharType="separate"/>
    </w:r>
    <w:r w:rsidR="004400AB" w:rsidRPr="004E591B">
      <w:instrText>6</w:instrText>
    </w:r>
    <w:r w:rsidRPr="004E591B">
      <w:fldChar w:fldCharType="end"/>
    </w:r>
    <w:r w:rsidRPr="004E591B">
      <w:instrText xml:space="preserve"> - </w:instrText>
    </w:r>
    <w:r w:rsidRPr="004E591B">
      <w:fldChar w:fldCharType="begin" w:fldLock="1"/>
    </w:r>
    <w:r w:rsidRPr="004E591B">
      <w:instrText xml:space="preserve"> = int(</w:instrText>
    </w:r>
    <w:r w:rsidRPr="004E591B">
      <w:fldChar w:fldCharType="begin" w:fldLock="1"/>
    </w:r>
    <w:r w:rsidRPr="004E591B">
      <w:instrText xml:space="preserve"> page</w:instrText>
    </w:r>
    <w:r w:rsidRPr="004E591B">
      <w:fldChar w:fldCharType="separate"/>
    </w:r>
    <w:r w:rsidR="004400AB" w:rsidRPr="004E591B">
      <w:instrText>12</w:instrText>
    </w:r>
    <w:r w:rsidRPr="004E591B">
      <w:fldChar w:fldCharType="end"/>
    </w:r>
    <w:r w:rsidRPr="004E591B">
      <w:instrText xml:space="preserve">/2) </w:instrText>
    </w:r>
    <w:r w:rsidRPr="004E591B">
      <w:fldChar w:fldCharType="separate"/>
    </w:r>
    <w:r w:rsidR="004400AB" w:rsidRPr="004E591B">
      <w:instrText>6</w:instrText>
    </w:r>
    <w:r w:rsidRPr="004E591B">
      <w:fldChar w:fldCharType="end"/>
    </w:r>
    <w:r w:rsidRPr="004E591B">
      <w:fldChar w:fldCharType="separate"/>
    </w:r>
    <w:r w:rsidR="004400AB" w:rsidRPr="004E591B">
      <w:instrText>0</w:instrText>
    </w:r>
    <w:r w:rsidRPr="004E591B">
      <w:fldChar w:fldCharType="end"/>
    </w:r>
    <w:r w:rsidRPr="004E591B">
      <w:instrText xml:space="preserve"> = 0 "</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instrText>12</w:instrText>
    </w:r>
    <w:r w:rsidRPr="004E591B">
      <w:fldChar w:fldCharType="end"/>
    </w:r>
  </w:p>
  <w:p w:rsidR="004400AB" w:rsidRPr="004E591B" w:rsidRDefault="009D17FA">
    <w:pPr>
      <w:pStyle w:val="SidfotV"/>
      <w:framePr w:w="8732" w:h="284" w:hRule="exact" w:hSpace="0" w:vSpace="0" w:wrap="around" w:xAlign="inside" w:y="13042" w:anchorLock="0"/>
    </w:pPr>
    <w:r w:rsidRPr="004E591B">
      <w:instrText>""</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Pr="004E591B">
      <w:instrText>11</w:instrText>
    </w:r>
    <w:r w:rsidRPr="004E591B">
      <w:fldChar w:fldCharType="end"/>
    </w:r>
    <w:r w:rsidRPr="004E591B">
      <w:instrText>"</w:instrText>
    </w:r>
    <w:r w:rsidRPr="004E591B">
      <w:fldChar w:fldCharType="separate"/>
    </w:r>
    <w:r w:rsidR="004400AB" w:rsidRPr="004E591B">
      <w:t>12</w:t>
    </w:r>
  </w:p>
  <w:p w:rsidR="009D17FA" w:rsidRPr="004E591B" w:rsidRDefault="009D17FA">
    <w:pPr>
      <w:pStyle w:val="SidfotH"/>
      <w:framePr w:w="8732" w:h="284" w:hRule="exact" w:hSpace="0" w:vSpace="0" w:wrap="around" w:xAlign="inside" w:y="13042" w:anchorLock="0"/>
    </w:pPr>
    <w:r w:rsidRPr="004E591B">
      <w:fldChar w:fldCharType="end"/>
    </w:r>
  </w:p>
  <w:p w:rsidR="009D17FA" w:rsidRPr="004E591B" w:rsidRDefault="009D17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H"/>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t>3</w:t>
    </w:r>
    <w:r w:rsidRPr="004E591B">
      <w:fldChar w:fldCharType="end"/>
    </w:r>
  </w:p>
  <w:p w:rsidR="009D17FA" w:rsidRPr="004E591B" w:rsidRDefault="009D17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if </w:instrText>
    </w:r>
    <w:r w:rsidRPr="004E591B">
      <w:fldChar w:fldCharType="begin" w:fldLock="1"/>
    </w:r>
    <w:r w:rsidRPr="004E591B">
      <w:instrText xml:space="preserve"> = </w:instrText>
    </w:r>
    <w:r w:rsidRPr="004E591B">
      <w:fldChar w:fldCharType="begin" w:fldLock="1"/>
    </w:r>
    <w:r w:rsidRPr="004E591B">
      <w:instrText xml:space="preserve"> = </w:instrText>
    </w:r>
    <w:r w:rsidRPr="004E591B">
      <w:fldChar w:fldCharType="begin" w:fldLock="1"/>
    </w:r>
    <w:r w:rsidRPr="004E591B">
      <w:instrText xml:space="preserve"> page</w:instrText>
    </w:r>
    <w:r w:rsidRPr="004E591B">
      <w:fldChar w:fldCharType="separate"/>
    </w:r>
    <w:r w:rsidR="004E591B">
      <w:rPr>
        <w:noProof/>
      </w:rPr>
      <w:instrText>1</w:instrText>
    </w:r>
    <w:r w:rsidRPr="004E591B">
      <w:fldChar w:fldCharType="end"/>
    </w:r>
    <w:r w:rsidRPr="004E591B">
      <w:instrText xml:space="preserve">/2 </w:instrText>
    </w:r>
    <w:r w:rsidRPr="004E591B">
      <w:fldChar w:fldCharType="separate"/>
    </w:r>
    <w:r w:rsidR="004E591B">
      <w:rPr>
        <w:noProof/>
      </w:rPr>
      <w:instrText>0,5</w:instrText>
    </w:r>
    <w:r w:rsidRPr="004E591B">
      <w:fldChar w:fldCharType="end"/>
    </w:r>
    <w:r w:rsidRPr="004E591B">
      <w:instrText xml:space="preserve"> - </w:instrText>
    </w:r>
    <w:r w:rsidRPr="004E591B">
      <w:fldChar w:fldCharType="begin" w:fldLock="1"/>
    </w:r>
    <w:r w:rsidRPr="004E591B">
      <w:instrText xml:space="preserve"> = int(</w:instrText>
    </w:r>
    <w:r w:rsidRPr="004E591B">
      <w:fldChar w:fldCharType="begin" w:fldLock="1"/>
    </w:r>
    <w:r w:rsidRPr="004E591B">
      <w:instrText xml:space="preserve"> page</w:instrText>
    </w:r>
    <w:r w:rsidRPr="004E591B">
      <w:fldChar w:fldCharType="separate"/>
    </w:r>
    <w:r w:rsidR="004E591B">
      <w:rPr>
        <w:noProof/>
      </w:rPr>
      <w:instrText>1</w:instrText>
    </w:r>
    <w:r w:rsidRPr="004E591B">
      <w:fldChar w:fldCharType="end"/>
    </w:r>
    <w:r w:rsidRPr="004E591B">
      <w:instrText xml:space="preserve">/2) </w:instrText>
    </w:r>
    <w:r w:rsidRPr="004E591B">
      <w:fldChar w:fldCharType="separate"/>
    </w:r>
    <w:r w:rsidR="004E591B">
      <w:rPr>
        <w:noProof/>
      </w:rPr>
      <w:instrText>0</w:instrText>
    </w:r>
    <w:r w:rsidRPr="004E591B">
      <w:fldChar w:fldCharType="end"/>
    </w:r>
    <w:r w:rsidRPr="004E591B">
      <w:fldChar w:fldCharType="separate"/>
    </w:r>
    <w:r w:rsidR="004E591B">
      <w:rPr>
        <w:noProof/>
      </w:rPr>
      <w:instrText>0,5</w:instrText>
    </w:r>
    <w:r w:rsidRPr="004E591B">
      <w:fldChar w:fldCharType="end"/>
    </w:r>
    <w:r w:rsidRPr="004E591B">
      <w:instrText xml:space="preserve"> = 0 "</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Pr="004E591B">
      <w:instrText>14</w:instrText>
    </w:r>
    <w:r w:rsidRPr="004E591B">
      <w:fldChar w:fldCharType="end"/>
    </w:r>
  </w:p>
  <w:p w:rsidR="009D17FA" w:rsidRPr="004E591B" w:rsidRDefault="009D17FA">
    <w:pPr>
      <w:pStyle w:val="SidfotH"/>
      <w:framePr w:w="8732" w:h="284" w:hRule="exact" w:hSpace="0" w:vSpace="0" w:wrap="around" w:xAlign="inside" w:y="13042" w:anchorLock="0"/>
    </w:pPr>
    <w:r w:rsidRPr="004E591B">
      <w:instrText>""</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E591B">
      <w:rPr>
        <w:noProof/>
      </w:rPr>
      <w:instrText>1</w:instrText>
    </w:r>
    <w:r w:rsidRPr="004E591B">
      <w:fldChar w:fldCharType="end"/>
    </w:r>
    <w:r w:rsidRPr="004E591B">
      <w:instrText>"</w:instrText>
    </w:r>
    <w:r w:rsidRPr="004E591B">
      <w:fldChar w:fldCharType="separate"/>
    </w:r>
    <w:r w:rsidR="004E591B">
      <w:rPr>
        <w:noProof/>
      </w:rPr>
      <w:t>1</w:t>
    </w:r>
    <w:r w:rsidRPr="004E591B">
      <w:fldChar w:fldCharType="end"/>
    </w:r>
  </w:p>
  <w:p w:rsidR="009D17FA" w:rsidRPr="004E591B" w:rsidRDefault="009D17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t>6</w:t>
    </w:r>
    <w:r w:rsidRPr="004E591B">
      <w:fldChar w:fldCharType="end"/>
    </w:r>
  </w:p>
  <w:p w:rsidR="009D17FA" w:rsidRPr="004E591B" w:rsidRDefault="009D17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H"/>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t>7</w:t>
    </w:r>
    <w:r w:rsidRPr="004E591B">
      <w:fldChar w:fldCharType="end"/>
    </w:r>
  </w:p>
  <w:p w:rsidR="009D17FA" w:rsidRPr="004E591B" w:rsidRDefault="009D17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if </w:instrText>
    </w:r>
    <w:r w:rsidRPr="004E591B">
      <w:fldChar w:fldCharType="begin" w:fldLock="1"/>
    </w:r>
    <w:r w:rsidRPr="004E591B">
      <w:instrText xml:space="preserve"> = </w:instrText>
    </w:r>
    <w:r w:rsidRPr="004E591B">
      <w:fldChar w:fldCharType="begin" w:fldLock="1"/>
    </w:r>
    <w:r w:rsidRPr="004E591B">
      <w:instrText xml:space="preserve"> = </w:instrText>
    </w:r>
    <w:r w:rsidRPr="004E591B">
      <w:fldChar w:fldCharType="begin" w:fldLock="1"/>
    </w:r>
    <w:r w:rsidRPr="004E591B">
      <w:instrText xml:space="preserve"> page</w:instrText>
    </w:r>
    <w:r w:rsidRPr="004E591B">
      <w:fldChar w:fldCharType="separate"/>
    </w:r>
    <w:r w:rsidR="004400AB" w:rsidRPr="004E591B">
      <w:instrText>4</w:instrText>
    </w:r>
    <w:r w:rsidRPr="004E591B">
      <w:fldChar w:fldCharType="end"/>
    </w:r>
    <w:r w:rsidRPr="004E591B">
      <w:instrText xml:space="preserve">/2 </w:instrText>
    </w:r>
    <w:r w:rsidRPr="004E591B">
      <w:fldChar w:fldCharType="separate"/>
    </w:r>
    <w:r w:rsidR="004400AB" w:rsidRPr="004E591B">
      <w:instrText>2</w:instrText>
    </w:r>
    <w:r w:rsidRPr="004E591B">
      <w:fldChar w:fldCharType="end"/>
    </w:r>
    <w:r w:rsidRPr="004E591B">
      <w:instrText xml:space="preserve"> - </w:instrText>
    </w:r>
    <w:r w:rsidRPr="004E591B">
      <w:fldChar w:fldCharType="begin" w:fldLock="1"/>
    </w:r>
    <w:r w:rsidRPr="004E591B">
      <w:instrText xml:space="preserve"> = int(</w:instrText>
    </w:r>
    <w:r w:rsidRPr="004E591B">
      <w:fldChar w:fldCharType="begin" w:fldLock="1"/>
    </w:r>
    <w:r w:rsidRPr="004E591B">
      <w:instrText xml:space="preserve"> page</w:instrText>
    </w:r>
    <w:r w:rsidRPr="004E591B">
      <w:fldChar w:fldCharType="separate"/>
    </w:r>
    <w:r w:rsidR="004400AB" w:rsidRPr="004E591B">
      <w:instrText>4</w:instrText>
    </w:r>
    <w:r w:rsidRPr="004E591B">
      <w:fldChar w:fldCharType="end"/>
    </w:r>
    <w:r w:rsidRPr="004E591B">
      <w:instrText xml:space="preserve">/2) </w:instrText>
    </w:r>
    <w:r w:rsidRPr="004E591B">
      <w:fldChar w:fldCharType="separate"/>
    </w:r>
    <w:r w:rsidR="004400AB" w:rsidRPr="004E591B">
      <w:instrText>2</w:instrText>
    </w:r>
    <w:r w:rsidRPr="004E591B">
      <w:fldChar w:fldCharType="end"/>
    </w:r>
    <w:r w:rsidRPr="004E591B">
      <w:fldChar w:fldCharType="separate"/>
    </w:r>
    <w:r w:rsidR="004400AB" w:rsidRPr="004E591B">
      <w:instrText>0</w:instrText>
    </w:r>
    <w:r w:rsidRPr="004E591B">
      <w:fldChar w:fldCharType="end"/>
    </w:r>
    <w:r w:rsidRPr="004E591B">
      <w:instrText xml:space="preserve"> = 0 "</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instrText>4</w:instrText>
    </w:r>
    <w:r w:rsidRPr="004E591B">
      <w:fldChar w:fldCharType="end"/>
    </w:r>
  </w:p>
  <w:p w:rsidR="004400AB" w:rsidRPr="004E591B" w:rsidRDefault="009D17FA">
    <w:pPr>
      <w:pStyle w:val="SidfotV"/>
      <w:framePr w:w="8732" w:h="284" w:hRule="exact" w:hSpace="0" w:vSpace="0" w:wrap="around" w:xAlign="inside" w:y="13042" w:anchorLock="0"/>
    </w:pPr>
    <w:r w:rsidRPr="004E591B">
      <w:instrText>""</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Pr="004E591B">
      <w:instrText>5</w:instrText>
    </w:r>
    <w:r w:rsidRPr="004E591B">
      <w:fldChar w:fldCharType="end"/>
    </w:r>
    <w:r w:rsidRPr="004E591B">
      <w:instrText>"</w:instrText>
    </w:r>
    <w:r w:rsidRPr="004E591B">
      <w:fldChar w:fldCharType="separate"/>
    </w:r>
    <w:r w:rsidR="004400AB" w:rsidRPr="004E591B">
      <w:t>4</w:t>
    </w:r>
  </w:p>
  <w:p w:rsidR="009D17FA" w:rsidRPr="004E591B" w:rsidRDefault="009D17FA">
    <w:pPr>
      <w:pStyle w:val="SidfotH"/>
      <w:framePr w:w="8732" w:h="284" w:hRule="exact" w:hSpace="0" w:vSpace="0" w:wrap="around" w:xAlign="inside" w:y="13042" w:anchorLock="0"/>
    </w:pPr>
    <w:r w:rsidRPr="004E591B">
      <w:fldChar w:fldCharType="end"/>
    </w:r>
  </w:p>
  <w:p w:rsidR="009D17FA" w:rsidRPr="004E591B" w:rsidRDefault="009D17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t>10</w:t>
    </w:r>
    <w:r w:rsidRPr="004E591B">
      <w:fldChar w:fldCharType="end"/>
    </w:r>
  </w:p>
  <w:p w:rsidR="009D17FA" w:rsidRPr="004E591B" w:rsidRDefault="009D17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H"/>
      <w:framePr w:w="8732" w:h="284" w:hRule="exact" w:hSpace="0" w:vSpace="0" w:wrap="around" w:xAlign="inside" w:y="13042" w:anchorLock="0"/>
    </w:pP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t>11</w:t>
    </w:r>
    <w:r w:rsidRPr="004E591B">
      <w:fldChar w:fldCharType="end"/>
    </w:r>
  </w:p>
  <w:p w:rsidR="009D17FA" w:rsidRPr="004E591B" w:rsidRDefault="009D17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fotV"/>
      <w:framePr w:w="8732" w:h="284" w:hRule="exact" w:hSpace="0" w:vSpace="0" w:wrap="around" w:xAlign="inside" w:y="13042" w:anchorLock="0"/>
    </w:pPr>
    <w:r w:rsidRPr="004E591B">
      <w:fldChar w:fldCharType="begin" w:fldLock="1"/>
    </w:r>
    <w:r w:rsidRPr="004E591B">
      <w:instrText xml:space="preserve"> if </w:instrText>
    </w:r>
    <w:r w:rsidRPr="004E591B">
      <w:fldChar w:fldCharType="begin" w:fldLock="1"/>
    </w:r>
    <w:r w:rsidRPr="004E591B">
      <w:instrText xml:space="preserve"> = </w:instrText>
    </w:r>
    <w:r w:rsidRPr="004E591B">
      <w:fldChar w:fldCharType="begin" w:fldLock="1"/>
    </w:r>
    <w:r w:rsidRPr="004E591B">
      <w:instrText xml:space="preserve"> = </w:instrText>
    </w:r>
    <w:r w:rsidRPr="004E591B">
      <w:fldChar w:fldCharType="begin" w:fldLock="1"/>
    </w:r>
    <w:r w:rsidRPr="004E591B">
      <w:instrText xml:space="preserve"> page</w:instrText>
    </w:r>
    <w:r w:rsidRPr="004E591B">
      <w:fldChar w:fldCharType="separate"/>
    </w:r>
    <w:r w:rsidR="004400AB" w:rsidRPr="004E591B">
      <w:instrText>8</w:instrText>
    </w:r>
    <w:r w:rsidRPr="004E591B">
      <w:fldChar w:fldCharType="end"/>
    </w:r>
    <w:r w:rsidRPr="004E591B">
      <w:instrText xml:space="preserve">/2 </w:instrText>
    </w:r>
    <w:r w:rsidRPr="004E591B">
      <w:fldChar w:fldCharType="separate"/>
    </w:r>
    <w:r w:rsidR="004400AB" w:rsidRPr="004E591B">
      <w:instrText>4</w:instrText>
    </w:r>
    <w:r w:rsidRPr="004E591B">
      <w:fldChar w:fldCharType="end"/>
    </w:r>
    <w:r w:rsidRPr="004E591B">
      <w:instrText xml:space="preserve"> - </w:instrText>
    </w:r>
    <w:r w:rsidRPr="004E591B">
      <w:fldChar w:fldCharType="begin" w:fldLock="1"/>
    </w:r>
    <w:r w:rsidRPr="004E591B">
      <w:instrText xml:space="preserve"> = int(</w:instrText>
    </w:r>
    <w:r w:rsidRPr="004E591B">
      <w:fldChar w:fldCharType="begin" w:fldLock="1"/>
    </w:r>
    <w:r w:rsidRPr="004E591B">
      <w:instrText xml:space="preserve"> page</w:instrText>
    </w:r>
    <w:r w:rsidRPr="004E591B">
      <w:fldChar w:fldCharType="separate"/>
    </w:r>
    <w:r w:rsidR="004400AB" w:rsidRPr="004E591B">
      <w:instrText>8</w:instrText>
    </w:r>
    <w:r w:rsidRPr="004E591B">
      <w:fldChar w:fldCharType="end"/>
    </w:r>
    <w:r w:rsidRPr="004E591B">
      <w:instrText xml:space="preserve">/2) </w:instrText>
    </w:r>
    <w:r w:rsidRPr="004E591B">
      <w:fldChar w:fldCharType="separate"/>
    </w:r>
    <w:r w:rsidR="004400AB" w:rsidRPr="004E591B">
      <w:instrText>4</w:instrText>
    </w:r>
    <w:r w:rsidRPr="004E591B">
      <w:fldChar w:fldCharType="end"/>
    </w:r>
    <w:r w:rsidRPr="004E591B">
      <w:fldChar w:fldCharType="separate"/>
    </w:r>
    <w:r w:rsidR="004400AB" w:rsidRPr="004E591B">
      <w:instrText>0</w:instrText>
    </w:r>
    <w:r w:rsidRPr="004E591B">
      <w:fldChar w:fldCharType="end"/>
    </w:r>
    <w:r w:rsidRPr="004E591B">
      <w:instrText xml:space="preserve"> = 0 "</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004400AB" w:rsidRPr="004E591B">
      <w:instrText>8</w:instrText>
    </w:r>
    <w:r w:rsidRPr="004E591B">
      <w:fldChar w:fldCharType="end"/>
    </w:r>
  </w:p>
  <w:p w:rsidR="004400AB" w:rsidRPr="004E591B" w:rsidRDefault="009D17FA">
    <w:pPr>
      <w:pStyle w:val="SidfotV"/>
      <w:framePr w:w="8732" w:h="284" w:hRule="exact" w:hSpace="0" w:vSpace="0" w:wrap="around" w:xAlign="inside" w:y="13042" w:anchorLock="0"/>
    </w:pPr>
    <w:r w:rsidRPr="004E591B">
      <w:instrText>""</w:instrText>
    </w:r>
    <w:r w:rsidRPr="004E591B">
      <w:fldChar w:fldCharType="begin" w:fldLock="1"/>
    </w:r>
    <w:r w:rsidRPr="004E591B">
      <w:instrText xml:space="preserve"> P</w:instrText>
    </w:r>
    <w:r w:rsidRPr="004E591B">
      <w:instrText>A</w:instrText>
    </w:r>
    <w:r w:rsidRPr="004E591B">
      <w:instrText xml:space="preserve">GE </w:instrText>
    </w:r>
    <w:r w:rsidRPr="004E591B">
      <w:fldChar w:fldCharType="separate"/>
    </w:r>
    <w:r w:rsidRPr="004E591B">
      <w:instrText>9</w:instrText>
    </w:r>
    <w:r w:rsidRPr="004E591B">
      <w:fldChar w:fldCharType="end"/>
    </w:r>
    <w:r w:rsidRPr="004E591B">
      <w:instrText>"</w:instrText>
    </w:r>
    <w:r w:rsidRPr="004E591B">
      <w:fldChar w:fldCharType="separate"/>
    </w:r>
    <w:r w:rsidR="004400AB" w:rsidRPr="004E591B">
      <w:t>8</w:t>
    </w:r>
  </w:p>
  <w:p w:rsidR="009D17FA" w:rsidRPr="004E591B" w:rsidRDefault="009D17FA">
    <w:pPr>
      <w:pStyle w:val="SidfotH"/>
      <w:framePr w:w="8732" w:h="284" w:hRule="exact" w:hSpace="0" w:vSpace="0" w:wrap="around" w:xAlign="inside" w:y="13042" w:anchorLock="0"/>
    </w:pPr>
    <w:r w:rsidRPr="004E591B">
      <w:fldChar w:fldCharType="end"/>
    </w:r>
  </w:p>
  <w:p w:rsidR="009D17FA" w:rsidRPr="004E591B" w:rsidRDefault="009D1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957" w:rsidRPr="004E591B" w:rsidRDefault="00761957" w:rsidP="001F7F20">
      <w:pPr>
        <w:pStyle w:val="Sidfot"/>
      </w:pPr>
    </w:p>
  </w:footnote>
  <w:footnote w:type="continuationSeparator" w:id="0">
    <w:p w:rsidR="00761957" w:rsidRPr="004E591B" w:rsidRDefault="00761957">
      <w:r w:rsidRPr="004E591B">
        <w:continuationSeparator/>
      </w:r>
    </w:p>
  </w:footnote>
  <w:footnote w:id="1">
    <w:p w:rsidR="009D17FA" w:rsidRPr="004E591B" w:rsidRDefault="009D17FA" w:rsidP="0096107E">
      <w:pPr>
        <w:pStyle w:val="Fotnotstext"/>
        <w:rPr>
          <w:rStyle w:val="FotnotstextindragChar"/>
        </w:rPr>
      </w:pPr>
      <w:r w:rsidRPr="004E591B">
        <w:rPr>
          <w:rStyle w:val="Fotnotsreferens"/>
        </w:rPr>
        <w:footnoteRef/>
      </w:r>
      <w:r w:rsidRPr="004E591B">
        <w:t xml:space="preserve"> </w:t>
      </w:r>
      <w:r w:rsidRPr="004E591B">
        <w:rPr>
          <w:rStyle w:val="FotnotstextindragChar"/>
        </w:rPr>
        <w:t>Viktiga frågor är följande: en avvägning mellan behoven att sprida och koncentrera de ekonomiska resurserna; en avvägning mellan centraliserad och decentraliserad förvaltning; fortsatta förenklingar och stärkta genomförandeinstrument; EU-medlens hävstångseffekt; utnyttjande av genomförandeorgan; samfinansiering samt öppenhet, synlighet och ansvar för budgetens förvaltning.</w:t>
      </w:r>
    </w:p>
  </w:footnote>
  <w:footnote w:id="2">
    <w:p w:rsidR="009D17FA" w:rsidRPr="004E591B" w:rsidRDefault="009D17FA">
      <w:pPr>
        <w:pStyle w:val="Fotnotstext"/>
      </w:pPr>
      <w:r w:rsidRPr="004E591B">
        <w:rPr>
          <w:rStyle w:val="Fotnotsreferens"/>
        </w:rPr>
        <w:footnoteRef/>
      </w:r>
      <w:r w:rsidRPr="004E591B">
        <w:t xml:space="preserve"> Se EU-nämndens protokoll 2007/08:24 §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huvudKantJmn"/>
      <w:framePr w:w="8732" w:h="567" w:hRule="exact" w:vSpace="0" w:wrap="around" w:vAnchor="page" w:y="341" w:anchorLock="0"/>
    </w:pPr>
    <w:r w:rsidRPr="004E591B">
      <w:rPr>
        <w:rStyle w:val="SidhuvudUtskott"/>
      </w:rPr>
      <w:fldChar w:fldCharType="begin" w:fldLock="1"/>
    </w:r>
    <w:r w:rsidRPr="004E591B">
      <w:rPr>
        <w:rStyle w:val="SidhuvudUtskott"/>
      </w:rPr>
      <w:instrText xml:space="preserve"> DOCPROPERTY BetänkandeÅr</w:instrText>
    </w:r>
    <w:r w:rsidRPr="004E591B">
      <w:rPr>
        <w:rStyle w:val="SidhuvudUtskott"/>
      </w:rPr>
      <w:fldChar w:fldCharType="separate"/>
    </w:r>
    <w:r w:rsidRPr="004E591B">
      <w:rPr>
        <w:rStyle w:val="SidhuvudUtskott"/>
      </w:rPr>
      <w:t>2007/08</w:t>
    </w:r>
    <w:r w:rsidRPr="004E591B">
      <w:rPr>
        <w:rStyle w:val="SidhuvudUtskott"/>
      </w:rPr>
      <w:fldChar w:fldCharType="end"/>
    </w:r>
    <w:r w:rsidRPr="004E591B">
      <w:rPr>
        <w:rStyle w:val="SidhuvudUtskott"/>
      </w:rPr>
      <w:t>:</w:t>
    </w:r>
    <w:r w:rsidRPr="004E591B">
      <w:rPr>
        <w:rStyle w:val="SidhuvudUtskott"/>
      </w:rPr>
      <w:fldChar w:fldCharType="begin" w:fldLock="1"/>
    </w:r>
    <w:r w:rsidRPr="004E591B">
      <w:rPr>
        <w:rStyle w:val="SidhuvudUtskott"/>
      </w:rPr>
      <w:instrText xml:space="preserve"> DOCPROPERTY Utskott</w:instrText>
    </w:r>
    <w:r w:rsidRPr="004E591B">
      <w:rPr>
        <w:rStyle w:val="SidhuvudUtskott"/>
      </w:rPr>
      <w:fldChar w:fldCharType="separate"/>
    </w:r>
    <w:r w:rsidRPr="004E591B">
      <w:rPr>
        <w:rStyle w:val="SidhuvudUtskott"/>
      </w:rPr>
      <w:t>EUN</w: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DOCPROPERTY BetänkandeNr</w:instrText>
    </w:r>
    <w:r w:rsidRPr="004E591B">
      <w:rPr>
        <w:rStyle w:val="SidhuvudUtskott"/>
      </w:rPr>
      <w:fldChar w:fldCharType="separate"/>
    </w:r>
    <w:r w:rsidRPr="004E591B">
      <w:rPr>
        <w:rStyle w:val="SidhuvudUtskott"/>
      </w:rPr>
      <w:t>1y</w:t>
    </w:r>
    <w:r w:rsidRPr="004E591B">
      <w:rPr>
        <w:rStyle w:val="SidhuvudUtskott"/>
      </w:rPr>
      <w:fldChar w:fldCharType="end"/>
    </w:r>
    <w:r w:rsidRPr="004E591B">
      <w:t xml:space="preserve">     </w:t>
    </w:r>
    <w:r w:rsidRPr="004E591B">
      <w:rPr>
        <w:rStyle w:val="SidhuvudBilaga"/>
      </w:rPr>
      <w:t xml:space="preserve"> </w:t>
    </w:r>
    <w:r w:rsidRPr="004E591B">
      <w:rPr>
        <w:rStyle w:val="SidhuvudRubrikReferens"/>
      </w:rPr>
      <w:fldChar w:fldCharType="begin" w:fldLock="1"/>
    </w:r>
    <w:r w:rsidRPr="004E591B">
      <w:rPr>
        <w:rStyle w:val="SidhuvudRubrikReferens"/>
      </w:rPr>
      <w:instrText xml:space="preserve"> StyleREF "Rubrik 1" </w:instrText>
    </w:r>
    <w:r w:rsidRPr="004E591B">
      <w:rPr>
        <w:rStyle w:val="SidhuvudRubrikReferens"/>
      </w:rPr>
      <w:fldChar w:fldCharType="separate"/>
    </w:r>
    <w:r w:rsidR="004400AB" w:rsidRPr="004E591B">
      <w:rPr>
        <w:rStyle w:val="SidhuvudRubrikReferens"/>
      </w:rPr>
      <w:t>Bakgrund</w:t>
    </w:r>
    <w:r w:rsidRPr="004E591B">
      <w:rPr>
        <w:rStyle w:val="SidhuvudRubrikReferens"/>
      </w:rPr>
      <w:fldChar w:fldCharType="end"/>
    </w:r>
  </w:p>
  <w:p w:rsidR="009D17FA" w:rsidRPr="004E591B" w:rsidRDefault="009D17FA">
    <w:pPr>
      <w:pStyle w:val="SidhuvudKantJmn"/>
      <w:framePr w:w="8732" w:h="567" w:hRule="exact" w:vSpace="0" w:wrap="around" w:vAnchor="page" w:y="341" w:anchorLock="0"/>
    </w:pPr>
    <w:r w:rsidRPr="004E591B">
      <w:rPr>
        <w:rStyle w:val="SidhuvudUtskott"/>
      </w:rPr>
      <w:fldChar w:fldCharType="begin" w:fldLock="1"/>
    </w:r>
    <w:r w:rsidRPr="004E591B">
      <w:rPr>
        <w:rStyle w:val="SidhuvudUtskott"/>
      </w:rPr>
      <w:instrText xml:space="preserve"> DOCPROPERTY Status</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if </w:instrText>
    </w:r>
    <w:r w:rsidRPr="004E591B">
      <w:rPr>
        <w:rStyle w:val="SidhuvudUtskott"/>
      </w:rPr>
      <w:fldChar w:fldCharType="begin" w:fldLock="1"/>
    </w:r>
    <w:r w:rsidRPr="004E591B">
      <w:rPr>
        <w:rStyle w:val="SidhuvudUtskott"/>
      </w:rPr>
      <w:instrText xml:space="preserve"> DOCPROPERTY "UtkastDatum"</w:instrText>
    </w:r>
    <w:r w:rsidRPr="004E591B">
      <w:rPr>
        <w:rStyle w:val="SidhuvudUtskott"/>
      </w:rPr>
      <w:fldChar w:fldCharType="separate"/>
    </w:r>
    <w:r w:rsidRPr="004E591B">
      <w:rPr>
        <w:rStyle w:val="SidhuvudUtskott"/>
      </w:rPr>
      <w:instrText>Nej</w:instrText>
    </w:r>
    <w:r w:rsidRPr="004E591B">
      <w:rPr>
        <w:rStyle w:val="SidhuvudUtskott"/>
      </w:rPr>
      <w:fldChar w:fldCharType="end"/>
    </w:r>
    <w:r w:rsidRPr="004E591B">
      <w:rPr>
        <w:rStyle w:val="SidhuvudUtskott"/>
      </w:rPr>
      <w:instrText xml:space="preserve"> = "Ja" "    </w:instrText>
    </w:r>
    <w:r w:rsidRPr="004E591B">
      <w:rPr>
        <w:rStyle w:val="SidhuvudUtskott"/>
      </w:rPr>
      <w:fldChar w:fldCharType="begin" w:fldLock="1"/>
    </w:r>
    <w:r w:rsidRPr="004E591B">
      <w:rPr>
        <w:rStyle w:val="SidhuvudUtskott"/>
      </w:rPr>
      <w:instrText xml:space="preserve"> PRINTDATE \@ "yyyy-MM-dd HH.mm" </w:instrText>
    </w:r>
    <w:r w:rsidRPr="004E591B">
      <w:rPr>
        <w:rStyle w:val="SidhuvudUtskott"/>
      </w:rPr>
      <w:fldChar w:fldCharType="separate"/>
    </w:r>
    <w:r w:rsidRPr="004E591B">
      <w:rPr>
        <w:rStyle w:val="SidhuvudUtskott"/>
      </w:rPr>
      <w:instrText>2000-08-11 16.42</w:instrText>
    </w:r>
    <w:r w:rsidRPr="004E591B">
      <w:rPr>
        <w:rStyle w:val="SidhuvudUtskott"/>
      </w:rPr>
      <w:fldChar w:fldCharType="end"/>
    </w:r>
    <w:r w:rsidRPr="004E591B">
      <w:rPr>
        <w:rStyle w:val="SidhuvudUtskott"/>
      </w:rPr>
      <w:instrText xml:space="preserve">" </w:instrText>
    </w:r>
    <w:r w:rsidRPr="004E591B">
      <w:rPr>
        <w:rStyle w:val="SidhuvudUtskott"/>
      </w:rPr>
      <w:fldChar w:fldCharType="end"/>
    </w:r>
  </w:p>
  <w:p w:rsidR="009D17FA" w:rsidRPr="004E591B" w:rsidRDefault="009D17F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huvudKantJmn"/>
      <w:framePr w:w="8732" w:h="567" w:hRule="exact" w:vSpace="0" w:wrap="around" w:vAnchor="page" w:y="341" w:anchorLock="0"/>
    </w:pPr>
    <w:r w:rsidRPr="004E591B">
      <w:rPr>
        <w:rStyle w:val="SidhuvudUtskott"/>
      </w:rPr>
      <w:fldChar w:fldCharType="begin" w:fldLock="1"/>
    </w:r>
    <w:r w:rsidRPr="004E591B">
      <w:rPr>
        <w:rStyle w:val="SidhuvudUtskott"/>
      </w:rPr>
      <w:instrText xml:space="preserve"> DOCPROPERTY BetänkandeÅr</w:instrText>
    </w:r>
    <w:r w:rsidRPr="004E591B">
      <w:rPr>
        <w:rStyle w:val="SidhuvudUtskott"/>
      </w:rPr>
      <w:fldChar w:fldCharType="separate"/>
    </w:r>
    <w:r w:rsidRPr="004E591B">
      <w:rPr>
        <w:rStyle w:val="SidhuvudUtskott"/>
      </w:rPr>
      <w:t>2007/08</w:t>
    </w:r>
    <w:r w:rsidRPr="004E591B">
      <w:rPr>
        <w:rStyle w:val="SidhuvudUtskott"/>
      </w:rPr>
      <w:fldChar w:fldCharType="end"/>
    </w:r>
    <w:r w:rsidRPr="004E591B">
      <w:rPr>
        <w:rStyle w:val="SidhuvudUtskott"/>
      </w:rPr>
      <w:t>:</w:t>
    </w:r>
    <w:r w:rsidRPr="004E591B">
      <w:rPr>
        <w:rStyle w:val="SidhuvudUtskott"/>
      </w:rPr>
      <w:fldChar w:fldCharType="begin" w:fldLock="1"/>
    </w:r>
    <w:r w:rsidRPr="004E591B">
      <w:rPr>
        <w:rStyle w:val="SidhuvudUtskott"/>
      </w:rPr>
      <w:instrText xml:space="preserve"> DOCPROPERTY Utskott</w:instrText>
    </w:r>
    <w:r w:rsidRPr="004E591B">
      <w:rPr>
        <w:rStyle w:val="SidhuvudUtskott"/>
      </w:rPr>
      <w:fldChar w:fldCharType="separate"/>
    </w:r>
    <w:r w:rsidRPr="004E591B">
      <w:rPr>
        <w:rStyle w:val="SidhuvudUtskott"/>
      </w:rPr>
      <w:t>EUN</w: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DOCPROPERTY BetänkandeNr</w:instrText>
    </w:r>
    <w:r w:rsidRPr="004E591B">
      <w:rPr>
        <w:rStyle w:val="SidhuvudUtskott"/>
      </w:rPr>
      <w:fldChar w:fldCharType="separate"/>
    </w:r>
    <w:r w:rsidRPr="004E591B">
      <w:rPr>
        <w:rStyle w:val="SidhuvudUtskott"/>
      </w:rPr>
      <w:t>1y</w:t>
    </w:r>
    <w:r w:rsidRPr="004E591B">
      <w:rPr>
        <w:rStyle w:val="SidhuvudUtskott"/>
      </w:rPr>
      <w:fldChar w:fldCharType="end"/>
    </w:r>
    <w:r w:rsidRPr="004E591B">
      <w:t xml:space="preserve">     </w:t>
    </w:r>
    <w:r w:rsidRPr="004E591B">
      <w:rPr>
        <w:rStyle w:val="SidhuvudBilaga"/>
      </w:rPr>
      <w:t xml:space="preserve"> </w:t>
    </w:r>
    <w:r w:rsidRPr="004E591B">
      <w:rPr>
        <w:rStyle w:val="SidhuvudRubrikReferens"/>
      </w:rPr>
      <w:fldChar w:fldCharType="begin" w:fldLock="1"/>
    </w:r>
    <w:r w:rsidRPr="004E591B">
      <w:rPr>
        <w:rStyle w:val="SidhuvudRubrikReferens"/>
      </w:rPr>
      <w:instrText xml:space="preserve"> StyleREF "Rubrik 1" </w:instrText>
    </w:r>
    <w:r w:rsidRPr="004E591B">
      <w:rPr>
        <w:rStyle w:val="SidhuvudRubrikReferens"/>
      </w:rPr>
      <w:fldChar w:fldCharType="separate"/>
    </w:r>
    <w:r w:rsidRPr="004E591B">
      <w:rPr>
        <w:rStyle w:val="SidhuvudRubrikReferens"/>
      </w:rPr>
      <w:t>Avvikande meningar</w:t>
    </w:r>
    <w:r w:rsidRPr="004E591B">
      <w:rPr>
        <w:rStyle w:val="SidhuvudRubrikReferens"/>
      </w:rPr>
      <w:fldChar w:fldCharType="end"/>
    </w:r>
  </w:p>
  <w:p w:rsidR="009D17FA" w:rsidRPr="004E591B" w:rsidRDefault="009D17FA">
    <w:pPr>
      <w:pStyle w:val="SidhuvudKantJmn"/>
      <w:framePr w:w="8732" w:h="567" w:hRule="exact" w:vSpace="0" w:wrap="around" w:vAnchor="page" w:y="341" w:anchorLock="0"/>
    </w:pPr>
    <w:r w:rsidRPr="004E591B">
      <w:rPr>
        <w:rStyle w:val="SidhuvudUtskott"/>
      </w:rPr>
      <w:fldChar w:fldCharType="begin" w:fldLock="1"/>
    </w:r>
    <w:r w:rsidRPr="004E591B">
      <w:rPr>
        <w:rStyle w:val="SidhuvudUtskott"/>
      </w:rPr>
      <w:instrText xml:space="preserve"> DOCPROPERTY Status</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if </w:instrText>
    </w:r>
    <w:r w:rsidRPr="004E591B">
      <w:rPr>
        <w:rStyle w:val="SidhuvudUtskott"/>
      </w:rPr>
      <w:fldChar w:fldCharType="begin" w:fldLock="1"/>
    </w:r>
    <w:r w:rsidRPr="004E591B">
      <w:rPr>
        <w:rStyle w:val="SidhuvudUtskott"/>
      </w:rPr>
      <w:instrText xml:space="preserve"> DOCPROPERTY "UtkastDatum"</w:instrText>
    </w:r>
    <w:r w:rsidRPr="004E591B">
      <w:rPr>
        <w:rStyle w:val="SidhuvudUtskott"/>
      </w:rPr>
      <w:fldChar w:fldCharType="separate"/>
    </w:r>
    <w:r w:rsidRPr="004E591B">
      <w:rPr>
        <w:rStyle w:val="SidhuvudUtskott"/>
      </w:rPr>
      <w:instrText>Nej</w:instrText>
    </w:r>
    <w:r w:rsidRPr="004E591B">
      <w:rPr>
        <w:rStyle w:val="SidhuvudUtskott"/>
      </w:rPr>
      <w:fldChar w:fldCharType="end"/>
    </w:r>
    <w:r w:rsidRPr="004E591B">
      <w:rPr>
        <w:rStyle w:val="SidhuvudUtskott"/>
      </w:rPr>
      <w:instrText xml:space="preserve"> = "Ja" "    </w:instrText>
    </w:r>
    <w:r w:rsidRPr="004E591B">
      <w:rPr>
        <w:rStyle w:val="SidhuvudUtskott"/>
      </w:rPr>
      <w:fldChar w:fldCharType="begin" w:fldLock="1"/>
    </w:r>
    <w:r w:rsidRPr="004E591B">
      <w:rPr>
        <w:rStyle w:val="SidhuvudUtskott"/>
      </w:rPr>
      <w:instrText xml:space="preserve"> PRINTDATE \@ "yyyy-MM-dd HH.mm" </w:instrText>
    </w:r>
    <w:r w:rsidRPr="004E591B">
      <w:rPr>
        <w:rStyle w:val="SidhuvudUtskott"/>
      </w:rPr>
      <w:fldChar w:fldCharType="separate"/>
    </w:r>
    <w:r w:rsidRPr="004E591B">
      <w:rPr>
        <w:rStyle w:val="SidhuvudUtskott"/>
      </w:rPr>
      <w:instrText>2000-08-11 16.42</w:instrText>
    </w:r>
    <w:r w:rsidRPr="004E591B">
      <w:rPr>
        <w:rStyle w:val="SidhuvudUtskott"/>
      </w:rPr>
      <w:fldChar w:fldCharType="end"/>
    </w:r>
    <w:r w:rsidRPr="004E591B">
      <w:rPr>
        <w:rStyle w:val="SidhuvudUtskott"/>
      </w:rPr>
      <w:instrText xml:space="preserve">" </w:instrText>
    </w:r>
    <w:r w:rsidRPr="004E591B">
      <w:rPr>
        <w:rStyle w:val="SidhuvudUtskott"/>
      </w:rPr>
      <w:fldChar w:fldCharType="end"/>
    </w:r>
  </w:p>
  <w:p w:rsidR="009D17FA" w:rsidRPr="004E591B" w:rsidRDefault="009D17F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huvudKantUdda"/>
      <w:framePr w:w="8732" w:h="567" w:hRule="exact" w:vSpace="0" w:wrap="around" w:vAnchor="page" w:y="341" w:anchorLock="0"/>
    </w:pPr>
    <w:r w:rsidRPr="004E591B">
      <w:rPr>
        <w:rStyle w:val="SidhuvudRubrikReferens"/>
      </w:rPr>
      <w:fldChar w:fldCharType="begin" w:fldLock="1"/>
    </w:r>
    <w:r w:rsidRPr="004E591B">
      <w:rPr>
        <w:rStyle w:val="SidhuvudRubrikReferens"/>
      </w:rPr>
      <w:instrText xml:space="preserve"> StyleREF "Rubrik 1" </w:instrText>
    </w:r>
    <w:r w:rsidRPr="004E591B">
      <w:rPr>
        <w:rStyle w:val="SidhuvudRubrikReferens"/>
      </w:rPr>
      <w:fldChar w:fldCharType="separate"/>
    </w:r>
    <w:r w:rsidRPr="004E591B">
      <w:rPr>
        <w:rStyle w:val="SidhuvudRubrikReferens"/>
      </w:rPr>
      <w:t>Avvikande meningar</w:t>
    </w:r>
    <w:r w:rsidRPr="004E591B">
      <w:rPr>
        <w:rStyle w:val="SidhuvudRubrikReferens"/>
      </w:rPr>
      <w:fldChar w:fldCharType="end"/>
    </w:r>
    <w:r w:rsidRPr="004E591B">
      <w:rPr>
        <w:rStyle w:val="SidhuvudBilaga"/>
      </w:rPr>
      <w:t xml:space="preserve"> </w:t>
    </w:r>
    <w:r w:rsidRPr="004E591B">
      <w:t xml:space="preserve">     </w:t>
    </w:r>
    <w:r w:rsidRPr="004E591B">
      <w:rPr>
        <w:rStyle w:val="SidhuvudUtskott"/>
      </w:rPr>
      <w:fldChar w:fldCharType="begin" w:fldLock="1"/>
    </w:r>
    <w:r w:rsidRPr="004E591B">
      <w:rPr>
        <w:rStyle w:val="SidhuvudUtskott"/>
      </w:rPr>
      <w:instrText xml:space="preserve"> DOCPROPERTY BetänkandeÅr</w:instrText>
    </w:r>
    <w:r w:rsidRPr="004E591B">
      <w:rPr>
        <w:rStyle w:val="SidhuvudUtskott"/>
      </w:rPr>
      <w:fldChar w:fldCharType="separate"/>
    </w:r>
    <w:r w:rsidRPr="004E591B">
      <w:rPr>
        <w:rStyle w:val="SidhuvudUtskott"/>
      </w:rPr>
      <w:t>2007/08</w:t>
    </w:r>
    <w:r w:rsidRPr="004E591B">
      <w:rPr>
        <w:rStyle w:val="SidhuvudUtskott"/>
      </w:rPr>
      <w:fldChar w:fldCharType="end"/>
    </w:r>
    <w:r w:rsidRPr="004E591B">
      <w:rPr>
        <w:rStyle w:val="SidhuvudUtskott"/>
      </w:rPr>
      <w:t>:</w:t>
    </w:r>
    <w:r w:rsidRPr="004E591B">
      <w:rPr>
        <w:rStyle w:val="SidhuvudUtskott"/>
      </w:rPr>
      <w:fldChar w:fldCharType="begin" w:fldLock="1"/>
    </w:r>
    <w:r w:rsidRPr="004E591B">
      <w:rPr>
        <w:rStyle w:val="SidhuvudUtskott"/>
      </w:rPr>
      <w:instrText xml:space="preserve"> DOCPROPERTY</w:instrText>
    </w:r>
    <w:r w:rsidRPr="004E591B">
      <w:instrText xml:space="preserve"> </w:instrText>
    </w:r>
    <w:r w:rsidRPr="004E591B">
      <w:rPr>
        <w:rStyle w:val="SidhuvudUtskott"/>
      </w:rPr>
      <w:instrText>Utskott</w:instrText>
    </w:r>
    <w:r w:rsidRPr="004E591B">
      <w:rPr>
        <w:rStyle w:val="SidhuvudUtskott"/>
      </w:rPr>
      <w:fldChar w:fldCharType="separate"/>
    </w:r>
    <w:r w:rsidRPr="004E591B">
      <w:rPr>
        <w:rStyle w:val="SidhuvudUtskott"/>
      </w:rPr>
      <w:t>EUN</w: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DOCPROPERTY Betä</w:instrText>
    </w:r>
    <w:r w:rsidRPr="004E591B">
      <w:rPr>
        <w:rStyle w:val="SidhuvudUtskott"/>
      </w:rPr>
      <w:instrText>n</w:instrText>
    </w:r>
    <w:r w:rsidRPr="004E591B">
      <w:rPr>
        <w:rStyle w:val="SidhuvudUtskott"/>
      </w:rPr>
      <w:instrText>kandeNr</w:instrText>
    </w:r>
    <w:r w:rsidRPr="004E591B">
      <w:rPr>
        <w:rStyle w:val="SidhuvudUtskott"/>
      </w:rPr>
      <w:fldChar w:fldCharType="separate"/>
    </w:r>
    <w:r w:rsidRPr="004E591B">
      <w:rPr>
        <w:rStyle w:val="SidhuvudUtskott"/>
      </w:rPr>
      <w:t>1y</w:t>
    </w:r>
    <w:r w:rsidRPr="004E591B">
      <w:rPr>
        <w:rStyle w:val="SidhuvudUtskott"/>
      </w:rPr>
      <w:fldChar w:fldCharType="end"/>
    </w:r>
  </w:p>
  <w:p w:rsidR="009D17FA" w:rsidRPr="004E591B" w:rsidRDefault="009D17FA">
    <w:pPr>
      <w:pStyle w:val="SidhuvudKantUdda"/>
      <w:framePr w:w="8732" w:h="567" w:hRule="exact" w:vSpace="0" w:wrap="around" w:vAnchor="page" w:y="341" w:anchorLock="0"/>
    </w:pPr>
    <w:r w:rsidRPr="004E591B">
      <w:rPr>
        <w:rStyle w:val="SidhuvudUtskott"/>
      </w:rPr>
      <w:fldChar w:fldCharType="begin" w:fldLock="1"/>
    </w:r>
    <w:r w:rsidRPr="004E591B">
      <w:rPr>
        <w:rStyle w:val="SidhuvudUtskott"/>
      </w:rPr>
      <w:instrText xml:space="preserve"> if </w:instrText>
    </w:r>
    <w:r w:rsidRPr="004E591B">
      <w:rPr>
        <w:rStyle w:val="SidhuvudUtskott"/>
      </w:rPr>
      <w:fldChar w:fldCharType="begin" w:fldLock="1"/>
    </w:r>
    <w:r w:rsidRPr="004E591B">
      <w:rPr>
        <w:rStyle w:val="SidhuvudUtskott"/>
      </w:rPr>
      <w:instrText xml:space="preserve"> DOCPROPERTY "UtkastDatum"</w:instrText>
    </w:r>
    <w:r w:rsidRPr="004E591B">
      <w:rPr>
        <w:rStyle w:val="SidhuvudUtskott"/>
      </w:rPr>
      <w:fldChar w:fldCharType="separate"/>
    </w:r>
    <w:r w:rsidRPr="004E591B">
      <w:rPr>
        <w:rStyle w:val="SidhuvudUtskott"/>
      </w:rPr>
      <w:instrText>Nej</w:instrText>
    </w:r>
    <w:r w:rsidRPr="004E591B">
      <w:rPr>
        <w:rStyle w:val="SidhuvudUtskott"/>
      </w:rPr>
      <w:fldChar w:fldCharType="end"/>
    </w:r>
    <w:r w:rsidRPr="004E591B">
      <w:rPr>
        <w:rStyle w:val="SidhuvudUtskott"/>
      </w:rPr>
      <w:instrText xml:space="preserve"> = "Ja" "</w:instrText>
    </w:r>
    <w:r w:rsidRPr="004E591B">
      <w:rPr>
        <w:rStyle w:val="SidhuvudUtskott"/>
      </w:rPr>
      <w:fldChar w:fldCharType="begin" w:fldLock="1"/>
    </w:r>
    <w:r w:rsidRPr="004E591B">
      <w:rPr>
        <w:rStyle w:val="SidhuvudUtskott"/>
      </w:rPr>
      <w:instrText xml:space="preserve"> PRINTDATE \@ "yyyy-MM-dd HH.mm    " </w:instrText>
    </w:r>
    <w:r w:rsidRPr="004E591B">
      <w:rPr>
        <w:rStyle w:val="SidhuvudUtskott"/>
      </w:rPr>
      <w:fldChar w:fldCharType="separate"/>
    </w:r>
    <w:r w:rsidRPr="004E591B">
      <w:rPr>
        <w:rStyle w:val="SidhuvudUtskott"/>
      </w:rPr>
      <w:instrText>2000-08-11 16.42</w:instrText>
    </w:r>
    <w:r w:rsidRPr="004E591B">
      <w:rPr>
        <w:rStyle w:val="SidhuvudUtskott"/>
      </w:rPr>
      <w:fldChar w:fldCharType="end"/>
    </w:r>
    <w:r w:rsidRPr="004E591B">
      <w:rPr>
        <w:rStyle w:val="SidhuvudUtskott"/>
      </w:rPr>
      <w:instrText xml:space="preserve">" </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w:instrText>
    </w:r>
    <w:r w:rsidRPr="004E591B">
      <w:rPr>
        <w:rStyle w:val="SidhuvudUtskott"/>
      </w:rPr>
      <w:instrText>O</w:instrText>
    </w:r>
    <w:r w:rsidRPr="004E591B">
      <w:rPr>
        <w:rStyle w:val="SidhuvudUtskott"/>
      </w:rPr>
      <w:instrText>PERTY Status</w:instrText>
    </w:r>
    <w:r w:rsidRPr="004E591B">
      <w:rPr>
        <w:rStyle w:val="SidhuvudUtskott"/>
      </w:rPr>
      <w:fldChar w:fldCharType="end"/>
    </w:r>
  </w:p>
  <w:p w:rsidR="009D17FA" w:rsidRPr="004E591B" w:rsidRDefault="009D17F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AB" w:rsidRPr="004E591B" w:rsidRDefault="004400AB">
    <w:pPr>
      <w:pStyle w:val="SidhuvudKantJmn"/>
      <w:framePr w:w="8732" w:h="567" w:hRule="exact" w:vSpace="0" w:wrap="around" w:vAnchor="page" w:y="341" w:anchorLock="0"/>
    </w:pPr>
    <w:r w:rsidRPr="004E591B">
      <w:rPr>
        <w:rStyle w:val="SidhuvudUtskott"/>
      </w:rPr>
      <w:t>2007/08:EUN1y</w:t>
    </w:r>
    <w:r w:rsidRPr="004E591B">
      <w:t xml:space="preserve">    </w:t>
    </w:r>
  </w:p>
  <w:p w:rsidR="004400AB" w:rsidRPr="004E591B" w:rsidRDefault="004400AB">
    <w:pPr>
      <w:pStyle w:val="SidhuvudKantJmn"/>
      <w:framePr w:w="8732" w:h="567" w:hRule="exact" w:vSpace="0" w:wrap="around" w:vAnchor="page" w:y="341" w:anchorLock="0"/>
    </w:pPr>
  </w:p>
  <w:p w:rsidR="009D17FA" w:rsidRPr="004E591B" w:rsidRDefault="004400AB">
    <w:pPr>
      <w:pStyle w:val="SidhuvudKantUdda"/>
      <w:framePr w:w="8732" w:h="567" w:hRule="exact" w:vSpace="0" w:wrap="around" w:vAnchor="page" w:y="341" w:anchorLock="0"/>
    </w:pPr>
    <w:r w:rsidRPr="004E591B">
      <w:rPr>
        <w:rStyle w:val="SidhuvudRubrikReferens"/>
        <w:smallCaps w:val="0"/>
      </w:rPr>
      <w:t xml:space="preserve"> </w:t>
    </w:r>
  </w:p>
  <w:p w:rsidR="009D17FA" w:rsidRPr="004E591B" w:rsidRDefault="009D17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4400AB">
    <w:pPr>
      <w:pStyle w:val="SidhuvudKantUdda"/>
      <w:framePr w:w="8732" w:h="567" w:hRule="exact" w:vSpace="0" w:wrap="around" w:vAnchor="page" w:y="341" w:anchorLock="0"/>
    </w:pPr>
    <w:r w:rsidRPr="004E591B">
      <w:rPr>
        <w:rStyle w:val="SidhuvudRubrikReferens"/>
      </w:rPr>
      <w:t>Bakgrund</w:t>
    </w:r>
    <w:r w:rsidR="009D17FA" w:rsidRPr="004E591B">
      <w:rPr>
        <w:rStyle w:val="SidhuvudBilaga"/>
      </w:rPr>
      <w:t xml:space="preserve"> </w:t>
    </w:r>
    <w:r w:rsidR="009D17FA" w:rsidRPr="004E591B">
      <w:t xml:space="preserve">     </w:t>
    </w:r>
    <w:r w:rsidR="009D17FA" w:rsidRPr="004E591B">
      <w:rPr>
        <w:rStyle w:val="SidhuvudUtskott"/>
      </w:rPr>
      <w:t>2007/08:EUN1y</w:t>
    </w:r>
  </w:p>
  <w:p w:rsidR="009D17FA" w:rsidRPr="004E591B" w:rsidRDefault="009D17FA">
    <w:pPr>
      <w:pStyle w:val="SidhuvudKantUdda"/>
      <w:framePr w:w="8732" w:h="567" w:hRule="exact" w:vSpace="0" w:wrap="around" w:vAnchor="page" w:y="341" w:anchorLock="0"/>
    </w:pPr>
  </w:p>
  <w:p w:rsidR="009D17FA" w:rsidRPr="004E591B" w:rsidRDefault="009D17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huvudKantJmn"/>
      <w:framePr w:w="8732" w:h="567" w:hRule="exact" w:vSpace="0" w:wrap="around" w:vAnchor="page" w:y="341" w:anchorLock="0"/>
    </w:pPr>
    <w:r w:rsidRPr="004E591B">
      <w:fldChar w:fldCharType="begin" w:fldLock="1"/>
    </w:r>
    <w:r w:rsidRPr="004E591B">
      <w:instrText xml:space="preserve"> if </w:instrText>
    </w:r>
    <w:r w:rsidRPr="004E591B">
      <w:fldChar w:fldCharType="begin" w:fldLock="1"/>
    </w:r>
    <w:r w:rsidRPr="004E591B">
      <w:instrText xml:space="preserve"> page</w:instrText>
    </w:r>
    <w:r w:rsidRPr="004E591B">
      <w:fldChar w:fldCharType="separate"/>
    </w:r>
    <w:r w:rsidR="004E591B">
      <w:rPr>
        <w:noProof/>
      </w:rPr>
      <w:instrText>1</w:instrText>
    </w:r>
    <w:r w:rsidRPr="004E591B">
      <w:fldChar w:fldCharType="end"/>
    </w:r>
    <w:r w:rsidRPr="004E591B">
      <w:instrText xml:space="preserve"> &gt; 1 "</w:instrText>
    </w:r>
    <w:r w:rsidRPr="004E591B">
      <w:fldChar w:fldCharType="begin" w:fldLock="1"/>
    </w:r>
    <w:r w:rsidRPr="004E591B">
      <w:instrText xml:space="preserve"> if </w:instrText>
    </w:r>
    <w:r w:rsidRPr="004E591B">
      <w:fldChar w:fldCharType="begin" w:fldLock="1"/>
    </w:r>
    <w:r w:rsidRPr="004E591B">
      <w:instrText xml:space="preserve"> = </w:instrText>
    </w:r>
    <w:r w:rsidRPr="004E591B">
      <w:fldChar w:fldCharType="begin" w:fldLock="1"/>
    </w:r>
    <w:r w:rsidRPr="004E591B">
      <w:instrText xml:space="preserve"> = </w:instrText>
    </w:r>
    <w:r w:rsidRPr="004E591B">
      <w:fldChar w:fldCharType="begin" w:fldLock="1"/>
    </w:r>
    <w:r w:rsidRPr="004E591B">
      <w:instrText xml:space="preserve"> page</w:instrText>
    </w:r>
    <w:r w:rsidRPr="004E591B">
      <w:fldChar w:fldCharType="separate"/>
    </w:r>
    <w:r w:rsidRPr="004E591B">
      <w:instrText>17</w:instrText>
    </w:r>
    <w:r w:rsidRPr="004E591B">
      <w:fldChar w:fldCharType="end"/>
    </w:r>
    <w:r w:rsidRPr="004E591B">
      <w:instrText xml:space="preserve">/2 </w:instrText>
    </w:r>
    <w:r w:rsidRPr="004E591B">
      <w:fldChar w:fldCharType="separate"/>
    </w:r>
    <w:r w:rsidRPr="004E591B">
      <w:instrText>8,5</w:instrText>
    </w:r>
    <w:r w:rsidRPr="004E591B">
      <w:fldChar w:fldCharType="end"/>
    </w:r>
    <w:r w:rsidRPr="004E591B">
      <w:instrText xml:space="preserve"> - </w:instrText>
    </w:r>
    <w:r w:rsidRPr="004E591B">
      <w:fldChar w:fldCharType="begin" w:fldLock="1"/>
    </w:r>
    <w:r w:rsidRPr="004E591B">
      <w:instrText xml:space="preserve"> = int(</w:instrText>
    </w:r>
    <w:r w:rsidRPr="004E591B">
      <w:fldChar w:fldCharType="begin" w:fldLock="1"/>
    </w:r>
    <w:r w:rsidRPr="004E591B">
      <w:instrText xml:space="preserve"> page</w:instrText>
    </w:r>
    <w:r w:rsidRPr="004E591B">
      <w:fldChar w:fldCharType="separate"/>
    </w:r>
    <w:r w:rsidRPr="004E591B">
      <w:instrText>17</w:instrText>
    </w:r>
    <w:r w:rsidRPr="004E591B">
      <w:fldChar w:fldCharType="end"/>
    </w:r>
    <w:r w:rsidRPr="004E591B">
      <w:instrText xml:space="preserve">/2) </w:instrText>
    </w:r>
    <w:r w:rsidRPr="004E591B">
      <w:fldChar w:fldCharType="separate"/>
    </w:r>
    <w:r w:rsidRPr="004E591B">
      <w:instrText>8</w:instrText>
    </w:r>
    <w:r w:rsidRPr="004E591B">
      <w:fldChar w:fldCharType="end"/>
    </w:r>
    <w:r w:rsidRPr="004E591B">
      <w:fldChar w:fldCharType="separate"/>
    </w:r>
    <w:r w:rsidRPr="004E591B">
      <w:instrText>0,5</w:instrText>
    </w:r>
    <w:r w:rsidRPr="004E591B">
      <w:fldChar w:fldCharType="end"/>
    </w:r>
    <w:r w:rsidRPr="004E591B">
      <w:instrText xml:space="preserve"> = 0 "</w:instrText>
    </w:r>
    <w:r w:rsidRPr="004E591B">
      <w:rPr>
        <w:rStyle w:val="SidhuvudUtskott"/>
      </w:rPr>
      <w:fldChar w:fldCharType="begin" w:fldLock="1"/>
    </w:r>
    <w:r w:rsidRPr="004E591B">
      <w:rPr>
        <w:rStyle w:val="SidhuvudUtskott"/>
      </w:rPr>
      <w:instrText xml:space="preserve"> DOCPROPERTY BetänkandeÅr</w:instrText>
    </w:r>
    <w:r w:rsidRPr="004E591B">
      <w:rPr>
        <w:rStyle w:val="SidhuvudUtskott"/>
      </w:rPr>
      <w:fldChar w:fldCharType="separate"/>
    </w:r>
    <w:r w:rsidRPr="004E591B">
      <w:rPr>
        <w:rStyle w:val="SidhuvudUtskott"/>
      </w:rPr>
      <w:instrText>1999/2000</w:instrText>
    </w:r>
    <w:r w:rsidRPr="004E591B">
      <w:rPr>
        <w:rStyle w:val="SidhuvudUtskott"/>
      </w:rPr>
      <w:fldChar w:fldCharType="end"/>
    </w:r>
    <w:r w:rsidRPr="004E591B">
      <w:rPr>
        <w:rStyle w:val="SidhuvudUtskott"/>
      </w:rPr>
      <w:instrText>:</w:instrText>
    </w:r>
    <w:r w:rsidRPr="004E591B">
      <w:rPr>
        <w:rStyle w:val="SidhuvudUtskott"/>
      </w:rPr>
      <w:fldChar w:fldCharType="begin" w:fldLock="1"/>
    </w:r>
    <w:r w:rsidRPr="004E591B">
      <w:rPr>
        <w:rStyle w:val="SidhuvudUtskott"/>
      </w:rPr>
      <w:instrText xml:space="preserve"> DOCPR</w:instrText>
    </w:r>
    <w:r w:rsidRPr="004E591B">
      <w:rPr>
        <w:rStyle w:val="SidhuvudUtskott"/>
      </w:rPr>
      <w:instrText>O</w:instrText>
    </w:r>
    <w:r w:rsidRPr="004E591B">
      <w:rPr>
        <w:rStyle w:val="SidhuvudUtskott"/>
      </w:rPr>
      <w:instrText>PE</w:instrText>
    </w:r>
    <w:r w:rsidRPr="004E591B">
      <w:rPr>
        <w:rStyle w:val="SidhuvudUtskott"/>
      </w:rPr>
      <w:instrText>R</w:instrText>
    </w:r>
    <w:r w:rsidRPr="004E591B">
      <w:rPr>
        <w:rStyle w:val="SidhuvudUtskott"/>
      </w:rPr>
      <w:instrText>TY Utskott</w:instrText>
    </w:r>
    <w:r w:rsidRPr="004E591B">
      <w:rPr>
        <w:rStyle w:val="SidhuvudUtskott"/>
      </w:rPr>
      <w:fldChar w:fldCharType="separate"/>
    </w:r>
    <w:r w:rsidRPr="004E591B">
      <w:rPr>
        <w:rStyle w:val="SidhuvudUtskott"/>
      </w:rPr>
      <w:instrText>BoU</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DOCPROPERTY BetänkandeNr</w:instrText>
    </w:r>
    <w:r w:rsidRPr="004E591B">
      <w:rPr>
        <w:rStyle w:val="SidhuvudUtskott"/>
      </w:rPr>
      <w:fldChar w:fldCharType="separate"/>
    </w:r>
    <w:r w:rsidRPr="004E591B">
      <w:rPr>
        <w:rStyle w:val="SidhuvudUtskott"/>
      </w:rPr>
      <w:instrText>6678</w:instrText>
    </w:r>
    <w:r w:rsidRPr="004E591B">
      <w:rPr>
        <w:rStyle w:val="SidhuvudUtskott"/>
      </w:rPr>
      <w:fldChar w:fldCharType="end"/>
    </w:r>
    <w:r w:rsidRPr="004E591B">
      <w:instrText xml:space="preserve">    </w:instrText>
    </w:r>
  </w:p>
  <w:p w:rsidR="009D17FA" w:rsidRPr="004E591B" w:rsidRDefault="009D17FA">
    <w:pPr>
      <w:pStyle w:val="SidhuvudKantJmn"/>
      <w:framePr w:w="8732" w:h="567" w:hRule="exact" w:vSpace="0" w:wrap="around" w:vAnchor="page" w:y="341" w:anchorLock="0"/>
    </w:pPr>
    <w:r w:rsidRPr="004E591B">
      <w:rPr>
        <w:rStyle w:val="SidhuvudUtskott"/>
      </w:rPr>
      <w:fldChar w:fldCharType="begin" w:fldLock="1"/>
    </w:r>
    <w:r w:rsidRPr="004E591B">
      <w:rPr>
        <w:rStyle w:val="SidhuvudUtskott"/>
      </w:rPr>
      <w:instrText xml:space="preserve"> DOCPROPERTY Status</w:instrText>
    </w:r>
    <w:r w:rsidRPr="004E591B">
      <w:rPr>
        <w:rStyle w:val="SidhuvudUtskott"/>
      </w:rPr>
      <w:fldChar w:fldCharType="separate"/>
    </w:r>
    <w:r w:rsidRPr="004E591B">
      <w:rPr>
        <w:rStyle w:val="SidhuvudUtskott"/>
      </w:rPr>
      <w:instrText>Utkast</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if </w:instrText>
    </w:r>
    <w:r w:rsidRPr="004E591B">
      <w:rPr>
        <w:rStyle w:val="SidhuvudUtskott"/>
      </w:rPr>
      <w:fldChar w:fldCharType="begin" w:fldLock="1"/>
    </w:r>
    <w:r w:rsidRPr="004E591B">
      <w:rPr>
        <w:rStyle w:val="SidhuvudUtskott"/>
      </w:rPr>
      <w:instrText xml:space="preserve"> DOCPROPERTY "UtkastDatum"</w:instrText>
    </w:r>
    <w:r w:rsidRPr="004E591B">
      <w:rPr>
        <w:rStyle w:val="SidhuvudUtskott"/>
      </w:rPr>
      <w:fldChar w:fldCharType="separate"/>
    </w:r>
    <w:r w:rsidRPr="004E591B">
      <w:rPr>
        <w:rStyle w:val="SidhuvudUtskott"/>
      </w:rPr>
      <w:instrText>Nej</w:instrText>
    </w:r>
    <w:r w:rsidRPr="004E591B">
      <w:rPr>
        <w:rStyle w:val="SidhuvudUtskott"/>
      </w:rPr>
      <w:fldChar w:fldCharType="end"/>
    </w:r>
    <w:r w:rsidRPr="004E591B">
      <w:rPr>
        <w:rStyle w:val="SidhuvudUtskott"/>
      </w:rPr>
      <w:instrText xml:space="preserve"> = "Ja" "    </w:instrText>
    </w:r>
    <w:r w:rsidRPr="004E591B">
      <w:rPr>
        <w:rStyle w:val="SidhuvudUtskott"/>
      </w:rPr>
      <w:fldChar w:fldCharType="begin" w:fldLock="1"/>
    </w:r>
    <w:r w:rsidRPr="004E591B">
      <w:rPr>
        <w:rStyle w:val="SidhuvudUtskott"/>
      </w:rPr>
      <w:instrText xml:space="preserve"> PRINTDATE \@ "yyyy-MM-dd HH.mm" </w:instrText>
    </w:r>
    <w:r w:rsidRPr="004E591B">
      <w:rPr>
        <w:rStyle w:val="SidhuvudUtskott"/>
      </w:rPr>
      <w:fldChar w:fldCharType="separate"/>
    </w:r>
    <w:r w:rsidRPr="004E591B">
      <w:rPr>
        <w:rStyle w:val="SidhuvudUtskott"/>
      </w:rPr>
      <w:instrText>2000-08-11 16.42</w:instrText>
    </w:r>
    <w:r w:rsidRPr="004E591B">
      <w:rPr>
        <w:rStyle w:val="SidhuvudUtskott"/>
      </w:rPr>
      <w:fldChar w:fldCharType="end"/>
    </w:r>
    <w:r w:rsidRPr="004E591B">
      <w:rPr>
        <w:rStyle w:val="SidhuvudUtskott"/>
      </w:rPr>
      <w:instrText xml:space="preserve">" </w:instrText>
    </w:r>
    <w:r w:rsidRPr="004E591B">
      <w:rPr>
        <w:rStyle w:val="SidhuvudUtskott"/>
      </w:rPr>
      <w:fldChar w:fldCharType="separate"/>
    </w:r>
    <w:r w:rsidRPr="004E591B">
      <w:rPr>
        <w:rStyle w:val="SidhuvudUtskott"/>
      </w:rPr>
      <w:fldChar w:fldCharType="end"/>
    </w:r>
  </w:p>
  <w:p w:rsidR="009D17FA" w:rsidRPr="004E591B" w:rsidRDefault="009D17FA">
    <w:pPr>
      <w:pStyle w:val="SidhuvudKantUdda"/>
      <w:framePr w:w="8732" w:h="567" w:hRule="exact" w:vSpace="0" w:wrap="around" w:vAnchor="page" w:y="341" w:anchorLock="0"/>
    </w:pPr>
    <w:r w:rsidRPr="004E591B">
      <w:rPr>
        <w:rStyle w:val="SidhuvudRubrikReferens"/>
        <w:smallCaps w:val="0"/>
      </w:rPr>
      <w:instrText xml:space="preserve"> </w:instrText>
    </w:r>
    <w:r w:rsidRPr="004E591B">
      <w:instrText xml:space="preserve">"  "  </w:instrText>
    </w:r>
    <w:r w:rsidRPr="004E591B">
      <w:rPr>
        <w:rStyle w:val="SidhuvudUtskott"/>
      </w:rPr>
      <w:fldChar w:fldCharType="begin" w:fldLock="1"/>
    </w:r>
    <w:r w:rsidRPr="004E591B">
      <w:rPr>
        <w:rStyle w:val="SidhuvudUtskott"/>
      </w:rPr>
      <w:instrText xml:space="preserve"> DOCPROPERTY BetänkandeÅr</w:instrText>
    </w:r>
    <w:r w:rsidRPr="004E591B">
      <w:rPr>
        <w:rStyle w:val="SidhuvudUtskott"/>
      </w:rPr>
      <w:fldChar w:fldCharType="separate"/>
    </w:r>
    <w:r w:rsidRPr="004E591B">
      <w:rPr>
        <w:rStyle w:val="SidhuvudUtskott"/>
      </w:rPr>
      <w:instrText>1999/2000</w:instrText>
    </w:r>
    <w:r w:rsidRPr="004E591B">
      <w:rPr>
        <w:rStyle w:val="SidhuvudUtskott"/>
      </w:rPr>
      <w:fldChar w:fldCharType="end"/>
    </w:r>
    <w:r w:rsidRPr="004E591B">
      <w:rPr>
        <w:rStyle w:val="SidhuvudUtskott"/>
      </w:rPr>
      <w:instrText>:</w:instrText>
    </w:r>
    <w:r w:rsidRPr="004E591B">
      <w:rPr>
        <w:rStyle w:val="SidhuvudUtskott"/>
      </w:rPr>
      <w:fldChar w:fldCharType="begin" w:fldLock="1"/>
    </w:r>
    <w:r w:rsidRPr="004E591B">
      <w:rPr>
        <w:rStyle w:val="SidhuvudUtskott"/>
      </w:rPr>
      <w:instrText xml:space="preserve"> DOCPROPERTY Utskott</w:instrText>
    </w:r>
    <w:r w:rsidRPr="004E591B">
      <w:rPr>
        <w:rStyle w:val="SidhuvudUtskott"/>
      </w:rPr>
      <w:fldChar w:fldCharType="separate"/>
    </w:r>
    <w:r w:rsidRPr="004E591B">
      <w:rPr>
        <w:rStyle w:val="SidhuvudUtskott"/>
      </w:rPr>
      <w:instrText>BoU</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DOCPROPERTY BetänkandeNr</w:instrText>
    </w:r>
    <w:r w:rsidRPr="004E591B">
      <w:rPr>
        <w:rStyle w:val="SidhuvudUtskott"/>
      </w:rPr>
      <w:fldChar w:fldCharType="separate"/>
    </w:r>
    <w:r w:rsidRPr="004E591B">
      <w:rPr>
        <w:rStyle w:val="SidhuvudUtskott"/>
      </w:rPr>
      <w:instrText>6678</w:instrText>
    </w:r>
    <w:r w:rsidRPr="004E591B">
      <w:rPr>
        <w:rStyle w:val="SidhuvudUtskott"/>
      </w:rPr>
      <w:fldChar w:fldCharType="end"/>
    </w:r>
  </w:p>
  <w:p w:rsidR="009D17FA" w:rsidRPr="004E591B" w:rsidRDefault="009D17FA">
    <w:pPr>
      <w:pStyle w:val="SidhuvudKantUdda"/>
      <w:framePr w:w="8732" w:h="567" w:hRule="exact" w:vSpace="0" w:wrap="around" w:vAnchor="page" w:y="341" w:anchorLock="0"/>
    </w:pPr>
    <w:r w:rsidRPr="004E591B">
      <w:rPr>
        <w:rStyle w:val="SidhuvudUtskott"/>
      </w:rPr>
      <w:fldChar w:fldCharType="begin" w:fldLock="1"/>
    </w:r>
    <w:r w:rsidRPr="004E591B">
      <w:rPr>
        <w:rStyle w:val="SidhuvudUtskott"/>
      </w:rPr>
      <w:instrText xml:space="preserve"> if </w:instrText>
    </w:r>
    <w:r w:rsidRPr="004E591B">
      <w:rPr>
        <w:rStyle w:val="SidhuvudUtskott"/>
      </w:rPr>
      <w:fldChar w:fldCharType="begin" w:fldLock="1"/>
    </w:r>
    <w:r w:rsidRPr="004E591B">
      <w:rPr>
        <w:rStyle w:val="SidhuvudUtskott"/>
      </w:rPr>
      <w:instrText xml:space="preserve"> DOCPROPERTY "UtkastDatum"</w:instrText>
    </w:r>
    <w:r w:rsidRPr="004E591B">
      <w:rPr>
        <w:rStyle w:val="SidhuvudUtskott"/>
      </w:rPr>
      <w:fldChar w:fldCharType="separate"/>
    </w:r>
    <w:r w:rsidRPr="004E591B">
      <w:rPr>
        <w:rStyle w:val="SidhuvudUtskott"/>
      </w:rPr>
      <w:instrText>Nej</w:instrText>
    </w:r>
    <w:r w:rsidRPr="004E591B">
      <w:rPr>
        <w:rStyle w:val="SidhuvudUtskott"/>
      </w:rPr>
      <w:fldChar w:fldCharType="end"/>
    </w:r>
    <w:r w:rsidRPr="004E591B">
      <w:rPr>
        <w:rStyle w:val="SidhuvudUtskott"/>
      </w:rPr>
      <w:instrText xml:space="preserve"> = "Ja" "</w:instrText>
    </w:r>
    <w:r w:rsidRPr="004E591B">
      <w:rPr>
        <w:rStyle w:val="SidhuvudUtskott"/>
      </w:rPr>
      <w:fldChar w:fldCharType="begin" w:fldLock="1"/>
    </w:r>
    <w:r w:rsidRPr="004E591B">
      <w:rPr>
        <w:rStyle w:val="SidhuvudUtskott"/>
      </w:rPr>
      <w:instrText xml:space="preserve"> PRINTDATE \@ "yyyy-MM-dd HH.mm    " </w:instrText>
    </w:r>
    <w:r w:rsidRPr="004E591B">
      <w:rPr>
        <w:rStyle w:val="SidhuvudUtskott"/>
      </w:rPr>
      <w:fldChar w:fldCharType="separate"/>
    </w:r>
    <w:r w:rsidRPr="004E591B">
      <w:rPr>
        <w:rStyle w:val="SidhuvudUtskott"/>
      </w:rPr>
      <w:instrText>2000-08-11 16.42</w:instrText>
    </w:r>
    <w:r w:rsidRPr="004E591B">
      <w:rPr>
        <w:rStyle w:val="SidhuvudUtskott"/>
      </w:rPr>
      <w:fldChar w:fldCharType="end"/>
    </w:r>
    <w:r w:rsidRPr="004E591B">
      <w:rPr>
        <w:rStyle w:val="SidhuvudUtskott"/>
      </w:rPr>
      <w:instrText xml:space="preserve">" </w:instrText>
    </w:r>
    <w:r w:rsidRPr="004E591B">
      <w:rPr>
        <w:rStyle w:val="SidhuvudUtskott"/>
      </w:rPr>
      <w:fldChar w:fldCharType="separate"/>
    </w:r>
    <w:r w:rsidRPr="004E591B">
      <w:rPr>
        <w:rStyle w:val="SidhuvudUtskott"/>
      </w:rPr>
      <w:fldChar w:fldCharType="end"/>
    </w:r>
    <w:r w:rsidRPr="004E591B">
      <w:rPr>
        <w:rStyle w:val="SidhuvudUtskott"/>
      </w:rPr>
      <w:fldChar w:fldCharType="begin" w:fldLock="1"/>
    </w:r>
    <w:r w:rsidRPr="004E591B">
      <w:rPr>
        <w:rStyle w:val="SidhuvudUtskott"/>
      </w:rPr>
      <w:instrText xml:space="preserve"> DOCPR</w:instrText>
    </w:r>
    <w:r w:rsidRPr="004E591B">
      <w:rPr>
        <w:rStyle w:val="SidhuvudUtskott"/>
      </w:rPr>
      <w:instrText>O</w:instrText>
    </w:r>
    <w:r w:rsidRPr="004E591B">
      <w:rPr>
        <w:rStyle w:val="SidhuvudUtskott"/>
      </w:rPr>
      <w:instrText>PERTY Status</w:instrText>
    </w:r>
    <w:r w:rsidRPr="004E591B">
      <w:rPr>
        <w:rStyle w:val="SidhuvudUtskott"/>
      </w:rPr>
      <w:fldChar w:fldCharType="separate"/>
    </w:r>
    <w:r w:rsidRPr="004E591B">
      <w:rPr>
        <w:rStyle w:val="SidhuvudUtskott"/>
      </w:rPr>
      <w:instrText>Utkast 2</w:instrText>
    </w:r>
    <w:r w:rsidRPr="004E591B">
      <w:rPr>
        <w:rStyle w:val="SidhuvudUtskott"/>
      </w:rPr>
      <w:fldChar w:fldCharType="end"/>
    </w:r>
    <w:r w:rsidRPr="004E591B">
      <w:instrText>"</w:instrText>
    </w:r>
    <w:r w:rsidRPr="004E591B">
      <w:fldChar w:fldCharType="separate"/>
    </w:r>
    <w:r w:rsidRPr="004E591B">
      <w:rPr>
        <w:position w:val="4"/>
        <w:sz w:val="28"/>
      </w:rPr>
      <w:instrText>|</w:instrText>
    </w:r>
    <w:r w:rsidRPr="004E591B">
      <w:instrText xml:space="preserve">  </w:instrText>
    </w:r>
    <w:r w:rsidRPr="004E591B">
      <w:rPr>
        <w:rStyle w:val="SidhuvudUtskott"/>
      </w:rPr>
      <w:fldChar w:fldCharType="begin" w:fldLock="1"/>
    </w:r>
    <w:r w:rsidRPr="004E591B">
      <w:rPr>
        <w:rStyle w:val="SidhuvudUtskott"/>
      </w:rPr>
      <w:instrText xml:space="preserve"> DOCPROPERTY BetänkandeÅr</w:instrText>
    </w:r>
    <w:r w:rsidRPr="004E591B">
      <w:rPr>
        <w:rStyle w:val="SidhuvudUtskott"/>
      </w:rPr>
      <w:fldChar w:fldCharType="separate"/>
    </w:r>
    <w:r w:rsidRPr="004E591B">
      <w:rPr>
        <w:rStyle w:val="SidhuvudUtskott"/>
      </w:rPr>
      <w:instrText>1999/2000</w:instrText>
    </w:r>
    <w:r w:rsidRPr="004E591B">
      <w:rPr>
        <w:rStyle w:val="SidhuvudUtskott"/>
      </w:rPr>
      <w:fldChar w:fldCharType="end"/>
    </w:r>
    <w:r w:rsidRPr="004E591B">
      <w:rPr>
        <w:rStyle w:val="SidhuvudUtskott"/>
      </w:rPr>
      <w:instrText>:</w:instrText>
    </w:r>
    <w:r w:rsidRPr="004E591B">
      <w:rPr>
        <w:rStyle w:val="SidhuvudUtskott"/>
      </w:rPr>
      <w:fldChar w:fldCharType="begin" w:fldLock="1"/>
    </w:r>
    <w:r w:rsidRPr="004E591B">
      <w:rPr>
        <w:rStyle w:val="SidhuvudUtskott"/>
      </w:rPr>
      <w:instrText xml:space="preserve"> DOCPROPERTY Utskott</w:instrText>
    </w:r>
    <w:r w:rsidRPr="004E591B">
      <w:rPr>
        <w:rStyle w:val="SidhuvudUtskott"/>
      </w:rPr>
      <w:fldChar w:fldCharType="separate"/>
    </w:r>
    <w:r w:rsidRPr="004E591B">
      <w:rPr>
        <w:rStyle w:val="SidhuvudUtskott"/>
      </w:rPr>
      <w:instrText>BoU</w:instrText>
    </w:r>
    <w:r w:rsidRPr="004E591B">
      <w:rPr>
        <w:rStyle w:val="SidhuvudUtskott"/>
      </w:rPr>
      <w:fldChar w:fldCharType="end"/>
    </w:r>
    <w:r w:rsidRPr="004E591B">
      <w:rPr>
        <w:rStyle w:val="SidhuvudUtskott"/>
      </w:rPr>
      <w:fldChar w:fldCharType="begin" w:fldLock="1"/>
    </w:r>
    <w:r w:rsidRPr="004E591B">
      <w:rPr>
        <w:rStyle w:val="SidhuvudUtskott"/>
      </w:rPr>
      <w:instrText xml:space="preserve"> DOCPROPERTY BetänkandeNr</w:instrText>
    </w:r>
    <w:r w:rsidRPr="004E591B">
      <w:rPr>
        <w:rStyle w:val="SidhuvudUtskott"/>
      </w:rPr>
      <w:fldChar w:fldCharType="separate"/>
    </w:r>
    <w:r w:rsidRPr="004E591B">
      <w:rPr>
        <w:rStyle w:val="SidhuvudUtskott"/>
      </w:rPr>
      <w:instrText>6678</w:instrText>
    </w:r>
    <w:r w:rsidRPr="004E591B">
      <w:rPr>
        <w:rStyle w:val="SidhuvudUtskott"/>
      </w:rPr>
      <w:fldChar w:fldCharType="end"/>
    </w:r>
  </w:p>
  <w:p w:rsidR="009D17FA" w:rsidRPr="004E591B" w:rsidRDefault="009D17FA">
    <w:pPr>
      <w:pStyle w:val="SidhuvudKantUdda"/>
      <w:framePr w:w="8732" w:h="567" w:hRule="exact" w:vSpace="0" w:wrap="around" w:vAnchor="page" w:y="341" w:anchorLock="0"/>
    </w:pPr>
    <w:r w:rsidRPr="004E591B">
      <w:rPr>
        <w:rStyle w:val="SidhuvudUtskott"/>
      </w:rPr>
      <w:fldChar w:fldCharType="begin" w:fldLock="1"/>
    </w:r>
    <w:r w:rsidRPr="004E591B">
      <w:rPr>
        <w:rStyle w:val="SidhuvudUtskott"/>
      </w:rPr>
      <w:instrText xml:space="preserve"> DOCPROPERTY Status</w:instrText>
    </w:r>
    <w:r w:rsidRPr="004E591B">
      <w:rPr>
        <w:rStyle w:val="SidhuvudUtskott"/>
      </w:rPr>
      <w:fldChar w:fldCharType="separate"/>
    </w:r>
    <w:r w:rsidRPr="004E591B">
      <w:rPr>
        <w:rStyle w:val="SidhuvudUtskott"/>
      </w:rPr>
      <w:instrText>Utkast 2</w:instrText>
    </w:r>
    <w:r w:rsidRPr="004E591B">
      <w:rPr>
        <w:rStyle w:val="SidhuvudUtskott"/>
      </w:rPr>
      <w:fldChar w:fldCharType="end"/>
    </w:r>
    <w:r w:rsidRPr="004E591B">
      <w:fldChar w:fldCharType="end"/>
    </w:r>
    <w:r w:rsidRPr="004E591B">
      <w:instrText>" " "</w:instrText>
    </w:r>
    <w:r w:rsidRPr="004E591B">
      <w:fldChar w:fldCharType="separate"/>
    </w:r>
    <w:r w:rsidR="004E591B" w:rsidRPr="004E591B">
      <w:rPr>
        <w:noProof/>
      </w:rPr>
      <w:t xml:space="preserve"> </w:t>
    </w:r>
    <w:r w:rsidRPr="004E591B">
      <w:fldChar w:fldCharType="end"/>
    </w:r>
  </w:p>
  <w:p w:rsidR="009D17FA" w:rsidRPr="004E591B" w:rsidRDefault="009D17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huvudKantJmn"/>
      <w:framePr w:w="8732" w:h="567" w:hRule="exact" w:vSpace="0" w:wrap="around" w:vAnchor="page" w:y="341" w:anchorLock="0"/>
    </w:pPr>
    <w:r w:rsidRPr="004E591B">
      <w:rPr>
        <w:rStyle w:val="SidhuvudUtskott"/>
      </w:rPr>
      <w:t>2007/08:EUN1y</w:t>
    </w:r>
    <w:r w:rsidRPr="004E591B">
      <w:t xml:space="preserve">     </w:t>
    </w:r>
    <w:r w:rsidRPr="004E591B">
      <w:rPr>
        <w:rStyle w:val="SidhuvudBilaga"/>
      </w:rPr>
      <w:t xml:space="preserve"> </w:t>
    </w:r>
    <w:r w:rsidR="004400AB" w:rsidRPr="004E591B">
      <w:rPr>
        <w:rStyle w:val="SidhuvudRubrikReferens"/>
      </w:rPr>
      <w:t>EU-nämndens överväganden</w:t>
    </w:r>
  </w:p>
  <w:p w:rsidR="009D17FA" w:rsidRPr="004E591B" w:rsidRDefault="009D17FA">
    <w:pPr>
      <w:pStyle w:val="SidhuvudKantJmn"/>
      <w:framePr w:w="8732" w:h="567" w:hRule="exact" w:vSpace="0" w:wrap="around" w:vAnchor="page" w:y="341" w:anchorLock="0"/>
    </w:pPr>
  </w:p>
  <w:p w:rsidR="009D17FA" w:rsidRPr="004E591B" w:rsidRDefault="009D17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4400AB">
    <w:pPr>
      <w:pStyle w:val="SidhuvudKantUdda"/>
      <w:framePr w:w="8732" w:h="567" w:hRule="exact" w:vSpace="0" w:wrap="around" w:vAnchor="page" w:y="341" w:anchorLock="0"/>
    </w:pPr>
    <w:r w:rsidRPr="004E591B">
      <w:rPr>
        <w:rStyle w:val="SidhuvudRubrikReferens"/>
      </w:rPr>
      <w:t>EU-nämndens överväganden</w:t>
    </w:r>
    <w:r w:rsidR="009D17FA" w:rsidRPr="004E591B">
      <w:rPr>
        <w:rStyle w:val="SidhuvudBilaga"/>
      </w:rPr>
      <w:t xml:space="preserve"> </w:t>
    </w:r>
    <w:r w:rsidR="009D17FA" w:rsidRPr="004E591B">
      <w:t xml:space="preserve">     </w:t>
    </w:r>
    <w:r w:rsidR="009D17FA" w:rsidRPr="004E591B">
      <w:rPr>
        <w:rStyle w:val="SidhuvudUtskott"/>
      </w:rPr>
      <w:t>2007/08:EUN1y</w:t>
    </w:r>
  </w:p>
  <w:p w:rsidR="009D17FA" w:rsidRPr="004E591B" w:rsidRDefault="009D17FA">
    <w:pPr>
      <w:pStyle w:val="SidhuvudKantUdda"/>
      <w:framePr w:w="8732" w:h="567" w:hRule="exact" w:vSpace="0" w:wrap="around" w:vAnchor="page" w:y="341" w:anchorLock="0"/>
    </w:pPr>
  </w:p>
  <w:p w:rsidR="009D17FA" w:rsidRPr="004E591B" w:rsidRDefault="009D17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AB" w:rsidRPr="004E591B" w:rsidRDefault="004400AB">
    <w:pPr>
      <w:pStyle w:val="SidhuvudKantJmn"/>
      <w:framePr w:w="8732" w:h="567" w:hRule="exact" w:vSpace="0" w:wrap="around" w:vAnchor="page" w:y="341" w:anchorLock="0"/>
    </w:pPr>
    <w:r w:rsidRPr="004E591B">
      <w:rPr>
        <w:rStyle w:val="SidhuvudUtskott"/>
      </w:rPr>
      <w:t>2007/08:EUN1y</w:t>
    </w:r>
    <w:r w:rsidRPr="004E591B">
      <w:t xml:space="preserve">    </w:t>
    </w:r>
  </w:p>
  <w:p w:rsidR="004400AB" w:rsidRPr="004E591B" w:rsidRDefault="004400AB">
    <w:pPr>
      <w:pStyle w:val="SidhuvudKantJmn"/>
      <w:framePr w:w="8732" w:h="567" w:hRule="exact" w:vSpace="0" w:wrap="around" w:vAnchor="page" w:y="341" w:anchorLock="0"/>
    </w:pPr>
  </w:p>
  <w:p w:rsidR="009D17FA" w:rsidRPr="004E591B" w:rsidRDefault="004400AB">
    <w:pPr>
      <w:pStyle w:val="SidhuvudKantUdda"/>
      <w:framePr w:w="8732" w:h="567" w:hRule="exact" w:vSpace="0" w:wrap="around" w:vAnchor="page" w:y="341" w:anchorLock="0"/>
    </w:pPr>
    <w:r w:rsidRPr="004E591B">
      <w:rPr>
        <w:rStyle w:val="SidhuvudRubrikReferens"/>
        <w:smallCaps w:val="0"/>
      </w:rPr>
      <w:t xml:space="preserve"> </w:t>
    </w:r>
  </w:p>
  <w:p w:rsidR="009D17FA" w:rsidRPr="004E591B" w:rsidRDefault="009D17F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9D17FA">
    <w:pPr>
      <w:pStyle w:val="SidhuvudKantJmn"/>
      <w:framePr w:w="8732" w:h="567" w:hRule="exact" w:vSpace="0" w:wrap="around" w:vAnchor="page" w:y="341" w:anchorLock="0"/>
    </w:pPr>
    <w:r w:rsidRPr="004E591B">
      <w:rPr>
        <w:rStyle w:val="SidhuvudUtskott"/>
      </w:rPr>
      <w:t>2007/08:EUN1y</w:t>
    </w:r>
    <w:r w:rsidRPr="004E591B">
      <w:t xml:space="preserve">     </w:t>
    </w:r>
    <w:r w:rsidRPr="004E591B">
      <w:rPr>
        <w:rStyle w:val="SidhuvudBilaga"/>
      </w:rPr>
      <w:t xml:space="preserve"> </w:t>
    </w:r>
    <w:r w:rsidR="004400AB" w:rsidRPr="004E591B">
      <w:rPr>
        <w:rStyle w:val="SidhuvudRubrikReferens"/>
      </w:rPr>
      <w:t>Avvikande meningar</w:t>
    </w:r>
  </w:p>
  <w:p w:rsidR="009D17FA" w:rsidRPr="004E591B" w:rsidRDefault="009D17FA">
    <w:pPr>
      <w:pStyle w:val="SidhuvudKantJmn"/>
      <w:framePr w:w="8732" w:h="567" w:hRule="exact" w:vSpace="0" w:wrap="around" w:vAnchor="page" w:y="341" w:anchorLock="0"/>
    </w:pPr>
  </w:p>
  <w:p w:rsidR="009D17FA" w:rsidRPr="004E591B" w:rsidRDefault="009D17F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FA" w:rsidRPr="004E591B" w:rsidRDefault="004400AB">
    <w:pPr>
      <w:pStyle w:val="SidhuvudKantUdda"/>
      <w:framePr w:w="8732" w:h="567" w:hRule="exact" w:vSpace="0" w:wrap="around" w:vAnchor="page" w:y="341" w:anchorLock="0"/>
    </w:pPr>
    <w:r w:rsidRPr="004E591B">
      <w:rPr>
        <w:rStyle w:val="SidhuvudRubrikReferens"/>
      </w:rPr>
      <w:t>Avvikande meningar</w:t>
    </w:r>
    <w:r w:rsidR="009D17FA" w:rsidRPr="004E591B">
      <w:rPr>
        <w:rStyle w:val="SidhuvudBilaga"/>
      </w:rPr>
      <w:t xml:space="preserve"> </w:t>
    </w:r>
    <w:r w:rsidR="009D17FA" w:rsidRPr="004E591B">
      <w:t xml:space="preserve">     </w:t>
    </w:r>
    <w:r w:rsidR="009D17FA" w:rsidRPr="004E591B">
      <w:rPr>
        <w:rStyle w:val="SidhuvudUtskott"/>
      </w:rPr>
      <w:t>2007/08:EUN1y</w:t>
    </w:r>
  </w:p>
  <w:p w:rsidR="009D17FA" w:rsidRPr="004E591B" w:rsidRDefault="009D17FA">
    <w:pPr>
      <w:pStyle w:val="SidhuvudKantUdda"/>
      <w:framePr w:w="8732" w:h="567" w:hRule="exact" w:vSpace="0" w:wrap="around" w:vAnchor="page" w:y="341" w:anchorLock="0"/>
    </w:pPr>
  </w:p>
  <w:p w:rsidR="009D17FA" w:rsidRPr="004E591B" w:rsidRDefault="009D17F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AB" w:rsidRPr="004E591B" w:rsidRDefault="004400AB">
    <w:pPr>
      <w:pStyle w:val="SidhuvudKantJmn"/>
      <w:framePr w:w="8732" w:h="567" w:hRule="exact" w:vSpace="0" w:wrap="around" w:vAnchor="page" w:y="341" w:anchorLock="0"/>
    </w:pPr>
    <w:r w:rsidRPr="004E591B">
      <w:rPr>
        <w:rStyle w:val="SidhuvudUtskott"/>
      </w:rPr>
      <w:t>2007/08:EUN1y</w:t>
    </w:r>
    <w:r w:rsidRPr="004E591B">
      <w:t xml:space="preserve">    </w:t>
    </w:r>
  </w:p>
  <w:p w:rsidR="004400AB" w:rsidRPr="004E591B" w:rsidRDefault="004400AB">
    <w:pPr>
      <w:pStyle w:val="SidhuvudKantJmn"/>
      <w:framePr w:w="8732" w:h="567" w:hRule="exact" w:vSpace="0" w:wrap="around" w:vAnchor="page" w:y="341" w:anchorLock="0"/>
    </w:pPr>
  </w:p>
  <w:p w:rsidR="009D17FA" w:rsidRPr="004E591B" w:rsidRDefault="004400AB">
    <w:pPr>
      <w:pStyle w:val="SidhuvudKantUdda"/>
      <w:framePr w:w="8732" w:h="567" w:hRule="exact" w:vSpace="0" w:wrap="around" w:vAnchor="page" w:y="341" w:anchorLock="0"/>
    </w:pPr>
    <w:r w:rsidRPr="004E591B">
      <w:rPr>
        <w:rStyle w:val="SidhuvudRubrikReferens"/>
        <w:smallCaps w:val="0"/>
      </w:rPr>
      <w:t xml:space="preserve"> </w:t>
    </w:r>
  </w:p>
  <w:p w:rsidR="009D17FA" w:rsidRPr="004E591B" w:rsidRDefault="009D17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4636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0C18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A04C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905B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5EA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825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4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CC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8D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69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E237C"/>
    <w:multiLevelType w:val="hybridMultilevel"/>
    <w:tmpl w:val="F0BE2A06"/>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3C52AC"/>
    <w:multiLevelType w:val="hybridMultilevel"/>
    <w:tmpl w:val="AE740C5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269715EE"/>
    <w:multiLevelType w:val="hybridMultilevel"/>
    <w:tmpl w:val="DF1CC8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25140"/>
    <w:multiLevelType w:val="hybridMultilevel"/>
    <w:tmpl w:val="814CAE7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1E5EA2"/>
    <w:multiLevelType w:val="hybridMultilevel"/>
    <w:tmpl w:val="83E46B32"/>
    <w:lvl w:ilvl="0" w:tplc="FF3AF612">
      <w:start w:val="1"/>
      <w:numFmt w:val="bullet"/>
      <w:pStyle w:val="Alliansen"/>
      <w:lvlText w:val=""/>
      <w:lvlJc w:val="left"/>
      <w:pPr>
        <w:tabs>
          <w:tab w:val="num" w:pos="284"/>
        </w:tabs>
        <w:ind w:left="284"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728AB"/>
    <w:multiLevelType w:val="hybridMultilevel"/>
    <w:tmpl w:val="C7C8F3D4"/>
    <w:lvl w:ilvl="0" w:tplc="474E121C">
      <w:start w:val="1"/>
      <w:numFmt w:val="bullet"/>
      <w:pStyle w:val="Punktlistastreck"/>
      <w:lvlText w:val=""/>
      <w:lvlJc w:val="left"/>
      <w:pPr>
        <w:tabs>
          <w:tab w:val="num" w:pos="-3276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1354112">
    <w:abstractNumId w:val="12"/>
  </w:num>
  <w:num w:numId="2" w16cid:durableId="2091542523">
    <w:abstractNumId w:val="8"/>
  </w:num>
  <w:num w:numId="3" w16cid:durableId="1703165703">
    <w:abstractNumId w:val="3"/>
  </w:num>
  <w:num w:numId="4" w16cid:durableId="813982485">
    <w:abstractNumId w:val="2"/>
  </w:num>
  <w:num w:numId="5" w16cid:durableId="2013222263">
    <w:abstractNumId w:val="1"/>
  </w:num>
  <w:num w:numId="6" w16cid:durableId="69276060">
    <w:abstractNumId w:val="0"/>
  </w:num>
  <w:num w:numId="7" w16cid:durableId="1060514538">
    <w:abstractNumId w:val="9"/>
  </w:num>
  <w:num w:numId="8" w16cid:durableId="247233830">
    <w:abstractNumId w:val="7"/>
  </w:num>
  <w:num w:numId="9" w16cid:durableId="2017611158">
    <w:abstractNumId w:val="6"/>
  </w:num>
  <w:num w:numId="10" w16cid:durableId="1025255362">
    <w:abstractNumId w:val="5"/>
  </w:num>
  <w:num w:numId="11" w16cid:durableId="9645945">
    <w:abstractNumId w:val="4"/>
  </w:num>
  <w:num w:numId="12" w16cid:durableId="2064984939">
    <w:abstractNumId w:val="10"/>
  </w:num>
  <w:num w:numId="13" w16cid:durableId="1875463119">
    <w:abstractNumId w:val="11"/>
  </w:num>
  <w:num w:numId="14" w16cid:durableId="2070304424">
    <w:abstractNumId w:val="14"/>
  </w:num>
  <w:num w:numId="15" w16cid:durableId="1100376364">
    <w:abstractNumId w:val="13"/>
  </w:num>
  <w:num w:numId="16" w16cid:durableId="17047274">
    <w:abstractNumId w:val="16"/>
  </w:num>
  <w:num w:numId="17" w16cid:durableId="523447048">
    <w:abstractNumId w:val="16"/>
  </w:num>
  <w:num w:numId="18" w16cid:durableId="381638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708"/>
  </w:docVars>
  <w:rsids>
    <w:rsidRoot w:val="00C42EE4"/>
    <w:rsid w:val="0000234E"/>
    <w:rsid w:val="000071C2"/>
    <w:rsid w:val="000245CC"/>
    <w:rsid w:val="000379E9"/>
    <w:rsid w:val="00041B81"/>
    <w:rsid w:val="000449B8"/>
    <w:rsid w:val="000478BC"/>
    <w:rsid w:val="0005553C"/>
    <w:rsid w:val="00066E86"/>
    <w:rsid w:val="00094EBA"/>
    <w:rsid w:val="000A1A5E"/>
    <w:rsid w:val="000A3A1E"/>
    <w:rsid w:val="000A57CA"/>
    <w:rsid w:val="000B0F80"/>
    <w:rsid w:val="000C02EB"/>
    <w:rsid w:val="000C1A29"/>
    <w:rsid w:val="000F1D40"/>
    <w:rsid w:val="000F39F2"/>
    <w:rsid w:val="001007DA"/>
    <w:rsid w:val="0010451A"/>
    <w:rsid w:val="00106A6B"/>
    <w:rsid w:val="00111962"/>
    <w:rsid w:val="00120F96"/>
    <w:rsid w:val="001223AC"/>
    <w:rsid w:val="0013652E"/>
    <w:rsid w:val="001470B6"/>
    <w:rsid w:val="00153D7E"/>
    <w:rsid w:val="00156CEF"/>
    <w:rsid w:val="00162969"/>
    <w:rsid w:val="00162B35"/>
    <w:rsid w:val="00176336"/>
    <w:rsid w:val="00177812"/>
    <w:rsid w:val="00190A7E"/>
    <w:rsid w:val="00192D65"/>
    <w:rsid w:val="0019399E"/>
    <w:rsid w:val="001B0753"/>
    <w:rsid w:val="001B30AC"/>
    <w:rsid w:val="001B3C23"/>
    <w:rsid w:val="001B62E2"/>
    <w:rsid w:val="001C4C1C"/>
    <w:rsid w:val="001D75FE"/>
    <w:rsid w:val="001F44D9"/>
    <w:rsid w:val="001F7BAF"/>
    <w:rsid w:val="001F7F20"/>
    <w:rsid w:val="00222F84"/>
    <w:rsid w:val="00247D11"/>
    <w:rsid w:val="00252DD1"/>
    <w:rsid w:val="002536A1"/>
    <w:rsid w:val="0025502F"/>
    <w:rsid w:val="00262D01"/>
    <w:rsid w:val="00270B08"/>
    <w:rsid w:val="002908D5"/>
    <w:rsid w:val="00293EF3"/>
    <w:rsid w:val="00296557"/>
    <w:rsid w:val="002E39D2"/>
    <w:rsid w:val="002E77AF"/>
    <w:rsid w:val="002F19B5"/>
    <w:rsid w:val="002F3B5E"/>
    <w:rsid w:val="002F3EC4"/>
    <w:rsid w:val="00300EF7"/>
    <w:rsid w:val="0031445B"/>
    <w:rsid w:val="00322737"/>
    <w:rsid w:val="00336F3B"/>
    <w:rsid w:val="0039799B"/>
    <w:rsid w:val="003A6A98"/>
    <w:rsid w:val="003B244F"/>
    <w:rsid w:val="003B5E17"/>
    <w:rsid w:val="003B709E"/>
    <w:rsid w:val="003C391A"/>
    <w:rsid w:val="003D3DB1"/>
    <w:rsid w:val="003E12D7"/>
    <w:rsid w:val="003F3DE0"/>
    <w:rsid w:val="004026CD"/>
    <w:rsid w:val="004037A9"/>
    <w:rsid w:val="00403C2D"/>
    <w:rsid w:val="0042366E"/>
    <w:rsid w:val="00430820"/>
    <w:rsid w:val="004400AB"/>
    <w:rsid w:val="0044601F"/>
    <w:rsid w:val="00461415"/>
    <w:rsid w:val="00462FC4"/>
    <w:rsid w:val="00464287"/>
    <w:rsid w:val="004649B9"/>
    <w:rsid w:val="00471245"/>
    <w:rsid w:val="00483BA1"/>
    <w:rsid w:val="00483F99"/>
    <w:rsid w:val="00484F62"/>
    <w:rsid w:val="004A0CA6"/>
    <w:rsid w:val="004A27B1"/>
    <w:rsid w:val="004A2902"/>
    <w:rsid w:val="004A600D"/>
    <w:rsid w:val="004D33BA"/>
    <w:rsid w:val="004D5328"/>
    <w:rsid w:val="004E19E5"/>
    <w:rsid w:val="004E54A8"/>
    <w:rsid w:val="004E591B"/>
    <w:rsid w:val="004E7F42"/>
    <w:rsid w:val="004F1F0E"/>
    <w:rsid w:val="00540403"/>
    <w:rsid w:val="00545276"/>
    <w:rsid w:val="005460BE"/>
    <w:rsid w:val="00546CCE"/>
    <w:rsid w:val="00555EA0"/>
    <w:rsid w:val="005566E9"/>
    <w:rsid w:val="0056081B"/>
    <w:rsid w:val="00562BBA"/>
    <w:rsid w:val="005655AD"/>
    <w:rsid w:val="0057544E"/>
    <w:rsid w:val="00596B07"/>
    <w:rsid w:val="005B4E01"/>
    <w:rsid w:val="005B6CFD"/>
    <w:rsid w:val="005B6F28"/>
    <w:rsid w:val="005C2BFF"/>
    <w:rsid w:val="005C34DA"/>
    <w:rsid w:val="005C423D"/>
    <w:rsid w:val="005C6CFE"/>
    <w:rsid w:val="005D5886"/>
    <w:rsid w:val="005E0A0A"/>
    <w:rsid w:val="005E0A37"/>
    <w:rsid w:val="005F3835"/>
    <w:rsid w:val="005F6104"/>
    <w:rsid w:val="005F6817"/>
    <w:rsid w:val="006121D8"/>
    <w:rsid w:val="00612D09"/>
    <w:rsid w:val="00634008"/>
    <w:rsid w:val="0065722E"/>
    <w:rsid w:val="0066181F"/>
    <w:rsid w:val="00662D0D"/>
    <w:rsid w:val="00687EC5"/>
    <w:rsid w:val="006A4B04"/>
    <w:rsid w:val="006B44DC"/>
    <w:rsid w:val="006B4C42"/>
    <w:rsid w:val="006C0002"/>
    <w:rsid w:val="006F35D0"/>
    <w:rsid w:val="006F490E"/>
    <w:rsid w:val="006F75BD"/>
    <w:rsid w:val="0070040F"/>
    <w:rsid w:val="00705BEB"/>
    <w:rsid w:val="00714D7E"/>
    <w:rsid w:val="00721DC8"/>
    <w:rsid w:val="007242B9"/>
    <w:rsid w:val="00730567"/>
    <w:rsid w:val="00744637"/>
    <w:rsid w:val="00747460"/>
    <w:rsid w:val="007517A3"/>
    <w:rsid w:val="00752B25"/>
    <w:rsid w:val="00761957"/>
    <w:rsid w:val="00765BE8"/>
    <w:rsid w:val="007704F4"/>
    <w:rsid w:val="00777FE2"/>
    <w:rsid w:val="00796D89"/>
    <w:rsid w:val="007C41CB"/>
    <w:rsid w:val="007E2206"/>
    <w:rsid w:val="00801F1D"/>
    <w:rsid w:val="00810101"/>
    <w:rsid w:val="00810EA3"/>
    <w:rsid w:val="00820D11"/>
    <w:rsid w:val="0083283B"/>
    <w:rsid w:val="00837BA3"/>
    <w:rsid w:val="0084351B"/>
    <w:rsid w:val="00847B81"/>
    <w:rsid w:val="00853BC9"/>
    <w:rsid w:val="00854C93"/>
    <w:rsid w:val="008655E2"/>
    <w:rsid w:val="008721E8"/>
    <w:rsid w:val="00874C1C"/>
    <w:rsid w:val="00876139"/>
    <w:rsid w:val="0088706F"/>
    <w:rsid w:val="008A6C84"/>
    <w:rsid w:val="008B04EA"/>
    <w:rsid w:val="008B1F72"/>
    <w:rsid w:val="008B2527"/>
    <w:rsid w:val="008D1E14"/>
    <w:rsid w:val="008E2158"/>
    <w:rsid w:val="00900E00"/>
    <w:rsid w:val="00905016"/>
    <w:rsid w:val="00920AAA"/>
    <w:rsid w:val="00920CDD"/>
    <w:rsid w:val="00921E43"/>
    <w:rsid w:val="0092704E"/>
    <w:rsid w:val="00930920"/>
    <w:rsid w:val="009344F7"/>
    <w:rsid w:val="009443CB"/>
    <w:rsid w:val="00953B5A"/>
    <w:rsid w:val="0096107E"/>
    <w:rsid w:val="00977FB3"/>
    <w:rsid w:val="009904C2"/>
    <w:rsid w:val="00994F55"/>
    <w:rsid w:val="009A2459"/>
    <w:rsid w:val="009C785C"/>
    <w:rsid w:val="009D17FA"/>
    <w:rsid w:val="009D284A"/>
    <w:rsid w:val="009D4B43"/>
    <w:rsid w:val="009E6B67"/>
    <w:rsid w:val="009E70DD"/>
    <w:rsid w:val="009F7FFB"/>
    <w:rsid w:val="00A27F0A"/>
    <w:rsid w:val="00A40DEA"/>
    <w:rsid w:val="00A53910"/>
    <w:rsid w:val="00A80936"/>
    <w:rsid w:val="00A8184C"/>
    <w:rsid w:val="00A977DD"/>
    <w:rsid w:val="00AA1E3C"/>
    <w:rsid w:val="00AA2DED"/>
    <w:rsid w:val="00AA7378"/>
    <w:rsid w:val="00AA7E0D"/>
    <w:rsid w:val="00AC7981"/>
    <w:rsid w:val="00AE2308"/>
    <w:rsid w:val="00AE7A75"/>
    <w:rsid w:val="00AF0F4F"/>
    <w:rsid w:val="00AF68A7"/>
    <w:rsid w:val="00B32900"/>
    <w:rsid w:val="00B41C00"/>
    <w:rsid w:val="00B4634C"/>
    <w:rsid w:val="00B53C64"/>
    <w:rsid w:val="00B6794C"/>
    <w:rsid w:val="00B70DF9"/>
    <w:rsid w:val="00BA0AF6"/>
    <w:rsid w:val="00BB4630"/>
    <w:rsid w:val="00BB4A67"/>
    <w:rsid w:val="00BC05CC"/>
    <w:rsid w:val="00BD25A4"/>
    <w:rsid w:val="00BD3B94"/>
    <w:rsid w:val="00BD611E"/>
    <w:rsid w:val="00BE3741"/>
    <w:rsid w:val="00C00283"/>
    <w:rsid w:val="00C13868"/>
    <w:rsid w:val="00C141AB"/>
    <w:rsid w:val="00C23440"/>
    <w:rsid w:val="00C23BB2"/>
    <w:rsid w:val="00C261CD"/>
    <w:rsid w:val="00C27C24"/>
    <w:rsid w:val="00C42EE4"/>
    <w:rsid w:val="00C60865"/>
    <w:rsid w:val="00C6208C"/>
    <w:rsid w:val="00C730E8"/>
    <w:rsid w:val="00C74DA5"/>
    <w:rsid w:val="00C768E2"/>
    <w:rsid w:val="00C90DC1"/>
    <w:rsid w:val="00CA1CBA"/>
    <w:rsid w:val="00CA374D"/>
    <w:rsid w:val="00CA3D20"/>
    <w:rsid w:val="00CA74DA"/>
    <w:rsid w:val="00CB4431"/>
    <w:rsid w:val="00CB50C2"/>
    <w:rsid w:val="00CB7997"/>
    <w:rsid w:val="00CC50E5"/>
    <w:rsid w:val="00CD31D4"/>
    <w:rsid w:val="00CD6A7F"/>
    <w:rsid w:val="00CD6AA2"/>
    <w:rsid w:val="00CF5092"/>
    <w:rsid w:val="00D22840"/>
    <w:rsid w:val="00D3242F"/>
    <w:rsid w:val="00D436DA"/>
    <w:rsid w:val="00D60563"/>
    <w:rsid w:val="00DA28FE"/>
    <w:rsid w:val="00DA4155"/>
    <w:rsid w:val="00DB068F"/>
    <w:rsid w:val="00DB38DC"/>
    <w:rsid w:val="00DB4FBB"/>
    <w:rsid w:val="00DB7C6F"/>
    <w:rsid w:val="00DD01FA"/>
    <w:rsid w:val="00DD271A"/>
    <w:rsid w:val="00DD35C5"/>
    <w:rsid w:val="00DD6525"/>
    <w:rsid w:val="00DE631C"/>
    <w:rsid w:val="00DF216E"/>
    <w:rsid w:val="00E07661"/>
    <w:rsid w:val="00E110C4"/>
    <w:rsid w:val="00E12179"/>
    <w:rsid w:val="00E2283A"/>
    <w:rsid w:val="00E35F43"/>
    <w:rsid w:val="00E4053F"/>
    <w:rsid w:val="00E44FD3"/>
    <w:rsid w:val="00E56C9B"/>
    <w:rsid w:val="00E6333C"/>
    <w:rsid w:val="00E64587"/>
    <w:rsid w:val="00E70623"/>
    <w:rsid w:val="00E74174"/>
    <w:rsid w:val="00E815EE"/>
    <w:rsid w:val="00E93B9C"/>
    <w:rsid w:val="00E942D4"/>
    <w:rsid w:val="00E946E4"/>
    <w:rsid w:val="00ED3EFD"/>
    <w:rsid w:val="00EE096B"/>
    <w:rsid w:val="00F000E1"/>
    <w:rsid w:val="00F02350"/>
    <w:rsid w:val="00F0414E"/>
    <w:rsid w:val="00F14516"/>
    <w:rsid w:val="00F14BE1"/>
    <w:rsid w:val="00F14C11"/>
    <w:rsid w:val="00F21878"/>
    <w:rsid w:val="00F40625"/>
    <w:rsid w:val="00F4792C"/>
    <w:rsid w:val="00F53A97"/>
    <w:rsid w:val="00F64530"/>
    <w:rsid w:val="00F728BB"/>
    <w:rsid w:val="00FA708A"/>
    <w:rsid w:val="00FC7540"/>
    <w:rsid w:val="00FD033C"/>
    <w:rsid w:val="00FD0352"/>
    <w:rsid w:val="00FE742F"/>
    <w:rsid w:val="00FE7431"/>
    <w:rsid w:val="00FF33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7716CC-A1AF-4690-B31C-A3BE8785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pPr>
      <w:spacing w:before="0" w:line="170" w:lineRule="exact"/>
    </w:pPr>
    <w:rPr>
      <w:sz w:val="17"/>
    </w:rPr>
  </w:style>
  <w:style w:type="paragraph" w:customStyle="1" w:styleId="Fotnotstextindrag">
    <w:name w:val="Fotnotstext indrag"/>
    <w:basedOn w:val="Fotnotstext"/>
    <w:link w:val="FotnotstextindragChar"/>
    <w:rsid w:val="0096107E"/>
    <w:pPr>
      <w:spacing w:line="160" w:lineRule="exact"/>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810EA3"/>
    <w:rPr>
      <w:rFonts w:ascii="Tahoma" w:hAnsi="Tahoma" w:cs="Tahoma"/>
      <w:sz w:val="16"/>
      <w:szCs w:val="16"/>
    </w:rPr>
  </w:style>
  <w:style w:type="character" w:customStyle="1" w:styleId="FotnotstextChar">
    <w:name w:val="Fotnotstext Char"/>
    <w:basedOn w:val="Standardstycketeckensnitt"/>
    <w:link w:val="Fotnotstext"/>
    <w:rsid w:val="0096107E"/>
    <w:rPr>
      <w:sz w:val="17"/>
      <w:lang w:val="sv-SE" w:eastAsia="sv-SE" w:bidi="ar-SA"/>
    </w:rPr>
  </w:style>
  <w:style w:type="character" w:customStyle="1" w:styleId="FotnotstextindragChar">
    <w:name w:val="Fotnotstext indrag Char"/>
    <w:basedOn w:val="FotnotstextChar"/>
    <w:link w:val="Fotnotstextindrag"/>
    <w:rsid w:val="0096107E"/>
    <w:rPr>
      <w:sz w:val="17"/>
      <w:lang w:val="sv-SE" w:eastAsia="sv-SE" w:bidi="ar-SA"/>
    </w:rPr>
  </w:style>
  <w:style w:type="paragraph" w:customStyle="1" w:styleId="Punktlistastreck">
    <w:name w:val="Punktlista streck"/>
    <w:basedOn w:val="Normal"/>
    <w:rsid w:val="0096107E"/>
    <w:pPr>
      <w:numPr>
        <w:numId w:val="16"/>
      </w:numPr>
    </w:pPr>
  </w:style>
  <w:style w:type="character" w:customStyle="1" w:styleId="NormaltindragChar">
    <w:name w:val="Normalt indrag Char"/>
    <w:basedOn w:val="Standardstycketeckensnitt"/>
    <w:link w:val="Normaltindrag"/>
    <w:rsid w:val="000071C2"/>
    <w:rPr>
      <w:sz w:val="19"/>
      <w:lang w:val="sv-SE" w:eastAsia="sv-SE" w:bidi="ar-SA"/>
    </w:rPr>
  </w:style>
  <w:style w:type="paragraph" w:customStyle="1" w:styleId="Alliansen">
    <w:name w:val="Alliansen"/>
    <w:basedOn w:val="Normal"/>
    <w:rsid w:val="00E942D4"/>
    <w:pPr>
      <w:numPr>
        <w:numId w:val="18"/>
      </w:numPr>
      <w:spacing w:before="0"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3461</Words>
  <Characters>21426</Characters>
  <Application>Microsoft Office Word</Application>
  <DocSecurity>4</DocSecurity>
  <Lines>396</Lines>
  <Paragraphs>104</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070524 1424 justering av fasta rubriker med anledning av ändringar i utsknamn.txt</dc:description>
  <cp:lastModifiedBy>Lars Brink</cp:lastModifiedBy>
  <cp:revision>2</cp:revision>
  <cp:lastPrinted>2008-03-07T13:22:00Z</cp:lastPrinted>
  <dcterms:created xsi:type="dcterms:W3CDTF">2025-12-17T11:52:00Z</dcterms:created>
  <dcterms:modified xsi:type="dcterms:W3CDTF">2025-12-17T11:52:00Z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