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6B27EF" w:rsidTr="000275D0">
        <w:tc>
          <w:tcPr>
            <w:tcW w:w="2268" w:type="dxa"/>
          </w:tcPr>
          <w:p w:rsidR="006B27EF" w:rsidRPr="00CB1209" w:rsidRDefault="006B27EF" w:rsidP="007242A3">
            <w:pPr>
              <w:framePr w:w="5035" w:h="1644" w:wrap="notBeside" w:vAnchor="page" w:hAnchor="page" w:x="6573" w:y="721"/>
              <w:rPr>
                <w:rFonts w:ascii="TradeGothic" w:hAnsi="TradeGothic"/>
                <w:i/>
                <w:strike/>
                <w:sz w:val="18"/>
              </w:rPr>
            </w:pPr>
          </w:p>
        </w:tc>
        <w:tc>
          <w:tcPr>
            <w:tcW w:w="2999" w:type="dxa"/>
            <w:gridSpan w:val="2"/>
          </w:tcPr>
          <w:p w:rsidR="006B27EF" w:rsidRPr="005917E9" w:rsidRDefault="006B27EF"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6B27EF" w:rsidTr="000275D0">
        <w:tc>
          <w:tcPr>
            <w:tcW w:w="5267" w:type="dxa"/>
            <w:gridSpan w:val="3"/>
          </w:tcPr>
          <w:p w:rsidR="006B27EF" w:rsidRDefault="006B27EF"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B27EF" w:rsidTr="000275D0">
        <w:tc>
          <w:tcPr>
            <w:tcW w:w="3402" w:type="dxa"/>
            <w:gridSpan w:val="2"/>
          </w:tcPr>
          <w:p w:rsidR="006B27EF" w:rsidRDefault="006B27EF" w:rsidP="007242A3">
            <w:pPr>
              <w:framePr w:w="5035" w:h="1644" w:wrap="notBeside" w:vAnchor="page" w:hAnchor="page" w:x="6573" w:y="721"/>
            </w:pPr>
          </w:p>
        </w:tc>
        <w:tc>
          <w:tcPr>
            <w:tcW w:w="1865" w:type="dxa"/>
          </w:tcPr>
          <w:p w:rsidR="006B27EF" w:rsidRDefault="006B27EF" w:rsidP="007242A3">
            <w:pPr>
              <w:framePr w:w="5035" w:h="1644" w:wrap="notBeside" w:vAnchor="page" w:hAnchor="page" w:x="6573" w:y="721"/>
            </w:pPr>
          </w:p>
        </w:tc>
      </w:tr>
      <w:tr w:rsidR="006B27EF" w:rsidTr="000275D0">
        <w:tc>
          <w:tcPr>
            <w:tcW w:w="2268" w:type="dxa"/>
          </w:tcPr>
          <w:p w:rsidR="006B27EF" w:rsidRDefault="006B27EF" w:rsidP="004E6061">
            <w:pPr>
              <w:framePr w:w="5035" w:h="1644" w:wrap="notBeside" w:vAnchor="page" w:hAnchor="page" w:x="6573" w:y="721"/>
            </w:pPr>
            <w:r>
              <w:t>2012-11-26</w:t>
            </w:r>
          </w:p>
        </w:tc>
        <w:tc>
          <w:tcPr>
            <w:tcW w:w="2999" w:type="dxa"/>
            <w:gridSpan w:val="2"/>
          </w:tcPr>
          <w:p w:rsidR="006B27EF" w:rsidRPr="00ED583F" w:rsidRDefault="006B27EF" w:rsidP="007242A3">
            <w:pPr>
              <w:framePr w:w="5035" w:h="1644" w:wrap="notBeside" w:vAnchor="page" w:hAnchor="page" w:x="6573" w:y="721"/>
              <w:rPr>
                <w:sz w:val="20"/>
              </w:rPr>
            </w:pPr>
          </w:p>
        </w:tc>
      </w:tr>
      <w:tr w:rsidR="006B27EF" w:rsidTr="000275D0">
        <w:tc>
          <w:tcPr>
            <w:tcW w:w="2268" w:type="dxa"/>
          </w:tcPr>
          <w:p w:rsidR="006B27EF" w:rsidRDefault="006B27EF" w:rsidP="007242A3">
            <w:pPr>
              <w:framePr w:w="5035" w:h="1644" w:wrap="notBeside" w:vAnchor="page" w:hAnchor="page" w:x="6573" w:y="721"/>
            </w:pPr>
          </w:p>
        </w:tc>
        <w:tc>
          <w:tcPr>
            <w:tcW w:w="2999" w:type="dxa"/>
            <w:gridSpan w:val="2"/>
          </w:tcPr>
          <w:p w:rsidR="006B27EF" w:rsidRDefault="006B27EF" w:rsidP="007242A3">
            <w:pPr>
              <w:framePr w:w="5035" w:h="1644" w:wrap="notBeside" w:vAnchor="page" w:hAnchor="page" w:x="6573" w:y="721"/>
            </w:pPr>
          </w:p>
        </w:tc>
      </w:tr>
    </w:tbl>
    <w:tbl>
      <w:tblPr>
        <w:tblW w:w="0" w:type="auto"/>
        <w:tblLayout w:type="fixed"/>
        <w:tblLook w:val="0000"/>
      </w:tblPr>
      <w:tblGrid>
        <w:gridCol w:w="4911"/>
      </w:tblGrid>
      <w:tr w:rsidR="006B27EF">
        <w:trPr>
          <w:trHeight w:val="284"/>
        </w:trPr>
        <w:tc>
          <w:tcPr>
            <w:tcW w:w="4911" w:type="dxa"/>
          </w:tcPr>
          <w:p w:rsidR="006B27EF" w:rsidRDefault="006B27EF">
            <w:pPr>
              <w:pStyle w:val="Avsndare"/>
              <w:framePr w:h="2483" w:wrap="notBeside" w:x="1504"/>
              <w:rPr>
                <w:b/>
                <w:i w:val="0"/>
                <w:sz w:val="22"/>
              </w:rPr>
            </w:pPr>
            <w:r>
              <w:rPr>
                <w:b/>
                <w:i w:val="0"/>
                <w:sz w:val="22"/>
              </w:rPr>
              <w:t>Finansdepartementet</w:t>
            </w:r>
          </w:p>
        </w:tc>
      </w:tr>
      <w:tr w:rsidR="006B27EF">
        <w:trPr>
          <w:trHeight w:val="284"/>
        </w:trPr>
        <w:tc>
          <w:tcPr>
            <w:tcW w:w="4911" w:type="dxa"/>
          </w:tcPr>
          <w:p w:rsidR="006B27EF" w:rsidRDefault="006B27EF">
            <w:pPr>
              <w:pStyle w:val="Avsndare"/>
              <w:framePr w:h="2483" w:wrap="notBeside" w:x="1504"/>
              <w:rPr>
                <w:bCs/>
                <w:iCs/>
              </w:rPr>
            </w:pPr>
          </w:p>
        </w:tc>
      </w:tr>
      <w:tr w:rsidR="006B27EF">
        <w:trPr>
          <w:trHeight w:val="284"/>
        </w:trPr>
        <w:tc>
          <w:tcPr>
            <w:tcW w:w="4911" w:type="dxa"/>
          </w:tcPr>
          <w:p w:rsidR="006B27EF" w:rsidRDefault="006B27EF">
            <w:pPr>
              <w:pStyle w:val="Avsndare"/>
              <w:framePr w:h="2483" w:wrap="notBeside" w:x="1504"/>
              <w:rPr>
                <w:bCs/>
                <w:iCs/>
              </w:rPr>
            </w:pPr>
            <w:r>
              <w:rPr>
                <w:bCs/>
                <w:iCs/>
              </w:rPr>
              <w:t>Skatte- och tullavdelningen</w:t>
            </w:r>
          </w:p>
        </w:tc>
      </w:tr>
      <w:tr w:rsidR="006B27EF">
        <w:trPr>
          <w:trHeight w:val="284"/>
        </w:trPr>
        <w:tc>
          <w:tcPr>
            <w:tcW w:w="4911" w:type="dxa"/>
          </w:tcPr>
          <w:p w:rsidR="006B27EF" w:rsidRDefault="006B27EF">
            <w:pPr>
              <w:pStyle w:val="Avsndare"/>
              <w:framePr w:h="2483" w:wrap="notBeside" w:x="1504"/>
              <w:rPr>
                <w:bCs/>
                <w:iCs/>
              </w:rPr>
            </w:pPr>
          </w:p>
        </w:tc>
      </w:tr>
      <w:tr w:rsidR="006B27EF">
        <w:trPr>
          <w:trHeight w:val="284"/>
        </w:trPr>
        <w:tc>
          <w:tcPr>
            <w:tcW w:w="4911" w:type="dxa"/>
          </w:tcPr>
          <w:p w:rsidR="006B27EF" w:rsidRDefault="006B27EF">
            <w:pPr>
              <w:pStyle w:val="Avsndare"/>
              <w:framePr w:h="2483" w:wrap="notBeside" w:x="1504"/>
              <w:rPr>
                <w:bCs/>
                <w:iCs/>
              </w:rPr>
            </w:pPr>
          </w:p>
        </w:tc>
      </w:tr>
      <w:tr w:rsidR="006B27EF">
        <w:trPr>
          <w:trHeight w:val="284"/>
        </w:trPr>
        <w:tc>
          <w:tcPr>
            <w:tcW w:w="4911" w:type="dxa"/>
          </w:tcPr>
          <w:p w:rsidR="006B27EF" w:rsidRDefault="006B27EF">
            <w:pPr>
              <w:pStyle w:val="Avsndare"/>
              <w:framePr w:h="2483" w:wrap="notBeside" w:x="1504"/>
              <w:rPr>
                <w:bCs/>
                <w:iCs/>
              </w:rPr>
            </w:pPr>
          </w:p>
        </w:tc>
      </w:tr>
      <w:tr w:rsidR="006B27EF">
        <w:trPr>
          <w:trHeight w:val="284"/>
        </w:trPr>
        <w:tc>
          <w:tcPr>
            <w:tcW w:w="4911" w:type="dxa"/>
          </w:tcPr>
          <w:p w:rsidR="006B27EF" w:rsidRDefault="006B27EF">
            <w:pPr>
              <w:pStyle w:val="Avsndare"/>
              <w:framePr w:h="2483" w:wrap="notBeside" w:x="1504"/>
              <w:rPr>
                <w:bCs/>
                <w:iCs/>
              </w:rPr>
            </w:pPr>
          </w:p>
        </w:tc>
      </w:tr>
      <w:tr w:rsidR="006B27EF">
        <w:trPr>
          <w:trHeight w:val="284"/>
        </w:trPr>
        <w:tc>
          <w:tcPr>
            <w:tcW w:w="4911" w:type="dxa"/>
          </w:tcPr>
          <w:p w:rsidR="006B27EF" w:rsidRDefault="006B27EF">
            <w:pPr>
              <w:pStyle w:val="Avsndare"/>
              <w:framePr w:h="2483" w:wrap="notBeside" w:x="1504"/>
              <w:rPr>
                <w:bCs/>
                <w:iCs/>
              </w:rPr>
            </w:pPr>
          </w:p>
        </w:tc>
      </w:tr>
      <w:tr w:rsidR="006B27EF">
        <w:trPr>
          <w:trHeight w:val="284"/>
        </w:trPr>
        <w:tc>
          <w:tcPr>
            <w:tcW w:w="4911" w:type="dxa"/>
          </w:tcPr>
          <w:p w:rsidR="006B27EF" w:rsidRDefault="006B27EF">
            <w:pPr>
              <w:pStyle w:val="Avsndare"/>
              <w:framePr w:h="2483" w:wrap="notBeside" w:x="1504"/>
              <w:rPr>
                <w:bCs/>
                <w:iCs/>
              </w:rPr>
            </w:pPr>
          </w:p>
        </w:tc>
      </w:tr>
    </w:tbl>
    <w:p w:rsidR="006B27EF" w:rsidRPr="000275D0" w:rsidRDefault="006B27EF">
      <w:pPr>
        <w:framePr w:w="4400" w:h="2523" w:wrap="notBeside" w:vAnchor="page" w:hAnchor="page" w:x="6453" w:y="2445"/>
        <w:ind w:left="142"/>
        <w:rPr>
          <w:b/>
        </w:rPr>
      </w:pPr>
    </w:p>
    <w:p w:rsidR="006B27EF" w:rsidRDefault="006B27EF">
      <w:pPr>
        <w:pStyle w:val="RKrubrik"/>
        <w:pBdr>
          <w:bottom w:val="single" w:sz="6" w:space="1" w:color="auto"/>
        </w:pBdr>
      </w:pPr>
      <w:bookmarkStart w:id="0" w:name="bRubrik"/>
      <w:bookmarkEnd w:id="0"/>
      <w:r>
        <w:t>Konkurrenskraftrådet (KKR) den 10 december 2012</w:t>
      </w:r>
    </w:p>
    <w:p w:rsidR="006B27EF" w:rsidRDefault="006B27EF" w:rsidP="0077404B">
      <w:pPr>
        <w:pStyle w:val="RKnormal"/>
      </w:pPr>
    </w:p>
    <w:p w:rsidR="006B27EF" w:rsidRPr="009227B9" w:rsidRDefault="006B27EF" w:rsidP="0077404B">
      <w:pPr>
        <w:spacing w:line="240" w:lineRule="auto"/>
        <w:ind w:left="567"/>
        <w:rPr>
          <w:b/>
        </w:rPr>
      </w:pPr>
      <w:r w:rsidRPr="009227B9">
        <w:rPr>
          <w:b/>
        </w:rPr>
        <w:t>10.</w:t>
      </w:r>
      <w:r w:rsidRPr="009227B9">
        <w:rPr>
          <w:b/>
        </w:rPr>
        <w:tab/>
        <w:t xml:space="preserve">Tullpolitik </w:t>
      </w:r>
    </w:p>
    <w:p w:rsidR="006B27EF" w:rsidRDefault="006B27EF" w:rsidP="0077404B">
      <w:pPr>
        <w:spacing w:line="240" w:lineRule="auto"/>
        <w:ind w:left="567"/>
        <w:rPr>
          <w:b/>
        </w:rPr>
      </w:pPr>
    </w:p>
    <w:p w:rsidR="006B27EF" w:rsidRPr="009227B9" w:rsidRDefault="006B27EF" w:rsidP="0077404B">
      <w:pPr>
        <w:spacing w:line="240" w:lineRule="auto"/>
        <w:ind w:left="567"/>
        <w:rPr>
          <w:b/>
        </w:rPr>
      </w:pPr>
      <w:r w:rsidRPr="009227B9">
        <w:rPr>
          <w:b/>
        </w:rPr>
        <w:t>c)</w:t>
      </w:r>
      <w:r w:rsidRPr="009227B9">
        <w:rPr>
          <w:b/>
        </w:rPr>
        <w:tab/>
        <w:t>Lägesrapport om strategin för vidareutveckling av tullunionen</w:t>
      </w:r>
    </w:p>
    <w:p w:rsidR="006B27EF" w:rsidRPr="009227B9" w:rsidRDefault="006B27EF" w:rsidP="0077404B">
      <w:pPr>
        <w:ind w:left="720"/>
        <w:rPr>
          <w:i/>
        </w:rPr>
      </w:pPr>
      <w:r w:rsidRPr="009227B9">
        <w:rPr>
          <w:i/>
        </w:rPr>
        <w:t>–</w:t>
      </w:r>
      <w:r w:rsidRPr="009227B9">
        <w:rPr>
          <w:i/>
        </w:rPr>
        <w:tab/>
        <w:t>Antagande av rådets slutsatser</w:t>
      </w:r>
    </w:p>
    <w:p w:rsidR="006B27EF" w:rsidRDefault="006B27EF" w:rsidP="0077404B">
      <w:pPr>
        <w:pStyle w:val="RKnormal"/>
      </w:pPr>
    </w:p>
    <w:p w:rsidR="006B27EF" w:rsidRDefault="006B27EF">
      <w:pPr>
        <w:pStyle w:val="RKnormal"/>
      </w:pPr>
      <w:r>
        <w:t>Dokument: 15363/12 UD 254</w:t>
      </w:r>
    </w:p>
    <w:p w:rsidR="006B27EF" w:rsidRDefault="006B27EF">
      <w:pPr>
        <w:pStyle w:val="RKnormal"/>
      </w:pPr>
      <w:r>
        <w:t xml:space="preserve">Tidigare dokument: KOM(2011)922 </w:t>
      </w:r>
    </w:p>
    <w:p w:rsidR="006B27EF" w:rsidRDefault="006B27EF">
      <w:pPr>
        <w:pStyle w:val="RKnormal"/>
      </w:pPr>
      <w:r>
        <w:t>Tidigare behandlad vid samråd med EU-nämnden: Nej.</w:t>
      </w:r>
    </w:p>
    <w:p w:rsidR="006B27EF" w:rsidRDefault="006B27EF">
      <w:pPr>
        <w:pStyle w:val="RKrubrik"/>
      </w:pPr>
      <w:r>
        <w:t>Bakgrund</w:t>
      </w:r>
    </w:p>
    <w:p w:rsidR="006B27EF" w:rsidRDefault="006B27EF">
      <w:pPr>
        <w:pStyle w:val="RKnormal"/>
      </w:pPr>
      <w:r>
        <w:t xml:space="preserve">I den strategi för att vidareutveckla tullunionen som gäller sedan år 2008 anges att tullunionens strategiska mål är att skydda EU och att stödja EU:s konkurrenskraft. Målen ska uppfyllas genom effektiv och ändamålsenlig kontroll och genom ett nära samarbete mellan tullförvaltningarna, med andra myndigheter, med företag och med internationella parter.   </w:t>
      </w:r>
    </w:p>
    <w:p w:rsidR="006B27EF" w:rsidRDefault="006B27EF">
      <w:pPr>
        <w:pStyle w:val="RKnormal"/>
      </w:pPr>
    </w:p>
    <w:p w:rsidR="006B27EF" w:rsidRDefault="006B27EF">
      <w:pPr>
        <w:pStyle w:val="RKnormal"/>
      </w:pPr>
      <w:r>
        <w:t xml:space="preserve">Kommissionen överlämnade i december 2011 en lägesrapport om strategin för vidareutveckling av tullunionen till rådet och Europaparlamentet. I lägesrapporten konstaterar kommissionen att de strategiska mål som definierades år 2008 fortfarande är giltiga och relevanta. Det är viktigt att tullunionen utvecklas på följande områden:    </w:t>
      </w:r>
    </w:p>
    <w:p w:rsidR="006B27EF" w:rsidRDefault="006B27EF" w:rsidP="006B4E42">
      <w:pPr>
        <w:pStyle w:val="RKnormal"/>
        <w:numPr>
          <w:ilvl w:val="0"/>
          <w:numId w:val="1"/>
        </w:numPr>
      </w:pPr>
      <w:r>
        <w:t>Ett bredare strategiskt synsätt när det gäller samarbete med andra organ och internationella parter på säkerhets-, hälso-, skydds- och miljöområdet.</w:t>
      </w:r>
    </w:p>
    <w:p w:rsidR="006B27EF" w:rsidRDefault="006B27EF" w:rsidP="006B4E42">
      <w:pPr>
        <w:pStyle w:val="RKnormal"/>
        <w:numPr>
          <w:ilvl w:val="0"/>
          <w:numId w:val="1"/>
        </w:numPr>
      </w:pPr>
      <w:r>
        <w:t xml:space="preserve">Bättre styrning, både när det gäller strukturer och arbetsmetoder, framför allt genom ett mer affärsinriktat synsätt i fråga om tullunionens processer. </w:t>
      </w:r>
    </w:p>
    <w:p w:rsidR="006B27EF" w:rsidRDefault="006B27EF" w:rsidP="006B4E42">
      <w:pPr>
        <w:pStyle w:val="RKnormal"/>
        <w:numPr>
          <w:ilvl w:val="0"/>
          <w:numId w:val="1"/>
        </w:numPr>
      </w:pPr>
      <w:r>
        <w:t>Gemensamt utnyttjande och sammanslagning av medlemsstaternas, och medlemsstaternas och kommissionens, kapacitet och resurser, för att öka effektivitet, ändamålsenlighet och enhetlighet samt för att skapa stordriftsfördelar.</w:t>
      </w:r>
    </w:p>
    <w:p w:rsidR="006B27EF" w:rsidRDefault="006B27EF" w:rsidP="006B4E42">
      <w:pPr>
        <w:pStyle w:val="RKnormal"/>
        <w:numPr>
          <w:ilvl w:val="0"/>
          <w:numId w:val="1"/>
        </w:numPr>
      </w:pPr>
      <w:r>
        <w:t>Fastställande av en grund för att mäta och bedöma resultat för att se till att tullunionen uppfyller sitt mål, eller identifiera eftersläpningar eller luckor.</w:t>
      </w:r>
    </w:p>
    <w:p w:rsidR="006B27EF" w:rsidRDefault="006B27EF">
      <w:pPr>
        <w:pStyle w:val="RKrubrik"/>
      </w:pPr>
      <w:r>
        <w:t>Rättslig grund och beslutsförfarande</w:t>
      </w:r>
    </w:p>
    <w:p w:rsidR="006B27EF" w:rsidRDefault="006B27EF">
      <w:pPr>
        <w:pStyle w:val="RKnormal"/>
      </w:pPr>
      <w:r>
        <w:t>Det finns inte någon särskild rättslig grund för kommissionens lägesrapport. Rådet fattar beslut om rådslutsatserna med enhällighet.</w:t>
      </w:r>
    </w:p>
    <w:p w:rsidR="006B27EF" w:rsidRDefault="006B27EF">
      <w:pPr>
        <w:pStyle w:val="RKrubrik"/>
        <w:rPr>
          <w:i/>
          <w:iCs/>
        </w:rPr>
      </w:pPr>
      <w:r>
        <w:rPr>
          <w:i/>
          <w:iCs/>
        </w:rPr>
        <w:t>Svensk ståndpunkt</w:t>
      </w:r>
    </w:p>
    <w:p w:rsidR="006B27EF" w:rsidRDefault="006B27EF">
      <w:pPr>
        <w:pStyle w:val="RKnormal"/>
      </w:pPr>
      <w:r>
        <w:t xml:space="preserve">Sverige kan ställa sig bakom förslaget till rådslutsatser. </w:t>
      </w:r>
    </w:p>
    <w:p w:rsidR="006B27EF" w:rsidRDefault="006B27EF">
      <w:pPr>
        <w:pStyle w:val="RKnormal"/>
      </w:pPr>
    </w:p>
    <w:p w:rsidR="006B27EF" w:rsidRDefault="006B27EF">
      <w:pPr>
        <w:pStyle w:val="RKnormal"/>
      </w:pPr>
      <w:r>
        <w:t xml:space="preserve">Det bör nämnas att resultatet av förhandlingen i rådsarbetsgruppen är att samtliga medlemsstater har ställt sig bakom förslaget till rådslutsatser.  </w:t>
      </w:r>
    </w:p>
    <w:p w:rsidR="006B27EF" w:rsidRDefault="006B27EF">
      <w:pPr>
        <w:pStyle w:val="RKrubrik"/>
      </w:pPr>
      <w:r>
        <w:t>Europaparlamentets inställning</w:t>
      </w:r>
    </w:p>
    <w:p w:rsidR="006B27EF" w:rsidRDefault="006B27EF">
      <w:pPr>
        <w:pStyle w:val="RKnormal"/>
      </w:pPr>
      <w:r>
        <w:t xml:space="preserve">Europaparlamentet har inte yttrat sig om kommissionens lägesrapport. Däremot har parlamentet i sin resolution om modernisering av tullen av den 1 december 2011 lyft fram ett flertal aspekter på hur tullmyndigheterna ska kunna uppfylla sin viktiga roll när det gäller att stärka och påverka konkurrenskraften samt att säkerställa tryggheten på ett effektivt sätt, skydda immateriella rättigheter och bidra till kampen mot bedrägerier.     </w:t>
      </w:r>
    </w:p>
    <w:p w:rsidR="006B27EF" w:rsidRDefault="006B27EF">
      <w:pPr>
        <w:pStyle w:val="RKrubrik"/>
        <w:rPr>
          <w:i/>
          <w:iCs/>
        </w:rPr>
      </w:pPr>
      <w:r>
        <w:rPr>
          <w:i/>
          <w:iCs/>
        </w:rPr>
        <w:t>Förslaget</w:t>
      </w:r>
    </w:p>
    <w:p w:rsidR="006B27EF" w:rsidRDefault="006B27EF">
      <w:pPr>
        <w:pStyle w:val="RKnormal"/>
      </w:pPr>
      <w:r>
        <w:t>I förslaget till rådslutsatser understryks behovet av att;</w:t>
      </w:r>
    </w:p>
    <w:p w:rsidR="006B27EF" w:rsidRDefault="006B27EF" w:rsidP="00880A79">
      <w:pPr>
        <w:pStyle w:val="RKnormal"/>
        <w:numPr>
          <w:ilvl w:val="0"/>
          <w:numId w:val="1"/>
        </w:numPr>
      </w:pPr>
      <w:r>
        <w:t xml:space="preserve">säkerställa att utveckling och förändringar av tullmyndigheter och krav i största möjliga utsträckning bidrar positivt till att skydda EU, underlätta legitim handel, stödja konkurrenskraften i EU:s företag och bidra till att generera ekonomiska fördelar i enlighet med EU:s tillväxtagenda, </w:t>
      </w:r>
    </w:p>
    <w:p w:rsidR="006B27EF" w:rsidRDefault="006B27EF" w:rsidP="00880A79">
      <w:pPr>
        <w:pStyle w:val="RKnormal"/>
        <w:numPr>
          <w:ilvl w:val="0"/>
          <w:numId w:val="1"/>
        </w:numPr>
      </w:pPr>
      <w:r>
        <w:tab/>
        <w:t xml:space="preserve">rationalisera och förbättra tullunionens inre styrelseformer och prestanda i syfte att säkerställa att tullunionen uppnår sina mål på ett så effektivt och ändamålsenligt sätt som möjligt, </w:t>
      </w:r>
    </w:p>
    <w:p w:rsidR="006B27EF" w:rsidRDefault="006B27EF" w:rsidP="00880A79">
      <w:pPr>
        <w:pStyle w:val="RKnormal"/>
        <w:numPr>
          <w:ilvl w:val="0"/>
          <w:numId w:val="1"/>
        </w:numPr>
      </w:pPr>
      <w:r>
        <w:tab/>
        <w:t xml:space="preserve">förbättra tullunionens förmåga att mäta sin verkan, inklusive en bättre användning av resultatmätningar, och förbättra prestationerna vad gäller service till huvudintressenterna, medlemsstaterna, företagen och samhället, </w:t>
      </w:r>
    </w:p>
    <w:p w:rsidR="006B27EF" w:rsidRDefault="006B27EF" w:rsidP="00880A79">
      <w:pPr>
        <w:pStyle w:val="RKnormal"/>
        <w:numPr>
          <w:ilvl w:val="0"/>
          <w:numId w:val="1"/>
        </w:numPr>
      </w:pPr>
      <w:r>
        <w:tab/>
        <w:t>ytterligare främja en enhetlig tillämpning av tullagstiftningen och moderna och harmoniserade tillvägagångssätt vid tullkontrollen, samtidigt som man, i förekommande fall och med hänsyn till konsekvenserna för aktörerna och medlemsstaterna, tillåter flexibilitet i fråga om nationella lösningar,</w:t>
      </w:r>
    </w:p>
    <w:p w:rsidR="006B27EF" w:rsidRDefault="006B27EF" w:rsidP="00880A79">
      <w:pPr>
        <w:pStyle w:val="RKnormal"/>
        <w:numPr>
          <w:ilvl w:val="0"/>
          <w:numId w:val="1"/>
        </w:numPr>
      </w:pPr>
      <w:r>
        <w:tab/>
        <w:t xml:space="preserve">förbättra samarbetet med andra organ både på nationell nivå och på EU-nivå på områdena säkerhet, hälsa, skydd och miljö, samt med internationella parter, samtidigt som man respekterar ansvarsfördelningen mellan EU och medlemsstaterna på detta område, </w:t>
      </w:r>
    </w:p>
    <w:p w:rsidR="006B27EF" w:rsidRDefault="006B27EF" w:rsidP="00880A79">
      <w:pPr>
        <w:pStyle w:val="RKnormal"/>
        <w:numPr>
          <w:ilvl w:val="0"/>
          <w:numId w:val="1"/>
        </w:numPr>
      </w:pPr>
      <w:r>
        <w:tab/>
        <w:t xml:space="preserve">anta ett mer övergripande synsätt på den internationella leveranskedjan i syfte att effektivisera kontrollerna så att handeln underlättas och det skapas reella och konkreta fördelar för godkända ekonomiska aktörer, </w:t>
      </w:r>
    </w:p>
    <w:p w:rsidR="006B27EF" w:rsidRDefault="006B27EF" w:rsidP="00880A79">
      <w:pPr>
        <w:pStyle w:val="RKnormal"/>
        <w:numPr>
          <w:ilvl w:val="0"/>
          <w:numId w:val="1"/>
        </w:numPr>
      </w:pPr>
      <w:r>
        <w:tab/>
        <w:t xml:space="preserve">intensifiera insatserna i kampen mot smuggling av varor, i synnerhet cigaretter och alkohol, vid EU:s yttre gränser och stärka samarbetet med EU:s grannländer i detta avseende, </w:t>
      </w:r>
    </w:p>
    <w:p w:rsidR="006B27EF" w:rsidRDefault="006B27EF" w:rsidP="00880A79">
      <w:pPr>
        <w:pStyle w:val="RKnormal"/>
        <w:numPr>
          <w:ilvl w:val="0"/>
          <w:numId w:val="1"/>
        </w:numPr>
      </w:pPr>
      <w:r>
        <w:tab/>
        <w:t xml:space="preserve">ytterligare stärka dialogen och samarbetet med ekonomiska aktörer för att bättre kunna hantera deras förväntningar och begränsningar, </w:t>
      </w:r>
    </w:p>
    <w:p w:rsidR="006B27EF" w:rsidRDefault="006B27EF" w:rsidP="00880A79">
      <w:pPr>
        <w:pStyle w:val="RKnormal"/>
        <w:numPr>
          <w:ilvl w:val="0"/>
          <w:numId w:val="1"/>
        </w:numPr>
      </w:pPr>
      <w:r>
        <w:tab/>
        <w:t xml:space="preserve">på bästa sätt utnyttja tillgängliga resurser på EU-nivå, särskilt inom området it-utveckling och uppbyggnad av personalkapacitet, med beaktande av ekonomiska och andra begränsningar, </w:t>
      </w:r>
    </w:p>
    <w:p w:rsidR="006B27EF" w:rsidRDefault="006B27EF" w:rsidP="00880A79">
      <w:pPr>
        <w:pStyle w:val="RKnormal"/>
        <w:numPr>
          <w:ilvl w:val="0"/>
          <w:numId w:val="1"/>
        </w:numPr>
      </w:pPr>
      <w:r>
        <w:tab/>
        <w:t xml:space="preserve">främja kontinuerlig innovation inom ramen för den befintliga och framväxande rättsliga ramen för att förbättra tullunionens prestanda och smidighet, </w:t>
      </w:r>
    </w:p>
    <w:p w:rsidR="006B27EF" w:rsidRDefault="006B27EF" w:rsidP="00880A79">
      <w:pPr>
        <w:pStyle w:val="RKnormal"/>
        <w:numPr>
          <w:ilvl w:val="0"/>
          <w:numId w:val="1"/>
        </w:numPr>
      </w:pPr>
      <w:r>
        <w:tab/>
        <w:t>modernisera tullens arbetsmetoder och detekteringsteknik och utveckla personalens kompetens för att tillgodose detta behov, med hänsyn till särskilda behov och omständigheter, och</w:t>
      </w:r>
    </w:p>
    <w:p w:rsidR="006B27EF" w:rsidRDefault="006B27EF" w:rsidP="00880A79">
      <w:pPr>
        <w:pStyle w:val="RKnormal"/>
        <w:numPr>
          <w:ilvl w:val="0"/>
          <w:numId w:val="1"/>
        </w:numPr>
      </w:pPr>
      <w:r>
        <w:tab/>
        <w:t>stödja tullen både på nationell nivå och på EU-nivå i dess roll som ledande myndighet inom förvaltningen av gränsöverskridande rörlighet för varor.</w:t>
      </w:r>
    </w:p>
    <w:p w:rsidR="006B27EF" w:rsidRDefault="006B27EF">
      <w:pPr>
        <w:pStyle w:val="RKrubrik"/>
        <w:rPr>
          <w:i/>
          <w:iCs/>
        </w:rPr>
      </w:pPr>
      <w:bookmarkStart w:id="1" w:name="_GoBack"/>
      <w:bookmarkEnd w:id="1"/>
      <w:r>
        <w:rPr>
          <w:i/>
          <w:iCs/>
        </w:rPr>
        <w:t>Gällande svenska regler och förslagets effekter på dessa</w:t>
      </w:r>
    </w:p>
    <w:p w:rsidR="006B27EF" w:rsidRDefault="006B27EF">
      <w:pPr>
        <w:pStyle w:val="RKnormal"/>
      </w:pPr>
      <w:r>
        <w:t xml:space="preserve">Lägesrapporten och rådslutsatserna har inga effekter på svensk lagstiftning. </w:t>
      </w:r>
    </w:p>
    <w:p w:rsidR="006B27EF" w:rsidRDefault="006B27EF">
      <w:pPr>
        <w:pStyle w:val="RKrubrik"/>
      </w:pPr>
      <w:r>
        <w:t>Ekonomiska konsekvenser</w:t>
      </w:r>
    </w:p>
    <w:p w:rsidR="006B27EF" w:rsidRDefault="006B27EF">
      <w:pPr>
        <w:pStyle w:val="RKnormal"/>
      </w:pPr>
      <w:r>
        <w:t xml:space="preserve">Lägesrapporten och rådslutsatserna har inga ekonomiska konsekvenser. </w:t>
      </w:r>
    </w:p>
    <w:p w:rsidR="006B27EF" w:rsidRDefault="006B27EF">
      <w:pPr>
        <w:pStyle w:val="RKnormal"/>
        <w:rPr>
          <w:i/>
          <w:iCs/>
        </w:rPr>
      </w:pPr>
    </w:p>
    <w:p w:rsidR="006B27EF" w:rsidRDefault="006B27EF">
      <w:pPr>
        <w:pStyle w:val="RKnormal"/>
        <w:ind w:left="-1134"/>
      </w:pPr>
    </w:p>
    <w:p w:rsidR="006B27EF" w:rsidRDefault="006B27EF">
      <w:pPr>
        <w:pStyle w:val="RKrubrik"/>
        <w:spacing w:before="0" w:after="0"/>
      </w:pPr>
    </w:p>
    <w:p w:rsidR="006B27EF" w:rsidRDefault="006B27EF">
      <w:pPr>
        <w:pStyle w:val="RKnormal"/>
      </w:pPr>
    </w:p>
    <w:sectPr w:rsidR="006B27EF" w:rsidSect="00EB183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7EF" w:rsidRDefault="006B27EF">
      <w:r>
        <w:separator/>
      </w:r>
    </w:p>
  </w:endnote>
  <w:endnote w:type="continuationSeparator" w:id="0">
    <w:p w:rsidR="006B27EF" w:rsidRDefault="006B27EF">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7EF" w:rsidRDefault="006B27EF">
      <w:r>
        <w:separator/>
      </w:r>
    </w:p>
  </w:footnote>
  <w:footnote w:type="continuationSeparator" w:id="0">
    <w:p w:rsidR="006B27EF" w:rsidRDefault="006B27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7EF" w:rsidRDefault="006B27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6B27EF">
      <w:trPr>
        <w:cantSplit/>
      </w:trPr>
      <w:tc>
        <w:tcPr>
          <w:tcW w:w="3119" w:type="dxa"/>
        </w:tcPr>
        <w:p w:rsidR="006B27EF" w:rsidRDefault="006B27EF">
          <w:pPr>
            <w:pStyle w:val="Header"/>
            <w:spacing w:line="200" w:lineRule="atLeast"/>
            <w:ind w:right="357"/>
            <w:rPr>
              <w:rFonts w:ascii="TradeGothic" w:hAnsi="TradeGothic"/>
              <w:b/>
              <w:bCs/>
              <w:sz w:val="16"/>
            </w:rPr>
          </w:pPr>
        </w:p>
      </w:tc>
      <w:tc>
        <w:tcPr>
          <w:tcW w:w="4111" w:type="dxa"/>
          <w:tcMar>
            <w:left w:w="567" w:type="dxa"/>
          </w:tcMar>
        </w:tcPr>
        <w:p w:rsidR="006B27EF" w:rsidRDefault="006B27EF">
          <w:pPr>
            <w:pStyle w:val="Header"/>
            <w:ind w:right="360"/>
          </w:pPr>
        </w:p>
      </w:tc>
      <w:tc>
        <w:tcPr>
          <w:tcW w:w="1525" w:type="dxa"/>
        </w:tcPr>
        <w:p w:rsidR="006B27EF" w:rsidRDefault="006B27EF">
          <w:pPr>
            <w:pStyle w:val="Header"/>
            <w:ind w:right="360"/>
          </w:pPr>
        </w:p>
      </w:tc>
    </w:tr>
  </w:tbl>
  <w:p w:rsidR="006B27EF" w:rsidRDefault="006B27E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7EF" w:rsidRDefault="006B27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6B27EF">
      <w:trPr>
        <w:cantSplit/>
      </w:trPr>
      <w:tc>
        <w:tcPr>
          <w:tcW w:w="3119" w:type="dxa"/>
        </w:tcPr>
        <w:p w:rsidR="006B27EF" w:rsidRDefault="006B27EF">
          <w:pPr>
            <w:pStyle w:val="Header"/>
            <w:spacing w:line="200" w:lineRule="atLeast"/>
            <w:ind w:right="357"/>
            <w:rPr>
              <w:rFonts w:ascii="TradeGothic" w:hAnsi="TradeGothic"/>
              <w:b/>
              <w:bCs/>
              <w:sz w:val="16"/>
            </w:rPr>
          </w:pPr>
        </w:p>
      </w:tc>
      <w:tc>
        <w:tcPr>
          <w:tcW w:w="4111" w:type="dxa"/>
          <w:tcMar>
            <w:left w:w="567" w:type="dxa"/>
          </w:tcMar>
        </w:tcPr>
        <w:p w:rsidR="006B27EF" w:rsidRDefault="006B27EF">
          <w:pPr>
            <w:pStyle w:val="Header"/>
            <w:ind w:right="360"/>
          </w:pPr>
        </w:p>
      </w:tc>
      <w:tc>
        <w:tcPr>
          <w:tcW w:w="1525" w:type="dxa"/>
        </w:tcPr>
        <w:p w:rsidR="006B27EF" w:rsidRDefault="006B27EF">
          <w:pPr>
            <w:pStyle w:val="Header"/>
            <w:ind w:right="360"/>
          </w:pPr>
        </w:p>
      </w:tc>
    </w:tr>
  </w:tbl>
  <w:p w:rsidR="006B27EF" w:rsidRDefault="006B27E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7EF" w:rsidRDefault="006B27EF">
    <w:pPr>
      <w:framePr w:w="2948" w:h="1321" w:hRule="exact" w:wrap="notBeside" w:vAnchor="page" w:hAnchor="page" w:x="1362" w:y="653"/>
    </w:pPr>
    <w:r w:rsidRPr="00E90A3A">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6B27EF" w:rsidRDefault="006B27EF">
    <w:pPr>
      <w:pStyle w:val="RKrubrik"/>
      <w:keepNext w:val="0"/>
      <w:tabs>
        <w:tab w:val="clear" w:pos="1134"/>
        <w:tab w:val="clear" w:pos="2835"/>
      </w:tabs>
      <w:spacing w:before="0" w:after="0" w:line="320" w:lineRule="atLeast"/>
      <w:rPr>
        <w:bCs/>
      </w:rPr>
    </w:pPr>
  </w:p>
  <w:p w:rsidR="006B27EF" w:rsidRDefault="006B27EF">
    <w:pPr>
      <w:rPr>
        <w:rFonts w:ascii="TradeGothic" w:hAnsi="TradeGothic"/>
        <w:b/>
        <w:bCs/>
        <w:spacing w:val="12"/>
        <w:sz w:val="22"/>
      </w:rPr>
    </w:pPr>
  </w:p>
  <w:p w:rsidR="006B27EF" w:rsidRDefault="006B27EF">
    <w:pPr>
      <w:pStyle w:val="RKrubrik"/>
      <w:keepNext w:val="0"/>
      <w:tabs>
        <w:tab w:val="clear" w:pos="1134"/>
        <w:tab w:val="clear" w:pos="2835"/>
      </w:tabs>
      <w:spacing w:before="0" w:after="0" w:line="320" w:lineRule="atLeast"/>
      <w:rPr>
        <w:bCs/>
      </w:rPr>
    </w:pPr>
  </w:p>
  <w:p w:rsidR="006B27EF" w:rsidRDefault="006B27EF">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0E08"/>
    <w:multiLevelType w:val="hybridMultilevel"/>
    <w:tmpl w:val="46D27B9E"/>
    <w:lvl w:ilvl="0" w:tplc="A1526C54">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FF82F56"/>
    <w:multiLevelType w:val="hybridMultilevel"/>
    <w:tmpl w:val="6FAC8D6A"/>
    <w:lvl w:ilvl="0" w:tplc="70804CB0">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46078B3"/>
    <w:multiLevelType w:val="hybridMultilevel"/>
    <w:tmpl w:val="C7C8DE0C"/>
    <w:lvl w:ilvl="0" w:tplc="292CD402">
      <w:start w:val="1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ACE796C"/>
    <w:multiLevelType w:val="hybridMultilevel"/>
    <w:tmpl w:val="27B82740"/>
    <w:lvl w:ilvl="0" w:tplc="11DC6D8C">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Finansdepartementet"/>
    <w:docVar w:name="Regering" w:val="N"/>
  </w:docVars>
  <w:rsids>
    <w:rsidRoot w:val="000275D0"/>
    <w:rsid w:val="000275D0"/>
    <w:rsid w:val="00047000"/>
    <w:rsid w:val="00132B02"/>
    <w:rsid w:val="00150384"/>
    <w:rsid w:val="00160901"/>
    <w:rsid w:val="001805B7"/>
    <w:rsid w:val="00263663"/>
    <w:rsid w:val="00272A7E"/>
    <w:rsid w:val="00282E40"/>
    <w:rsid w:val="00367B1C"/>
    <w:rsid w:val="0038123A"/>
    <w:rsid w:val="004A328D"/>
    <w:rsid w:val="004E6061"/>
    <w:rsid w:val="0058762B"/>
    <w:rsid w:val="005917E9"/>
    <w:rsid w:val="006B27EF"/>
    <w:rsid w:val="006B4E42"/>
    <w:rsid w:val="006E4E11"/>
    <w:rsid w:val="007242A3"/>
    <w:rsid w:val="0077404B"/>
    <w:rsid w:val="007A6855"/>
    <w:rsid w:val="007E7C3B"/>
    <w:rsid w:val="00880A79"/>
    <w:rsid w:val="0092027A"/>
    <w:rsid w:val="009227B9"/>
    <w:rsid w:val="00955E31"/>
    <w:rsid w:val="00992E72"/>
    <w:rsid w:val="00AF26D1"/>
    <w:rsid w:val="00C05A2D"/>
    <w:rsid w:val="00C4717B"/>
    <w:rsid w:val="00CB1209"/>
    <w:rsid w:val="00D133D7"/>
    <w:rsid w:val="00DD1B04"/>
    <w:rsid w:val="00E23BD5"/>
    <w:rsid w:val="00E80146"/>
    <w:rsid w:val="00E904D0"/>
    <w:rsid w:val="00E90A3A"/>
    <w:rsid w:val="00EB1832"/>
    <w:rsid w:val="00EC25F9"/>
    <w:rsid w:val="00ED583F"/>
    <w:rsid w:val="00F058B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832"/>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EB1832"/>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EB1832"/>
    <w:pPr>
      <w:spacing w:before="360"/>
      <w:outlineLvl w:val="1"/>
    </w:pPr>
  </w:style>
  <w:style w:type="paragraph" w:styleId="Heading3">
    <w:name w:val="heading 3"/>
    <w:basedOn w:val="Heading2"/>
    <w:next w:val="RKnormal"/>
    <w:link w:val="Heading3Char"/>
    <w:uiPriority w:val="99"/>
    <w:qFormat/>
    <w:rsid w:val="00EB1832"/>
    <w:pPr>
      <w:spacing w:after="120" w:line="240" w:lineRule="atLeast"/>
      <w:outlineLvl w:val="2"/>
    </w:pPr>
    <w:rPr>
      <w:b w:val="0"/>
    </w:rPr>
  </w:style>
  <w:style w:type="paragraph" w:styleId="Heading4">
    <w:name w:val="heading 4"/>
    <w:basedOn w:val="Heading3"/>
    <w:next w:val="RKnormal"/>
    <w:link w:val="Heading4Char"/>
    <w:uiPriority w:val="99"/>
    <w:qFormat/>
    <w:rsid w:val="00EB1832"/>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F0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D4F0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D4F0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D4F0E"/>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EB183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B1832"/>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2D4F0E"/>
    <w:rPr>
      <w:rFonts w:ascii="OrigGarmnd BT" w:hAnsi="OrigGarmnd BT"/>
      <w:sz w:val="24"/>
      <w:szCs w:val="20"/>
      <w:lang w:eastAsia="en-US"/>
    </w:rPr>
  </w:style>
  <w:style w:type="paragraph" w:styleId="Header">
    <w:name w:val="header"/>
    <w:basedOn w:val="Normal"/>
    <w:link w:val="HeaderChar"/>
    <w:uiPriority w:val="99"/>
    <w:rsid w:val="00EB1832"/>
    <w:pPr>
      <w:tabs>
        <w:tab w:val="center" w:pos="4153"/>
        <w:tab w:val="right" w:pos="8306"/>
      </w:tabs>
    </w:pPr>
  </w:style>
  <w:style w:type="character" w:customStyle="1" w:styleId="HeaderChar">
    <w:name w:val="Header Char"/>
    <w:basedOn w:val="DefaultParagraphFont"/>
    <w:link w:val="Header"/>
    <w:uiPriority w:val="99"/>
    <w:semiHidden/>
    <w:rsid w:val="002D4F0E"/>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EB1832"/>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B1832"/>
    <w:rPr>
      <w:rFonts w:cs="Times New Roman"/>
    </w:rPr>
  </w:style>
  <w:style w:type="paragraph" w:styleId="BalloonText">
    <w:name w:val="Balloon Text"/>
    <w:basedOn w:val="Normal"/>
    <w:link w:val="BalloonTextChar"/>
    <w:uiPriority w:val="99"/>
    <w:rsid w:val="007740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7404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717</Words>
  <Characters>4689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Departementsrådet Lena Gustafson</dc:creator>
  <cp:keywords/>
  <dc:description/>
  <cp:lastModifiedBy>ha0808ab</cp:lastModifiedBy>
  <cp:revision>2</cp:revision>
  <cp:lastPrinted>2012-11-30T15:31:00Z</cp:lastPrinted>
  <dcterms:created xsi:type="dcterms:W3CDTF">2012-11-30T15:32:00Z</dcterms:created>
  <dcterms:modified xsi:type="dcterms:W3CDTF">2012-11-30T15:32:00Z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0x01010053E1D612BA3F4E21AA250ECD751942B300BEB80B031A7EB547B6901546B9851C7A</vt:lpwstr>
  </property>
  <property fmtid="{D5CDD505-2E9C-101B-9397-08002B2CF9AE}" pid="6" name="_dlc_DocIdItemGuid">
    <vt:lpwstr>342c6eb8-f629-497c-a25f-e083ee64c714</vt:lpwstr>
  </property>
  <property fmtid="{D5CDD505-2E9C-101B-9397-08002B2CF9AE}" pid="7" name="RKOrdnaCheckInComment">
    <vt:lpwstr/>
  </property>
  <property fmtid="{D5CDD505-2E9C-101B-9397-08002B2CF9AE}" pid="8" name="RKOrdnaClass">
    <vt:lpwstr/>
  </property>
  <property fmtid="{D5CDD505-2E9C-101B-9397-08002B2CF9AE}" pid="9" name="k46d94c0acf84ab9a79866a9d8b1905f">
    <vt:lpwstr/>
  </property>
  <property fmtid="{D5CDD505-2E9C-101B-9397-08002B2CF9AE}" pid="10" name="Nyckelord">
    <vt:lpwstr/>
  </property>
  <property fmtid="{D5CDD505-2E9C-101B-9397-08002B2CF9AE}" pid="11" name="Sekretess">
    <vt:lpwstr/>
  </property>
  <property fmtid="{D5CDD505-2E9C-101B-9397-08002B2CF9AE}" pid="12" name="Diarienummer">
    <vt:lpwstr/>
  </property>
  <property fmtid="{D5CDD505-2E9C-101B-9397-08002B2CF9AE}" pid="13" name="c9cd366cc722410295b9eacffbd73909">
    <vt:lpwstr/>
  </property>
  <property fmtid="{D5CDD505-2E9C-101B-9397-08002B2CF9AE}" pid="14" name="TaxCatchAll">
    <vt:lpwstr/>
  </property>
  <property fmtid="{D5CDD505-2E9C-101B-9397-08002B2CF9AE}" pid="15" name="_dlc_DocId">
    <vt:lpwstr>W2C5EU7TYCK3-13-290</vt:lpwstr>
  </property>
  <property fmtid="{D5CDD505-2E9C-101B-9397-08002B2CF9AE}" pid="16" name="_dlc_DocIdUrl">
    <vt:lpwstr>http://rkdhs-ud/enhet/fim/29_30_maj/_layouts/DocIdRedir.aspx?ID=W2C5EU7TYCK3-13-290, W2C5EU7TYCK3-13-290</vt:lpwstr>
  </property>
</Properties>
</file>