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EE1AF5" w:rsidTr="00170BBA">
        <w:tc>
          <w:tcPr>
            <w:tcW w:w="2268" w:type="dxa"/>
          </w:tcPr>
          <w:p w:rsidR="00EE1AF5" w:rsidRDefault="00EE1AF5" w:rsidP="00170BBA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EE1AF5" w:rsidRPr="000E38E8" w:rsidRDefault="00EE1AF5" w:rsidP="00170BBA">
            <w:pPr>
              <w:framePr w:w="5035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</w:t>
            </w:r>
          </w:p>
        </w:tc>
      </w:tr>
      <w:tr w:rsidR="00EE1AF5" w:rsidTr="00170BBA">
        <w:tc>
          <w:tcPr>
            <w:tcW w:w="5267" w:type="dxa"/>
            <w:gridSpan w:val="3"/>
          </w:tcPr>
          <w:p w:rsidR="00EE1AF5" w:rsidRDefault="00EE1AF5" w:rsidP="00170BBA">
            <w:pPr>
              <w:framePr w:w="5035" w:h="1644" w:wrap="notBeside" w:vAnchor="page" w:hAnchor="page" w:x="6573" w:y="721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EE1AF5" w:rsidTr="00170BBA">
        <w:tc>
          <w:tcPr>
            <w:tcW w:w="3402" w:type="dxa"/>
            <w:gridSpan w:val="2"/>
          </w:tcPr>
          <w:p w:rsidR="00EE1AF5" w:rsidRPr="00ED10A8" w:rsidRDefault="00EE1AF5" w:rsidP="00170BBA">
            <w:pPr>
              <w:framePr w:w="5035" w:h="1644" w:wrap="notBeside" w:vAnchor="page" w:hAnchor="page" w:x="6573" w:y="721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EE1AF5" w:rsidRDefault="00EE1AF5" w:rsidP="00170BBA">
            <w:pPr>
              <w:framePr w:w="5035" w:h="1644" w:wrap="notBeside" w:vAnchor="page" w:hAnchor="page" w:x="6573" w:y="721"/>
            </w:pPr>
          </w:p>
        </w:tc>
      </w:tr>
      <w:tr w:rsidR="00EE1AF5" w:rsidTr="00170BBA">
        <w:tc>
          <w:tcPr>
            <w:tcW w:w="2268" w:type="dxa"/>
          </w:tcPr>
          <w:p w:rsidR="00EE1AF5" w:rsidRDefault="00EE1AF5" w:rsidP="005277FD">
            <w:pPr>
              <w:framePr w:w="5035" w:h="1644" w:wrap="notBeside" w:vAnchor="page" w:hAnchor="page" w:x="6573" w:y="721"/>
            </w:pPr>
            <w:r>
              <w:t>2013-01-28</w:t>
            </w: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EE1AF5" w:rsidRPr="00ED583F" w:rsidRDefault="00EE1AF5" w:rsidP="00170BBA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EE1AF5" w:rsidTr="00170BBA">
        <w:tc>
          <w:tcPr>
            <w:tcW w:w="2268" w:type="dxa"/>
          </w:tcPr>
          <w:p w:rsidR="00EE1AF5" w:rsidRDefault="00EE1AF5" w:rsidP="00170BBA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E1AF5" w:rsidRDefault="00EE1AF5" w:rsidP="00170BBA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EE1AF5" w:rsidTr="00170BBA">
        <w:trPr>
          <w:trHeight w:val="284"/>
        </w:trPr>
        <w:tc>
          <w:tcPr>
            <w:tcW w:w="4911" w:type="dxa"/>
          </w:tcPr>
          <w:p w:rsidR="00EE1AF5" w:rsidRDefault="00EE1AF5" w:rsidP="00170B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</w:tc>
      </w:tr>
      <w:tr w:rsidR="00EE1AF5" w:rsidTr="00170BBA">
        <w:trPr>
          <w:trHeight w:val="284"/>
        </w:trPr>
        <w:tc>
          <w:tcPr>
            <w:tcW w:w="4911" w:type="dxa"/>
          </w:tcPr>
          <w:p w:rsidR="00EE1AF5" w:rsidRDefault="00EE1AF5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1AF5" w:rsidRPr="00ED10A8" w:rsidTr="00170BBA">
        <w:trPr>
          <w:trHeight w:val="284"/>
        </w:trPr>
        <w:tc>
          <w:tcPr>
            <w:tcW w:w="4911" w:type="dxa"/>
          </w:tcPr>
          <w:p w:rsidR="00EE1AF5" w:rsidRDefault="00EE1AF5" w:rsidP="00170B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Kansliet för samordning av EU-frågor</w:t>
            </w:r>
          </w:p>
        </w:tc>
      </w:tr>
      <w:tr w:rsidR="00EE1AF5" w:rsidRPr="00ED10A8" w:rsidTr="00170BBA">
        <w:trPr>
          <w:trHeight w:val="284"/>
        </w:trPr>
        <w:tc>
          <w:tcPr>
            <w:tcW w:w="4911" w:type="dxa"/>
          </w:tcPr>
          <w:p w:rsidR="00EE1AF5" w:rsidRDefault="00EE1AF5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1AF5" w:rsidRPr="00ED10A8" w:rsidTr="00170BBA">
        <w:trPr>
          <w:trHeight w:val="284"/>
        </w:trPr>
        <w:tc>
          <w:tcPr>
            <w:tcW w:w="4911" w:type="dxa"/>
          </w:tcPr>
          <w:p w:rsidR="00EE1AF5" w:rsidRDefault="00EE1AF5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1AF5" w:rsidRPr="00ED10A8" w:rsidTr="00170BBA">
        <w:trPr>
          <w:trHeight w:val="284"/>
        </w:trPr>
        <w:tc>
          <w:tcPr>
            <w:tcW w:w="4911" w:type="dxa"/>
          </w:tcPr>
          <w:p w:rsidR="00EE1AF5" w:rsidRDefault="00EE1AF5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1AF5" w:rsidRPr="00ED10A8" w:rsidTr="00170BBA">
        <w:trPr>
          <w:trHeight w:val="284"/>
        </w:trPr>
        <w:tc>
          <w:tcPr>
            <w:tcW w:w="4911" w:type="dxa"/>
          </w:tcPr>
          <w:p w:rsidR="00EE1AF5" w:rsidRDefault="00EE1AF5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1AF5" w:rsidRPr="00ED10A8" w:rsidTr="00170BBA">
        <w:trPr>
          <w:trHeight w:val="284"/>
        </w:trPr>
        <w:tc>
          <w:tcPr>
            <w:tcW w:w="4911" w:type="dxa"/>
          </w:tcPr>
          <w:p w:rsidR="00EE1AF5" w:rsidRDefault="00EE1AF5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E1AF5" w:rsidRPr="00ED10A8" w:rsidTr="00170BBA">
        <w:trPr>
          <w:trHeight w:val="284"/>
        </w:trPr>
        <w:tc>
          <w:tcPr>
            <w:tcW w:w="4911" w:type="dxa"/>
          </w:tcPr>
          <w:p w:rsidR="00EE1AF5" w:rsidRDefault="00EE1AF5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E1AF5" w:rsidRPr="00ED10A8" w:rsidRDefault="00EE1AF5" w:rsidP="00652326">
      <w:pPr>
        <w:framePr w:w="4400" w:h="2523" w:wrap="notBeside" w:vAnchor="page" w:hAnchor="page" w:x="6453" w:y="2445"/>
        <w:ind w:left="142"/>
        <w:rPr>
          <w:b/>
        </w:rPr>
      </w:pPr>
    </w:p>
    <w:p w:rsidR="00EE1AF5" w:rsidRDefault="00EE1AF5" w:rsidP="00652326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Allmänna rådets möte den 4 februari 2013</w:t>
      </w:r>
    </w:p>
    <w:p w:rsidR="00EE1AF5" w:rsidRPr="00783F83" w:rsidRDefault="00EE1AF5" w:rsidP="00652326">
      <w:pPr>
        <w:pStyle w:val="RKrubrik"/>
        <w:rPr>
          <w:color w:val="000000"/>
        </w:rPr>
      </w:pPr>
      <w:r w:rsidRPr="00783F83">
        <w:rPr>
          <w:color w:val="000000"/>
        </w:rPr>
        <w:t>Kommenterad dagordning</w:t>
      </w:r>
    </w:p>
    <w:p w:rsidR="00EE1AF5" w:rsidRPr="00783F83" w:rsidRDefault="00EE1AF5" w:rsidP="00A020AA">
      <w:pPr>
        <w:pStyle w:val="RKrubrik"/>
        <w:numPr>
          <w:ilvl w:val="0"/>
          <w:numId w:val="5"/>
        </w:numPr>
        <w:ind w:left="0" w:firstLine="0"/>
        <w:rPr>
          <w:color w:val="000000"/>
        </w:rPr>
      </w:pPr>
      <w:r w:rsidRPr="00783F83">
        <w:rPr>
          <w:color w:val="000000"/>
        </w:rPr>
        <w:t>Godkännande av dagordningen</w:t>
      </w:r>
    </w:p>
    <w:p w:rsidR="00EE1AF5" w:rsidRPr="00783F83" w:rsidRDefault="00EE1AF5" w:rsidP="00777488">
      <w:pPr>
        <w:pStyle w:val="RKnormal"/>
        <w:rPr>
          <w:color w:val="000000"/>
        </w:rPr>
      </w:pPr>
    </w:p>
    <w:p w:rsidR="00EE1AF5" w:rsidRPr="00783F83" w:rsidRDefault="00EE1AF5" w:rsidP="00777488">
      <w:pPr>
        <w:pStyle w:val="RKnormal"/>
        <w:rPr>
          <w:i/>
          <w:color w:val="000000"/>
          <w:u w:val="single"/>
        </w:rPr>
      </w:pPr>
      <w:r w:rsidRPr="00783F83">
        <w:rPr>
          <w:i/>
          <w:color w:val="000000"/>
          <w:u w:val="single"/>
        </w:rPr>
        <w:t>Lagstiftningsöverläggningar</w:t>
      </w:r>
    </w:p>
    <w:p w:rsidR="00EE1AF5" w:rsidRDefault="00EE1AF5" w:rsidP="00CA2957">
      <w:pPr>
        <w:pStyle w:val="RKrubrik"/>
        <w:numPr>
          <w:ilvl w:val="0"/>
          <w:numId w:val="5"/>
        </w:numPr>
        <w:rPr>
          <w:color w:val="000000"/>
          <w:szCs w:val="22"/>
        </w:rPr>
      </w:pPr>
      <w:r w:rsidRPr="00783F83">
        <w:rPr>
          <w:color w:val="000000"/>
          <w:szCs w:val="22"/>
        </w:rPr>
        <w:t>(ev.) Godkännande av A-punktslistan</w:t>
      </w:r>
    </w:p>
    <w:p w:rsidR="00EE1AF5" w:rsidRPr="00783F83" w:rsidRDefault="00EE1AF5" w:rsidP="00511A0A">
      <w:pPr>
        <w:pStyle w:val="RKnormal"/>
        <w:numPr>
          <w:ilvl w:val="0"/>
          <w:numId w:val="5"/>
        </w:numPr>
        <w:tabs>
          <w:tab w:val="left" w:pos="1134"/>
        </w:tabs>
        <w:spacing w:before="360" w:after="120"/>
        <w:rPr>
          <w:rFonts w:ascii="TradeGothic" w:hAnsi="TradeGothic"/>
          <w:color w:val="000000"/>
          <w:sz w:val="22"/>
          <w:szCs w:val="22"/>
        </w:rPr>
      </w:pPr>
      <w:bookmarkStart w:id="2" w:name="_Toc309385852"/>
      <w:bookmarkStart w:id="3" w:name="_Toc309385762"/>
      <w:r w:rsidRPr="00783F83">
        <w:rPr>
          <w:rFonts w:ascii="TradeGothic" w:hAnsi="TradeGothic"/>
          <w:b/>
          <w:color w:val="000000"/>
          <w:sz w:val="22"/>
          <w:szCs w:val="22"/>
        </w:rPr>
        <w:t>AOB</w:t>
      </w:r>
    </w:p>
    <w:p w:rsidR="00EE1AF5" w:rsidRPr="00783F83" w:rsidRDefault="00EE1AF5" w:rsidP="00511A0A">
      <w:pPr>
        <w:pStyle w:val="RKnormal"/>
        <w:tabs>
          <w:tab w:val="clear" w:pos="2835"/>
          <w:tab w:val="left" w:pos="1276"/>
        </w:tabs>
        <w:ind w:left="567"/>
        <w:rPr>
          <w:color w:val="000000"/>
          <w:szCs w:val="24"/>
        </w:rPr>
      </w:pPr>
      <w:r w:rsidRPr="00783F83">
        <w:rPr>
          <w:color w:val="000000"/>
          <w:szCs w:val="24"/>
        </w:rPr>
        <w:t>=</w:t>
      </w:r>
      <w:r w:rsidRPr="00783F83">
        <w:rPr>
          <w:color w:val="000000"/>
          <w:szCs w:val="24"/>
        </w:rPr>
        <w:tab/>
        <w:t>(ev.) Information från ordförandeskapet om aktuella lagförslag</w:t>
      </w:r>
    </w:p>
    <w:bookmarkEnd w:id="2"/>
    <w:bookmarkEnd w:id="3"/>
    <w:p w:rsidR="00EE1AF5" w:rsidRPr="00783F83" w:rsidRDefault="00EE1AF5" w:rsidP="00777488">
      <w:pPr>
        <w:pStyle w:val="RKnormal"/>
        <w:rPr>
          <w:color w:val="000000"/>
        </w:rPr>
      </w:pPr>
    </w:p>
    <w:p w:rsidR="00EE1AF5" w:rsidRPr="00783F83" w:rsidRDefault="00EE1AF5" w:rsidP="002F4832">
      <w:pPr>
        <w:pStyle w:val="Default"/>
        <w:rPr>
          <w:i/>
          <w:iCs/>
          <w:u w:val="single"/>
        </w:rPr>
      </w:pPr>
      <w:r w:rsidRPr="00783F83">
        <w:rPr>
          <w:i/>
          <w:iCs/>
          <w:u w:val="single"/>
        </w:rPr>
        <w:t>Icke lagstiftande verksamhet</w:t>
      </w:r>
    </w:p>
    <w:p w:rsidR="00EE1AF5" w:rsidRPr="00783F83" w:rsidRDefault="00EE1AF5" w:rsidP="002F4832">
      <w:pPr>
        <w:pStyle w:val="RKnormal"/>
        <w:rPr>
          <w:i/>
          <w:color w:val="000000"/>
        </w:rPr>
      </w:pPr>
    </w:p>
    <w:p w:rsidR="00EE1AF5" w:rsidRDefault="00EE1AF5" w:rsidP="000D6154">
      <w:pPr>
        <w:pStyle w:val="RKrubrik"/>
        <w:numPr>
          <w:ilvl w:val="0"/>
          <w:numId w:val="5"/>
        </w:numPr>
      </w:pPr>
      <w:r w:rsidRPr="008D26FB">
        <w:rPr>
          <w:color w:val="000000"/>
        </w:rPr>
        <w:t>Godkännande av A-punktslistan</w:t>
      </w:r>
    </w:p>
    <w:p w:rsidR="00EE1AF5" w:rsidRPr="005277FD" w:rsidRDefault="00EE1AF5" w:rsidP="005277FD">
      <w:pPr>
        <w:pStyle w:val="RKrubrik"/>
        <w:numPr>
          <w:ilvl w:val="0"/>
          <w:numId w:val="5"/>
        </w:numPr>
        <w:ind w:left="1134"/>
      </w:pPr>
      <w:r>
        <w:t>Resolutioner, synpunkter och beslut antagna av Europaparlamentet</w:t>
      </w:r>
      <w:r w:rsidRPr="00CA2957">
        <w:rPr>
          <w:color w:val="000000"/>
        </w:rPr>
        <w:t xml:space="preserve"> </w:t>
      </w:r>
    </w:p>
    <w:p w:rsidR="00EE1AF5" w:rsidRDefault="00EE1AF5" w:rsidP="00FF754D">
      <w:pPr>
        <w:pStyle w:val="Default"/>
        <w:rPr>
          <w:rFonts w:cs="Times New Roman"/>
          <w:i/>
          <w:color w:val="auto"/>
          <w:lang w:eastAsia="en-US"/>
        </w:rPr>
      </w:pPr>
      <w:r>
        <w:rPr>
          <w:rFonts w:cs="Times New Roman"/>
          <w:i/>
          <w:color w:val="auto"/>
          <w:lang w:eastAsia="en-US"/>
        </w:rPr>
        <w:t>Informationspunkt</w:t>
      </w:r>
    </w:p>
    <w:p w:rsidR="00EE1AF5" w:rsidRDefault="00EE1AF5" w:rsidP="00FF754D">
      <w:pPr>
        <w:pStyle w:val="Default"/>
        <w:rPr>
          <w:rFonts w:cs="Times New Roman"/>
          <w:i/>
          <w:color w:val="auto"/>
          <w:lang w:eastAsia="en-US"/>
        </w:rPr>
      </w:pPr>
    </w:p>
    <w:p w:rsidR="00EE1AF5" w:rsidRDefault="00EE1AF5" w:rsidP="00FF754D">
      <w:pPr>
        <w:spacing w:after="120"/>
        <w:rPr>
          <w:rFonts w:ascii="TradeGothic" w:hAnsi="TradeGothic"/>
          <w:b/>
          <w:sz w:val="22"/>
        </w:rPr>
      </w:pPr>
      <w:r>
        <w:t>Allmänna rådet avser att notera resolutioner, yttranden och beslut antagna av Europaparlamentet under sammanträdesperioden den 10-13 december 2012 och 14-17 januari 2013. Detta är en standardpunkt på dagordningen.</w:t>
      </w:r>
    </w:p>
    <w:p w:rsidR="00EE1AF5" w:rsidRDefault="00EE1AF5" w:rsidP="0077370E">
      <w:pPr>
        <w:pStyle w:val="RKnormal"/>
        <w:numPr>
          <w:ilvl w:val="0"/>
          <w:numId w:val="5"/>
        </w:numPr>
        <w:spacing w:before="360" w:after="120"/>
        <w:rPr>
          <w:rFonts w:ascii="TradeGothic" w:hAnsi="TradeGothic"/>
          <w:b/>
          <w:color w:val="000000"/>
          <w:sz w:val="22"/>
          <w:szCs w:val="22"/>
        </w:rPr>
      </w:pPr>
      <w:r>
        <w:rPr>
          <w:rFonts w:ascii="TradeGothic" w:hAnsi="TradeGothic"/>
          <w:b/>
          <w:color w:val="000000"/>
          <w:sz w:val="22"/>
          <w:szCs w:val="22"/>
        </w:rPr>
        <w:t>Presentation av ordförandeskapets arbetsprogram</w:t>
      </w:r>
    </w:p>
    <w:p w:rsidR="00EE1AF5" w:rsidRPr="00DD66A9" w:rsidRDefault="00EE1AF5" w:rsidP="001A512D">
      <w:pPr>
        <w:pStyle w:val="RKnormal"/>
        <w:rPr>
          <w:i/>
        </w:rPr>
      </w:pPr>
      <w:r w:rsidRPr="00DD66A9">
        <w:rPr>
          <w:i/>
        </w:rPr>
        <w:t xml:space="preserve">Diskussionspunkt </w:t>
      </w:r>
      <w:r>
        <w:rPr>
          <w:i/>
        </w:rPr>
        <w:t>(offentlig debatt)</w:t>
      </w:r>
    </w:p>
    <w:p w:rsidR="00EE1AF5" w:rsidRDefault="00EE1AF5" w:rsidP="001A512D">
      <w:pPr>
        <w:pStyle w:val="RKnormal"/>
      </w:pPr>
    </w:p>
    <w:p w:rsidR="00EE1AF5" w:rsidRDefault="00EE1AF5" w:rsidP="001A512D">
      <w:pPr>
        <w:tabs>
          <w:tab w:val="left" w:pos="2835"/>
        </w:tabs>
        <w:spacing w:line="240" w:lineRule="auto"/>
        <w:rPr>
          <w:rFonts w:cs="OrigGarmnd BT"/>
          <w:iCs/>
          <w:color w:val="000000"/>
          <w:szCs w:val="24"/>
          <w:lang w:eastAsia="sv-SE"/>
        </w:rPr>
      </w:pPr>
      <w:r>
        <w:rPr>
          <w:rFonts w:cs="OrigGarmnd BT"/>
          <w:iCs/>
          <w:color w:val="000000"/>
          <w:szCs w:val="24"/>
          <w:lang w:eastAsia="sv-SE"/>
        </w:rPr>
        <w:t>Det irländska ordförandeskapet avser att presentera sitt arbetsprogram för rådets arbete under det första halvåret 2013. Enligt arbetsprogrammet kommer det irländska ordförandeskapet lägga stor vikt vid att driva EU:s agenda framåt inom ramen för tre övergripande områden:</w:t>
      </w:r>
    </w:p>
    <w:p w:rsidR="00EE1AF5" w:rsidRDefault="00EE1AF5" w:rsidP="001A512D">
      <w:pPr>
        <w:tabs>
          <w:tab w:val="left" w:pos="2835"/>
        </w:tabs>
        <w:spacing w:line="240" w:lineRule="auto"/>
        <w:rPr>
          <w:rFonts w:cs="OrigGarmnd BT"/>
          <w:iCs/>
          <w:color w:val="000000"/>
          <w:szCs w:val="24"/>
          <w:lang w:eastAsia="sv-SE"/>
        </w:rPr>
      </w:pPr>
    </w:p>
    <w:p w:rsidR="00EE1AF5" w:rsidRPr="000567F6" w:rsidRDefault="00EE1AF5" w:rsidP="000567F6">
      <w:pPr>
        <w:pStyle w:val="ListParagraph"/>
        <w:numPr>
          <w:ilvl w:val="0"/>
          <w:numId w:val="23"/>
        </w:numPr>
        <w:tabs>
          <w:tab w:val="left" w:pos="2835"/>
        </w:tabs>
        <w:spacing w:line="240" w:lineRule="auto"/>
        <w:rPr>
          <w:rFonts w:cs="OrigGarmnd BT"/>
          <w:iCs/>
          <w:color w:val="000000"/>
          <w:szCs w:val="24"/>
          <w:lang w:eastAsia="sv-SE"/>
        </w:rPr>
      </w:pPr>
      <w:r w:rsidRPr="000567F6">
        <w:rPr>
          <w:rFonts w:cs="OrigGarmnd BT"/>
          <w:iCs/>
          <w:color w:val="000000"/>
          <w:szCs w:val="24"/>
          <w:lang w:eastAsia="sv-SE"/>
        </w:rPr>
        <w:t xml:space="preserve">stärka stabiliteten genom arbetet med en bankunion, den europeiska terminen och EMU; </w:t>
      </w:r>
    </w:p>
    <w:p w:rsidR="00EE1AF5" w:rsidRPr="000567F6" w:rsidRDefault="00EE1AF5" w:rsidP="000567F6">
      <w:pPr>
        <w:pStyle w:val="ListParagraph"/>
        <w:tabs>
          <w:tab w:val="left" w:pos="2835"/>
        </w:tabs>
        <w:spacing w:line="240" w:lineRule="auto"/>
        <w:rPr>
          <w:rFonts w:cs="OrigGarmnd BT"/>
          <w:iCs/>
          <w:color w:val="000000"/>
          <w:szCs w:val="24"/>
          <w:lang w:eastAsia="sv-SE"/>
        </w:rPr>
      </w:pPr>
    </w:p>
    <w:p w:rsidR="00EE1AF5" w:rsidRDefault="00EE1AF5" w:rsidP="001A512D">
      <w:pPr>
        <w:pStyle w:val="ListParagraph"/>
        <w:numPr>
          <w:ilvl w:val="0"/>
          <w:numId w:val="23"/>
        </w:numPr>
        <w:tabs>
          <w:tab w:val="left" w:pos="2835"/>
        </w:tabs>
        <w:spacing w:line="240" w:lineRule="auto"/>
        <w:rPr>
          <w:rFonts w:cs="OrigGarmnd BT"/>
          <w:iCs/>
          <w:color w:val="000000"/>
          <w:szCs w:val="24"/>
          <w:lang w:eastAsia="sv-SE"/>
        </w:rPr>
      </w:pPr>
      <w:r w:rsidRPr="000567F6">
        <w:rPr>
          <w:rFonts w:cs="OrigGarmnd BT"/>
          <w:iCs/>
          <w:color w:val="000000"/>
          <w:szCs w:val="24"/>
          <w:lang w:eastAsia="sv-SE"/>
        </w:rPr>
        <w:t xml:space="preserve">investera i hållbar sysselsättning och tillväxt genom åtgärder på den inre marknaden, hantering av ungdomsarbetslöshet, kanalisera EU-medel för jobb och tillväxt samt verka för smart och hållbar tillväxt; </w:t>
      </w:r>
    </w:p>
    <w:p w:rsidR="00EE1AF5" w:rsidRPr="000567F6" w:rsidRDefault="00EE1AF5" w:rsidP="000567F6">
      <w:pPr>
        <w:pStyle w:val="ListParagraph"/>
        <w:rPr>
          <w:rFonts w:cs="OrigGarmnd BT"/>
          <w:iCs/>
          <w:color w:val="000000"/>
          <w:szCs w:val="24"/>
          <w:lang w:eastAsia="sv-SE"/>
        </w:rPr>
      </w:pPr>
    </w:p>
    <w:p w:rsidR="00EE1AF5" w:rsidRPr="000567F6" w:rsidRDefault="00EE1AF5" w:rsidP="001A512D">
      <w:pPr>
        <w:pStyle w:val="ListParagraph"/>
        <w:numPr>
          <w:ilvl w:val="0"/>
          <w:numId w:val="23"/>
        </w:numPr>
        <w:tabs>
          <w:tab w:val="left" w:pos="2835"/>
        </w:tabs>
        <w:spacing w:line="240" w:lineRule="auto"/>
        <w:rPr>
          <w:rFonts w:cs="OrigGarmnd BT"/>
          <w:iCs/>
          <w:color w:val="000000"/>
          <w:szCs w:val="24"/>
          <w:lang w:eastAsia="sv-SE"/>
        </w:rPr>
      </w:pPr>
      <w:r w:rsidRPr="000567F6">
        <w:rPr>
          <w:rFonts w:cs="OrigGarmnd BT"/>
          <w:iCs/>
          <w:color w:val="000000"/>
          <w:szCs w:val="24"/>
          <w:lang w:eastAsia="sv-SE"/>
        </w:rPr>
        <w:t>Europa och världen genom fortsatt stödjande av fred, säkerhet och demokrati, bekämp</w:t>
      </w:r>
      <w:r>
        <w:rPr>
          <w:rFonts w:cs="OrigGarmnd BT"/>
          <w:iCs/>
          <w:color w:val="000000"/>
          <w:szCs w:val="24"/>
          <w:lang w:eastAsia="sv-SE"/>
        </w:rPr>
        <w:t>ande</w:t>
      </w:r>
      <w:r w:rsidRPr="000567F6">
        <w:rPr>
          <w:rFonts w:cs="OrigGarmnd BT"/>
          <w:iCs/>
          <w:color w:val="000000"/>
          <w:szCs w:val="24"/>
          <w:lang w:eastAsia="sv-SE"/>
        </w:rPr>
        <w:t xml:space="preserve"> av global fattigdom och hunger, nya marknader för europeiska exportföretag och förnyat ledarskap i klimatarbetet.</w:t>
      </w:r>
    </w:p>
    <w:p w:rsidR="00EE1AF5" w:rsidRDefault="00EE1AF5" w:rsidP="001A512D"/>
    <w:p w:rsidR="00EE1AF5" w:rsidRDefault="00EE1AF5" w:rsidP="001A512D">
      <w:r>
        <w:t>Regeringen kommer att så långt möjligt stödja det irländska ordförandeskapets ambitioner och bidra till att förtroendet för det europeiska samarbetet stärks och till ökad trygghet och framtidstro för unionens medborgare.</w:t>
      </w:r>
    </w:p>
    <w:p w:rsidR="00EE1AF5" w:rsidRDefault="00EE1AF5" w:rsidP="001A512D"/>
    <w:p w:rsidR="00EE1AF5" w:rsidRDefault="00EE1AF5" w:rsidP="001A512D">
      <w:r>
        <w:t>Någon diskussion vid rådsmötet förväntas inte, även om enstaka inlägg inte kan uteslutas.</w:t>
      </w:r>
    </w:p>
    <w:p w:rsidR="00EE1AF5" w:rsidRDefault="00EE1AF5" w:rsidP="000D6154">
      <w:pPr>
        <w:pStyle w:val="RKrubrik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Förberedelser av Europeiska rådet den 7-8 februari 2013</w:t>
      </w:r>
    </w:p>
    <w:p w:rsidR="00EE1AF5" w:rsidRDefault="00EE1AF5" w:rsidP="000D6154">
      <w:pPr>
        <w:pStyle w:val="RKnormal"/>
        <w:rPr>
          <w:i/>
          <w:iCs/>
        </w:rPr>
      </w:pPr>
      <w:r>
        <w:rPr>
          <w:i/>
          <w:iCs/>
        </w:rPr>
        <w:t>Diskussionspunkt</w:t>
      </w:r>
    </w:p>
    <w:p w:rsidR="00EE1AF5" w:rsidRDefault="00EE1AF5" w:rsidP="000D6154">
      <w:pPr>
        <w:pStyle w:val="RKnormal"/>
        <w:rPr>
          <w:i/>
          <w:iCs/>
        </w:rPr>
      </w:pPr>
    </w:p>
    <w:p w:rsidR="00EE1AF5" w:rsidRPr="008D26FB" w:rsidRDefault="00EE1AF5" w:rsidP="008D26FB">
      <w:r>
        <w:t>Allmänna rådet</w:t>
      </w:r>
      <w:r w:rsidRPr="008D26FB">
        <w:t xml:space="preserve"> ska på sedvanligt </w:t>
      </w:r>
      <w:r>
        <w:t>sätt</w:t>
      </w:r>
      <w:r w:rsidRPr="008D26FB">
        <w:t xml:space="preserve"> förbereda Europeiska rådets möte som äger rum den 7-8 februari. Den kommenterade dagordningen för Europeiska rådet har delgivits nämnden. På dagordningen står två frågor, handel och yttre förbindelser. Under rubriken yttre förbindelser är det EU:s svar på den s.k. arabiska våren som ska behandlas. I skrivande stund föreligger inte något utkast till slutsatser. </w:t>
      </w:r>
    </w:p>
    <w:p w:rsidR="00EE1AF5" w:rsidRPr="008D26FB" w:rsidRDefault="00EE1AF5" w:rsidP="008D26FB"/>
    <w:p w:rsidR="00EE1AF5" w:rsidRPr="008D26FB" w:rsidRDefault="00EE1AF5" w:rsidP="008D26FB">
      <w:r w:rsidRPr="008D26FB">
        <w:t xml:space="preserve">Såsom nämnden informerats om är det dock EU:s fleråriga budgetram som kommer att utgöra huvudfrågan vid Europeiska rådets möte. Europeiska rådets ordförande har målsättningen att nå en uppgörelse.  </w:t>
      </w:r>
      <w:r>
        <w:t>Behandlingen av d</w:t>
      </w:r>
      <w:r w:rsidRPr="008D26FB">
        <w:t>en fleråriga budgetramen</w:t>
      </w:r>
      <w:r>
        <w:t xml:space="preserve"> vid Europeiska rådets möte </w:t>
      </w:r>
      <w:r w:rsidRPr="008D26FB">
        <w:t>kommer</w:t>
      </w:r>
      <w:r>
        <w:t xml:space="preserve"> denna gång</w:t>
      </w:r>
      <w:r w:rsidRPr="008D26FB">
        <w:t xml:space="preserve"> inte att </w:t>
      </w:r>
      <w:r>
        <w:t>för</w:t>
      </w:r>
      <w:r w:rsidRPr="008D26FB">
        <w:t xml:space="preserve">beredas </w:t>
      </w:r>
      <w:r>
        <w:t>av</w:t>
      </w:r>
      <w:r w:rsidRPr="008D26FB">
        <w:t xml:space="preserve"> </w:t>
      </w:r>
      <w:r>
        <w:t>Allmänna rådet</w:t>
      </w:r>
      <w:r w:rsidRPr="008D26FB">
        <w:t>.</w:t>
      </w:r>
    </w:p>
    <w:p w:rsidR="00EE1AF5" w:rsidRPr="00783F83" w:rsidRDefault="00EE1AF5" w:rsidP="000B7142">
      <w:pPr>
        <w:pStyle w:val="Default"/>
        <w:ind w:left="1860"/>
        <w:rPr>
          <w:rFonts w:ascii="TradeGothic" w:hAnsi="TradeGothic" w:cs="Times New Roman"/>
          <w:b/>
          <w:sz w:val="22"/>
          <w:szCs w:val="20"/>
          <w:lang w:eastAsia="en-US"/>
        </w:rPr>
      </w:pPr>
    </w:p>
    <w:p w:rsidR="00EE1AF5" w:rsidRDefault="00EE1AF5" w:rsidP="008D26FB">
      <w:pPr>
        <w:pStyle w:val="RKrubrik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Förberedelser av Europeiska rådet den 14-15 mars 2013</w:t>
      </w:r>
    </w:p>
    <w:p w:rsidR="00EE1AF5" w:rsidRPr="001A512D" w:rsidRDefault="00EE1AF5" w:rsidP="001A512D">
      <w:pPr>
        <w:rPr>
          <w:rFonts w:ascii="TradeGothic" w:hAnsi="TradeGothic"/>
          <w:b/>
          <w:color w:val="000000"/>
          <w:szCs w:val="24"/>
        </w:rPr>
      </w:pPr>
      <w:r w:rsidRPr="001A512D">
        <w:rPr>
          <w:i/>
          <w:szCs w:val="24"/>
        </w:rPr>
        <w:t>Informationspunkt</w:t>
      </w:r>
    </w:p>
    <w:p w:rsidR="00EE1AF5" w:rsidRPr="004E04F1" w:rsidRDefault="00EE1AF5" w:rsidP="004E04F1">
      <w:pPr>
        <w:rPr>
          <w:rFonts w:ascii="Calibri" w:hAnsi="Calibri" w:cs="Calibri"/>
          <w:szCs w:val="24"/>
        </w:rPr>
      </w:pPr>
      <w:r w:rsidRPr="004E04F1">
        <w:rPr>
          <w:rFonts w:cs="Calibri"/>
          <w:szCs w:val="24"/>
        </w:rPr>
        <w:t>Ett uta</w:t>
      </w:r>
      <w:r>
        <w:rPr>
          <w:rFonts w:cs="Calibri"/>
          <w:szCs w:val="24"/>
        </w:rPr>
        <w:t>s</w:t>
      </w:r>
      <w:r w:rsidRPr="004E04F1">
        <w:rPr>
          <w:rFonts w:cs="Calibri"/>
          <w:szCs w:val="24"/>
        </w:rPr>
        <w:t>t till kommenterad dagordning inför Europeiska rådets möte den 14-15 mars kommer att presenteras vid Allmänna rådets möte.</w:t>
      </w:r>
    </w:p>
    <w:p w:rsidR="00EE1AF5" w:rsidRPr="004E04F1" w:rsidRDefault="00EE1AF5" w:rsidP="004E04F1">
      <w:pPr>
        <w:rPr>
          <w:rFonts w:cs="Calibri"/>
          <w:szCs w:val="24"/>
        </w:rPr>
      </w:pPr>
      <w:r>
        <w:rPr>
          <w:rFonts w:cs="Calibri"/>
          <w:szCs w:val="24"/>
        </w:rPr>
        <w:t>U</w:t>
      </w:r>
      <w:r w:rsidRPr="004E04F1">
        <w:rPr>
          <w:rFonts w:cs="Calibri"/>
          <w:szCs w:val="24"/>
        </w:rPr>
        <w:t xml:space="preserve">tkast till dagordning har ännu inte cirkulerats. </w:t>
      </w:r>
    </w:p>
    <w:p w:rsidR="00EE1AF5" w:rsidRPr="004E04F1" w:rsidRDefault="00EE1AF5" w:rsidP="004E04F1">
      <w:pPr>
        <w:rPr>
          <w:rFonts w:cs="Calibri"/>
          <w:szCs w:val="24"/>
        </w:rPr>
      </w:pPr>
    </w:p>
    <w:p w:rsidR="00EE1AF5" w:rsidRPr="004E04F1" w:rsidRDefault="00EE1AF5" w:rsidP="004E04F1">
      <w:pPr>
        <w:rPr>
          <w:rFonts w:cs="Calibri"/>
          <w:szCs w:val="24"/>
        </w:rPr>
      </w:pPr>
      <w:r w:rsidRPr="004E04F1">
        <w:rPr>
          <w:rFonts w:cs="Calibri"/>
          <w:szCs w:val="24"/>
        </w:rPr>
        <w:t>Tillväxtfrågor</w:t>
      </w:r>
      <w:r>
        <w:rPr>
          <w:rFonts w:cs="Calibri"/>
          <w:szCs w:val="24"/>
        </w:rPr>
        <w:t>na</w:t>
      </w:r>
      <w:r w:rsidRPr="004E04F1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väntas </w:t>
      </w:r>
      <w:r w:rsidRPr="004E04F1">
        <w:rPr>
          <w:rFonts w:cs="Calibri"/>
          <w:szCs w:val="24"/>
        </w:rPr>
        <w:t>på sedvanligt sätt att stå i fokus vid vårtoppmötet. Kommissionens årliga tillväxtrapport kommer att diskuteras</w:t>
      </w:r>
      <w:r>
        <w:rPr>
          <w:rFonts w:cs="Calibri"/>
          <w:szCs w:val="24"/>
        </w:rPr>
        <w:t xml:space="preserve"> </w:t>
      </w:r>
      <w:r w:rsidRPr="004E04F1">
        <w:rPr>
          <w:rFonts w:cs="Calibri"/>
          <w:szCs w:val="24"/>
        </w:rPr>
        <w:t xml:space="preserve">och Europeiska rådet ska ge vägledning inför medlemsstaternas rapportering inom ramen för den ekonomiska terminen. </w:t>
      </w:r>
    </w:p>
    <w:p w:rsidR="00EE1AF5" w:rsidRPr="00C01277" w:rsidRDefault="00EE1AF5" w:rsidP="00CA2957">
      <w:pPr>
        <w:pStyle w:val="RKnormal"/>
        <w:ind w:left="1140"/>
        <w:rPr>
          <w:b/>
        </w:rPr>
      </w:pPr>
    </w:p>
    <w:p w:rsidR="00EE1AF5" w:rsidRPr="006B6A8C" w:rsidRDefault="00EE1AF5" w:rsidP="004F72F5">
      <w:pPr>
        <w:pStyle w:val="ListParagraph"/>
        <w:numPr>
          <w:ilvl w:val="0"/>
          <w:numId w:val="5"/>
        </w:numPr>
        <w:ind w:left="1134" w:hanging="1134"/>
        <w:rPr>
          <w:color w:val="000000"/>
          <w:szCs w:val="24"/>
        </w:rPr>
      </w:pPr>
      <w:r w:rsidRPr="006B6A8C">
        <w:rPr>
          <w:rFonts w:ascii="TradeGothic" w:hAnsi="TradeGothic"/>
          <w:b/>
          <w:color w:val="000000"/>
          <w:sz w:val="22"/>
          <w:szCs w:val="22"/>
        </w:rPr>
        <w:t>AOB</w:t>
      </w:r>
      <w:r w:rsidRPr="006B6A8C">
        <w:rPr>
          <w:rFonts w:ascii="TradeGothic" w:hAnsi="TradeGothic"/>
          <w:b/>
          <w:color w:val="000000"/>
          <w:sz w:val="22"/>
          <w:szCs w:val="22"/>
        </w:rPr>
        <w:br/>
      </w:r>
    </w:p>
    <w:p w:rsidR="00EE1AF5" w:rsidRPr="00FF7A1F" w:rsidRDefault="00EE1AF5" w:rsidP="006B6A8C">
      <w:pPr>
        <w:pStyle w:val="ListParagraph"/>
        <w:ind w:left="1500"/>
        <w:rPr>
          <w:rFonts w:ascii="TradeGothic" w:hAnsi="TradeGothic"/>
          <w:b/>
          <w:sz w:val="22"/>
          <w:szCs w:val="22"/>
        </w:rPr>
      </w:pPr>
    </w:p>
    <w:sectPr w:rsidR="00EE1AF5" w:rsidRPr="00FF7A1F" w:rsidSect="00652326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F5" w:rsidRDefault="00EE1AF5">
      <w:pPr>
        <w:spacing w:line="240" w:lineRule="auto"/>
      </w:pPr>
      <w:r>
        <w:separator/>
      </w:r>
    </w:p>
  </w:endnote>
  <w:endnote w:type="continuationSeparator" w:id="0">
    <w:p w:rsidR="00EE1AF5" w:rsidRDefault="00EE1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F5" w:rsidRDefault="00EE1AF5">
      <w:pPr>
        <w:spacing w:line="240" w:lineRule="auto"/>
      </w:pPr>
      <w:r>
        <w:separator/>
      </w:r>
    </w:p>
  </w:footnote>
  <w:footnote w:type="continuationSeparator" w:id="0">
    <w:p w:rsidR="00EE1AF5" w:rsidRDefault="00EE1A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F5" w:rsidRDefault="00EE1A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EE1AF5">
      <w:trPr>
        <w:cantSplit/>
      </w:trPr>
      <w:tc>
        <w:tcPr>
          <w:tcW w:w="3119" w:type="dxa"/>
        </w:tcPr>
        <w:p w:rsidR="00EE1AF5" w:rsidRDefault="00EE1AF5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E1AF5" w:rsidRDefault="00EE1AF5">
          <w:pPr>
            <w:pStyle w:val="Header"/>
            <w:ind w:right="360"/>
          </w:pPr>
        </w:p>
      </w:tc>
      <w:tc>
        <w:tcPr>
          <w:tcW w:w="1525" w:type="dxa"/>
        </w:tcPr>
        <w:p w:rsidR="00EE1AF5" w:rsidRDefault="00EE1AF5">
          <w:pPr>
            <w:pStyle w:val="Header"/>
            <w:ind w:right="360"/>
          </w:pPr>
        </w:p>
      </w:tc>
    </w:tr>
  </w:tbl>
  <w:p w:rsidR="00EE1AF5" w:rsidRDefault="00EE1AF5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F5" w:rsidRDefault="00EE1A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EE1AF5">
      <w:trPr>
        <w:cantSplit/>
      </w:trPr>
      <w:tc>
        <w:tcPr>
          <w:tcW w:w="3119" w:type="dxa"/>
        </w:tcPr>
        <w:p w:rsidR="00EE1AF5" w:rsidRDefault="00EE1AF5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E1AF5" w:rsidRDefault="00EE1AF5">
          <w:pPr>
            <w:pStyle w:val="Header"/>
            <w:ind w:right="360"/>
          </w:pPr>
        </w:p>
      </w:tc>
      <w:tc>
        <w:tcPr>
          <w:tcW w:w="1525" w:type="dxa"/>
        </w:tcPr>
        <w:p w:rsidR="00EE1AF5" w:rsidRDefault="00EE1AF5">
          <w:pPr>
            <w:pStyle w:val="Header"/>
            <w:ind w:right="360"/>
          </w:pPr>
        </w:p>
      </w:tc>
    </w:tr>
  </w:tbl>
  <w:p w:rsidR="00EE1AF5" w:rsidRDefault="00EE1AF5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F5" w:rsidRDefault="00EE1AF5">
    <w:pPr>
      <w:framePr w:w="2948" w:h="1321" w:hRule="exact" w:wrap="notBeside" w:vAnchor="page" w:hAnchor="page" w:x="1362" w:y="653"/>
    </w:pPr>
    <w:r w:rsidRPr="001906B3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EE1AF5" w:rsidRDefault="00EE1AF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E1AF5" w:rsidRDefault="00EE1AF5">
    <w:pPr>
      <w:rPr>
        <w:rFonts w:ascii="TradeGothic" w:hAnsi="TradeGothic"/>
        <w:b/>
        <w:bCs/>
        <w:spacing w:val="12"/>
        <w:sz w:val="22"/>
      </w:rPr>
    </w:pPr>
  </w:p>
  <w:p w:rsidR="00EE1AF5" w:rsidRDefault="00EE1AF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E1AF5" w:rsidRDefault="00EE1AF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6DC0"/>
    <w:multiLevelType w:val="hybridMultilevel"/>
    <w:tmpl w:val="EA346A42"/>
    <w:lvl w:ilvl="0" w:tplc="22F2FA6E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A7A21D8"/>
    <w:multiLevelType w:val="hybridMultilevel"/>
    <w:tmpl w:val="3232104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4B3FF1"/>
    <w:multiLevelType w:val="hybridMultilevel"/>
    <w:tmpl w:val="A8322FA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C174AA"/>
    <w:multiLevelType w:val="hybridMultilevel"/>
    <w:tmpl w:val="F0F0DC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4229AD"/>
    <w:multiLevelType w:val="hybridMultilevel"/>
    <w:tmpl w:val="4CE0B92A"/>
    <w:lvl w:ilvl="0" w:tplc="D0F86E44">
      <w:start w:val="1"/>
      <w:numFmt w:val="decimal"/>
      <w:lvlText w:val="%1."/>
      <w:lvlJc w:val="left"/>
      <w:pPr>
        <w:ind w:left="1140" w:hanging="1140"/>
      </w:pPr>
      <w:rPr>
        <w:rFonts w:ascii="TradeGothic" w:hAnsi="TradeGothic" w:cs="Times New Roman" w:hint="default"/>
        <w:b/>
        <w:i w:val="0"/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845A11"/>
    <w:multiLevelType w:val="hybridMultilevel"/>
    <w:tmpl w:val="1C2E9650"/>
    <w:lvl w:ilvl="0" w:tplc="041D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9F13E9C"/>
    <w:multiLevelType w:val="hybridMultilevel"/>
    <w:tmpl w:val="70F4CC32"/>
    <w:lvl w:ilvl="0" w:tplc="46F47FF8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D485321"/>
    <w:multiLevelType w:val="hybridMultilevel"/>
    <w:tmpl w:val="D04443E2"/>
    <w:lvl w:ilvl="0" w:tplc="22F2FA6E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34822165"/>
    <w:multiLevelType w:val="hybridMultilevel"/>
    <w:tmpl w:val="C748A3E8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ECE2246"/>
    <w:multiLevelType w:val="hybridMultilevel"/>
    <w:tmpl w:val="AD647164"/>
    <w:lvl w:ilvl="0" w:tplc="B54A727E">
      <w:start w:val="6"/>
      <w:numFmt w:val="bullet"/>
      <w:lvlText w:val="-"/>
      <w:lvlJc w:val="left"/>
      <w:pPr>
        <w:ind w:left="720" w:hanging="360"/>
      </w:pPr>
      <w:rPr>
        <w:rFonts w:ascii="TradeGothic" w:eastAsia="Times New Roman" w:hAnsi="TradeGothic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D084D"/>
    <w:multiLevelType w:val="hybridMultilevel"/>
    <w:tmpl w:val="ABCE7D4E"/>
    <w:lvl w:ilvl="0" w:tplc="8AB6FA52">
      <w:start w:val="1"/>
      <w:numFmt w:val="decimal"/>
      <w:lvlText w:val="%1."/>
      <w:lvlJc w:val="left"/>
      <w:pPr>
        <w:ind w:left="-48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9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16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24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1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38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45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5280" w:hanging="180"/>
      </w:pPr>
      <w:rPr>
        <w:rFonts w:cs="Times New Roman"/>
      </w:rPr>
    </w:lvl>
  </w:abstractNum>
  <w:abstractNum w:abstractNumId="11">
    <w:nsid w:val="46BF42C1"/>
    <w:multiLevelType w:val="hybridMultilevel"/>
    <w:tmpl w:val="340ADA20"/>
    <w:lvl w:ilvl="0" w:tplc="46F47FF8">
      <w:start w:val="1"/>
      <w:numFmt w:val="decimal"/>
      <w:lvlText w:val="%1."/>
      <w:lvlJc w:val="left"/>
      <w:pPr>
        <w:ind w:left="1500" w:hanging="1140"/>
      </w:pPr>
      <w:rPr>
        <w:rFonts w:cs="Times New Roman"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9050C6"/>
    <w:multiLevelType w:val="hybridMultilevel"/>
    <w:tmpl w:val="EAB4ABD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692EE8"/>
    <w:multiLevelType w:val="hybridMultilevel"/>
    <w:tmpl w:val="8F38C472"/>
    <w:lvl w:ilvl="0" w:tplc="46F47F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5926A36"/>
    <w:multiLevelType w:val="hybridMultilevel"/>
    <w:tmpl w:val="7FAEB9FA"/>
    <w:lvl w:ilvl="0" w:tplc="A1A4B8E2">
      <w:start w:val="1"/>
      <w:numFmt w:val="lowerLetter"/>
      <w:lvlText w:val="%1)"/>
      <w:lvlJc w:val="left"/>
      <w:pPr>
        <w:ind w:left="18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5">
    <w:nsid w:val="676E41E6"/>
    <w:multiLevelType w:val="hybridMultilevel"/>
    <w:tmpl w:val="EDFED47A"/>
    <w:lvl w:ilvl="0" w:tplc="DA9411E6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160391"/>
    <w:multiLevelType w:val="hybridMultilevel"/>
    <w:tmpl w:val="BBB0E44C"/>
    <w:lvl w:ilvl="0" w:tplc="896A146C"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7">
    <w:nsid w:val="6EDF2A75"/>
    <w:multiLevelType w:val="hybridMultilevel"/>
    <w:tmpl w:val="86D64B3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986987"/>
    <w:multiLevelType w:val="hybridMultilevel"/>
    <w:tmpl w:val="0B8402DE"/>
    <w:lvl w:ilvl="0" w:tplc="041D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37404F"/>
    <w:multiLevelType w:val="hybridMultilevel"/>
    <w:tmpl w:val="789EBEF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790E30"/>
    <w:multiLevelType w:val="hybridMultilevel"/>
    <w:tmpl w:val="EC449546"/>
    <w:lvl w:ilvl="0" w:tplc="22F2FA6E">
      <w:start w:val="1"/>
      <w:numFmt w:val="lowerLetter"/>
      <w:lvlText w:val="%1)"/>
      <w:lvlJc w:val="left"/>
      <w:pPr>
        <w:ind w:left="2574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>
    <w:nsid w:val="7D351BE7"/>
    <w:multiLevelType w:val="hybridMultilevel"/>
    <w:tmpl w:val="20E69DF0"/>
    <w:lvl w:ilvl="0" w:tplc="041D000F">
      <w:start w:val="1"/>
      <w:numFmt w:val="decimal"/>
      <w:lvlText w:val="%1."/>
      <w:lvlJc w:val="left"/>
      <w:pPr>
        <w:ind w:left="22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2"/>
  </w:num>
  <w:num w:numId="5">
    <w:abstractNumId w:val="4"/>
  </w:num>
  <w:num w:numId="6">
    <w:abstractNumId w:val="6"/>
  </w:num>
  <w:num w:numId="7">
    <w:abstractNumId w:val="15"/>
  </w:num>
  <w:num w:numId="8">
    <w:abstractNumId w:val="0"/>
  </w:num>
  <w:num w:numId="9">
    <w:abstractNumId w:val="20"/>
  </w:num>
  <w:num w:numId="10">
    <w:abstractNumId w:val="13"/>
  </w:num>
  <w:num w:numId="11">
    <w:abstractNumId w:val="7"/>
  </w:num>
  <w:num w:numId="12">
    <w:abstractNumId w:val="11"/>
  </w:num>
  <w:num w:numId="13">
    <w:abstractNumId w:val="14"/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</w:num>
  <w:num w:numId="18">
    <w:abstractNumId w:val="2"/>
  </w:num>
  <w:num w:numId="19">
    <w:abstractNumId w:val="9"/>
  </w:num>
  <w:num w:numId="20">
    <w:abstractNumId w:val="9"/>
  </w:num>
  <w:num w:numId="21">
    <w:abstractNumId w:val="1"/>
  </w:num>
  <w:num w:numId="22">
    <w:abstractNumId w:val="10"/>
  </w:num>
  <w:num w:numId="23">
    <w:abstractNumId w:val="18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326"/>
    <w:rsid w:val="00006984"/>
    <w:rsid w:val="00031D2F"/>
    <w:rsid w:val="000557D9"/>
    <w:rsid w:val="000567F6"/>
    <w:rsid w:val="00062B8A"/>
    <w:rsid w:val="00070013"/>
    <w:rsid w:val="000718D7"/>
    <w:rsid w:val="00084AFC"/>
    <w:rsid w:val="00091E8B"/>
    <w:rsid w:val="00092FAF"/>
    <w:rsid w:val="000B7142"/>
    <w:rsid w:val="000C36AB"/>
    <w:rsid w:val="000C6244"/>
    <w:rsid w:val="000D6154"/>
    <w:rsid w:val="000E38E8"/>
    <w:rsid w:val="000E49AD"/>
    <w:rsid w:val="000E7241"/>
    <w:rsid w:val="000F3818"/>
    <w:rsid w:val="001131C5"/>
    <w:rsid w:val="0013451D"/>
    <w:rsid w:val="00156822"/>
    <w:rsid w:val="00166989"/>
    <w:rsid w:val="00170BBA"/>
    <w:rsid w:val="001906B3"/>
    <w:rsid w:val="00190ADB"/>
    <w:rsid w:val="001A512D"/>
    <w:rsid w:val="001A6B8E"/>
    <w:rsid w:val="001B0C94"/>
    <w:rsid w:val="001C2AF8"/>
    <w:rsid w:val="001C72F0"/>
    <w:rsid w:val="00202489"/>
    <w:rsid w:val="00224788"/>
    <w:rsid w:val="00233555"/>
    <w:rsid w:val="00255312"/>
    <w:rsid w:val="00272F13"/>
    <w:rsid w:val="00274149"/>
    <w:rsid w:val="00292ED8"/>
    <w:rsid w:val="002A42D0"/>
    <w:rsid w:val="002B73F6"/>
    <w:rsid w:val="002E1B14"/>
    <w:rsid w:val="002F1A8B"/>
    <w:rsid w:val="002F4832"/>
    <w:rsid w:val="00344B91"/>
    <w:rsid w:val="003558FE"/>
    <w:rsid w:val="00376364"/>
    <w:rsid w:val="00394EFB"/>
    <w:rsid w:val="003A549B"/>
    <w:rsid w:val="003A6AA4"/>
    <w:rsid w:val="003C28DC"/>
    <w:rsid w:val="003C73F0"/>
    <w:rsid w:val="003E5650"/>
    <w:rsid w:val="003E6780"/>
    <w:rsid w:val="00413F1F"/>
    <w:rsid w:val="00447A77"/>
    <w:rsid w:val="004551DC"/>
    <w:rsid w:val="0046677B"/>
    <w:rsid w:val="004731F9"/>
    <w:rsid w:val="0047615A"/>
    <w:rsid w:val="004B24DD"/>
    <w:rsid w:val="004C33D9"/>
    <w:rsid w:val="004D133E"/>
    <w:rsid w:val="004E04F1"/>
    <w:rsid w:val="004F72F5"/>
    <w:rsid w:val="00511A0A"/>
    <w:rsid w:val="005277FD"/>
    <w:rsid w:val="0053622E"/>
    <w:rsid w:val="00550B78"/>
    <w:rsid w:val="00585108"/>
    <w:rsid w:val="00587584"/>
    <w:rsid w:val="005B65E0"/>
    <w:rsid w:val="005F1DD5"/>
    <w:rsid w:val="00601D99"/>
    <w:rsid w:val="00603B6B"/>
    <w:rsid w:val="00630452"/>
    <w:rsid w:val="00652326"/>
    <w:rsid w:val="006827CD"/>
    <w:rsid w:val="006B6A8C"/>
    <w:rsid w:val="006C7A28"/>
    <w:rsid w:val="006F1C3E"/>
    <w:rsid w:val="006F76F3"/>
    <w:rsid w:val="00701F31"/>
    <w:rsid w:val="00735788"/>
    <w:rsid w:val="00750BFF"/>
    <w:rsid w:val="0075453D"/>
    <w:rsid w:val="00754E06"/>
    <w:rsid w:val="00764C14"/>
    <w:rsid w:val="0077370E"/>
    <w:rsid w:val="00777488"/>
    <w:rsid w:val="007818B7"/>
    <w:rsid w:val="00781EC1"/>
    <w:rsid w:val="00783F83"/>
    <w:rsid w:val="00793EF3"/>
    <w:rsid w:val="007C1506"/>
    <w:rsid w:val="007C36D0"/>
    <w:rsid w:val="008018AF"/>
    <w:rsid w:val="008077BC"/>
    <w:rsid w:val="00814898"/>
    <w:rsid w:val="00832CA8"/>
    <w:rsid w:val="0084355E"/>
    <w:rsid w:val="0084640B"/>
    <w:rsid w:val="00860401"/>
    <w:rsid w:val="00864FD9"/>
    <w:rsid w:val="00881150"/>
    <w:rsid w:val="008D26FB"/>
    <w:rsid w:val="00902D28"/>
    <w:rsid w:val="00924A4F"/>
    <w:rsid w:val="00946C5D"/>
    <w:rsid w:val="00971EF6"/>
    <w:rsid w:val="00984372"/>
    <w:rsid w:val="009A2E3D"/>
    <w:rsid w:val="009E28FE"/>
    <w:rsid w:val="009E369D"/>
    <w:rsid w:val="009E7C48"/>
    <w:rsid w:val="009F0848"/>
    <w:rsid w:val="009F326A"/>
    <w:rsid w:val="00A020AA"/>
    <w:rsid w:val="00A04841"/>
    <w:rsid w:val="00A410E5"/>
    <w:rsid w:val="00A63F47"/>
    <w:rsid w:val="00AC4FFB"/>
    <w:rsid w:val="00AD3002"/>
    <w:rsid w:val="00AD7158"/>
    <w:rsid w:val="00B02BDB"/>
    <w:rsid w:val="00B02F73"/>
    <w:rsid w:val="00B261F3"/>
    <w:rsid w:val="00B3718B"/>
    <w:rsid w:val="00B84C44"/>
    <w:rsid w:val="00BD1A9B"/>
    <w:rsid w:val="00BD6B5A"/>
    <w:rsid w:val="00C01277"/>
    <w:rsid w:val="00C029EC"/>
    <w:rsid w:val="00C108BF"/>
    <w:rsid w:val="00C36A7E"/>
    <w:rsid w:val="00C7590C"/>
    <w:rsid w:val="00C77BF1"/>
    <w:rsid w:val="00CA2957"/>
    <w:rsid w:val="00CB0E95"/>
    <w:rsid w:val="00CC7583"/>
    <w:rsid w:val="00CF3B85"/>
    <w:rsid w:val="00CF70CF"/>
    <w:rsid w:val="00D051B7"/>
    <w:rsid w:val="00D300AC"/>
    <w:rsid w:val="00D51EE3"/>
    <w:rsid w:val="00D62A6C"/>
    <w:rsid w:val="00DA50C9"/>
    <w:rsid w:val="00DB6462"/>
    <w:rsid w:val="00DD66A9"/>
    <w:rsid w:val="00DE40F8"/>
    <w:rsid w:val="00E01F33"/>
    <w:rsid w:val="00E21D4A"/>
    <w:rsid w:val="00E23F3A"/>
    <w:rsid w:val="00E50B92"/>
    <w:rsid w:val="00E77AB8"/>
    <w:rsid w:val="00E836DD"/>
    <w:rsid w:val="00E839D4"/>
    <w:rsid w:val="00EA3428"/>
    <w:rsid w:val="00EA5280"/>
    <w:rsid w:val="00EC07D5"/>
    <w:rsid w:val="00ED10A8"/>
    <w:rsid w:val="00ED583F"/>
    <w:rsid w:val="00EE1AF5"/>
    <w:rsid w:val="00EF10A2"/>
    <w:rsid w:val="00EF69B2"/>
    <w:rsid w:val="00F02EBB"/>
    <w:rsid w:val="00F143F6"/>
    <w:rsid w:val="00F1679B"/>
    <w:rsid w:val="00F35F5A"/>
    <w:rsid w:val="00F801D4"/>
    <w:rsid w:val="00F958EE"/>
    <w:rsid w:val="00FA4BF1"/>
    <w:rsid w:val="00FB3543"/>
    <w:rsid w:val="00FF754D"/>
    <w:rsid w:val="00FF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26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eastAsia="Times New Roman" w:hAnsi="OrigGarmnd BT"/>
      <w:sz w:val="24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sndare">
    <w:name w:val="Avsändare"/>
    <w:basedOn w:val="Normal"/>
    <w:uiPriority w:val="99"/>
    <w:rsid w:val="00652326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Header">
    <w:name w:val="header"/>
    <w:basedOn w:val="Normal"/>
    <w:link w:val="HeaderChar"/>
    <w:uiPriority w:val="99"/>
    <w:rsid w:val="006523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2326"/>
    <w:rPr>
      <w:rFonts w:ascii="OrigGarmnd BT" w:hAnsi="OrigGarmnd BT" w:cs="Times New Roman"/>
      <w:sz w:val="20"/>
      <w:szCs w:val="20"/>
    </w:rPr>
  </w:style>
  <w:style w:type="paragraph" w:customStyle="1" w:styleId="RKnormal">
    <w:name w:val="RKnormal"/>
    <w:basedOn w:val="Normal"/>
    <w:link w:val="RKnormalChar"/>
    <w:uiPriority w:val="99"/>
    <w:rsid w:val="00652326"/>
    <w:pPr>
      <w:tabs>
        <w:tab w:val="left" w:pos="2835"/>
      </w:tabs>
      <w:spacing w:line="240" w:lineRule="atLeast"/>
    </w:pPr>
    <w:rPr>
      <w:lang w:eastAsia="sv-SE"/>
    </w:rPr>
  </w:style>
  <w:style w:type="paragraph" w:customStyle="1" w:styleId="RKrubrik">
    <w:name w:val="RKrubrik"/>
    <w:basedOn w:val="RKnormal"/>
    <w:next w:val="RKnormal"/>
    <w:uiPriority w:val="99"/>
    <w:rsid w:val="00652326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652326"/>
    <w:rPr>
      <w:rFonts w:cs="Times New Roman"/>
    </w:rPr>
  </w:style>
  <w:style w:type="character" w:customStyle="1" w:styleId="RKnormalChar">
    <w:name w:val="RKnormal Char"/>
    <w:link w:val="RKnormal"/>
    <w:uiPriority w:val="99"/>
    <w:locked/>
    <w:rsid w:val="00652326"/>
    <w:rPr>
      <w:rFonts w:ascii="OrigGarmnd BT" w:hAnsi="OrigGarmnd BT"/>
      <w:sz w:val="20"/>
    </w:rPr>
  </w:style>
  <w:style w:type="paragraph" w:customStyle="1" w:styleId="Default">
    <w:name w:val="Default"/>
    <w:uiPriority w:val="99"/>
    <w:rsid w:val="00652326"/>
    <w:pPr>
      <w:autoSpaceDE w:val="0"/>
      <w:autoSpaceDN w:val="0"/>
      <w:adjustRightInd w:val="0"/>
    </w:pPr>
    <w:rPr>
      <w:rFonts w:ascii="OrigGarmnd BT" w:eastAsia="Times New Roman" w:hAnsi="OrigGarmnd BT" w:cs="OrigGarmnd B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5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3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839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D6B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6B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6B5A"/>
    <w:rPr>
      <w:rFonts w:ascii="OrigGarmnd BT" w:hAnsi="OrigGarmnd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6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6B5A"/>
    <w:rPr>
      <w:b/>
      <w:bCs/>
    </w:rPr>
  </w:style>
  <w:style w:type="paragraph" w:styleId="Revision">
    <w:name w:val="Revision"/>
    <w:hidden/>
    <w:uiPriority w:val="99"/>
    <w:semiHidden/>
    <w:rsid w:val="0053622E"/>
    <w:rPr>
      <w:rFonts w:ascii="OrigGarmnd BT" w:eastAsia="Times New Roman" w:hAnsi="OrigGarmnd BT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459</Words>
  <Characters>2764</Characters>
  <Application>Microsoft Office Outlook</Application>
  <DocSecurity>0</DocSecurity>
  <Lines>0</Lines>
  <Paragraphs>0</Paragraphs>
  <ScaleCrop>false</ScaleCrop>
  <Company>Regeringskansliet RK 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Kristofer Duarte</dc:creator>
  <cp:keywords/>
  <dc:description/>
  <cp:lastModifiedBy>ha0808ab</cp:lastModifiedBy>
  <cp:revision>2</cp:revision>
  <cp:lastPrinted>2013-01-28T09:44:00Z</cp:lastPrinted>
  <dcterms:created xsi:type="dcterms:W3CDTF">2013-01-28T09:47:00Z</dcterms:created>
  <dcterms:modified xsi:type="dcterms:W3CDTF">2013-01-28T09:47:00Z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Order">
    <vt:r8>1.27838859913288E-300</vt:r8>
  </property>
  <property fmtid="{D5CDD505-2E9C-101B-9397-08002B2CF9AE}" pid="4" name="_dlc_DocIdItemGuid">
    <vt:lpwstr>94530237-c26e-40c7-a412-beb7f6edf7d2</vt:lpwstr>
  </property>
  <property fmtid="{D5CDD505-2E9C-101B-9397-08002B2CF9AE}" pid="5" name="Sekretess">
    <vt:lpwstr>0</vt:lpwstr>
  </property>
  <property fmtid="{D5CDD505-2E9C-101B-9397-08002B2CF9AE}" pid="6" name="c9cd366cc722410295b9eacffbd73909">
    <vt:lpwstr/>
  </property>
  <property fmtid="{D5CDD505-2E9C-101B-9397-08002B2CF9AE}" pid="7" name="k46d94c0acf84ab9a79866a9d8b1905f">
    <vt:lpwstr/>
  </property>
  <property fmtid="{D5CDD505-2E9C-101B-9397-08002B2CF9AE}" pid="8" name="_dlc_DocId">
    <vt:lpwstr>JE6N4JFJXNNF-9-53392</vt:lpwstr>
  </property>
  <property fmtid="{D5CDD505-2E9C-101B-9397-08002B2CF9AE}" pid="9" name="TaxCatchAll">
    <vt:lpwstr/>
  </property>
  <property fmtid="{D5CDD505-2E9C-101B-9397-08002B2CF9AE}" pid="10" name="_dlc_DocIdUrl">
    <vt:lpwstr>http://rkdhs-sb/enhet/EUKansli/_layouts/DocIdRedir.aspx?ID=JE6N4JFJXNNF-9-53392, JE6N4JFJXNNF-9-53392</vt:lpwstr>
  </property>
  <property fmtid="{D5CDD505-2E9C-101B-9397-08002B2CF9AE}" pid="11" name="Diarienummer">
    <vt:lpwstr/>
  </property>
  <property fmtid="{D5CDD505-2E9C-101B-9397-08002B2CF9AE}" pid="12" name="RKOrdnaCheckInComment">
    <vt:lpwstr/>
  </property>
  <property fmtid="{D5CDD505-2E9C-101B-9397-08002B2CF9AE}" pid="13" name="RKOrdnaClass">
    <vt:lpwstr/>
  </property>
</Properties>
</file>