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670DC1" w:rsidRPr="00744EE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744EEC" w:rsidRDefault="00670DC1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670DC1" w:rsidRPr="00744EEC" w:rsidRDefault="00670DC1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i/>
                <w:sz w:val="18"/>
              </w:rPr>
            </w:pPr>
          </w:p>
        </w:tc>
      </w:tr>
      <w:tr w:rsidR="00670DC1" w:rsidRPr="0074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816EB4" w:rsidRPr="00744EEC" w:rsidRDefault="00816EB4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sz w:val="22"/>
              </w:rPr>
            </w:pPr>
            <w:r w:rsidRPr="00744EEC">
              <w:rPr>
                <w:rFonts w:ascii="TradeGothic" w:hAnsi="TradeGothic"/>
                <w:sz w:val="22"/>
              </w:rPr>
              <w:t xml:space="preserve"> </w:t>
            </w:r>
          </w:p>
          <w:p w:rsidR="00670DC1" w:rsidRPr="00744EEC" w:rsidRDefault="00670DC1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b/>
                <w:sz w:val="22"/>
              </w:rPr>
            </w:pPr>
            <w:r w:rsidRPr="00744EEC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70DC1" w:rsidRPr="00744EEC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70DC1" w:rsidRPr="00744EEC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  <w:tc>
          <w:tcPr>
            <w:tcW w:w="1213" w:type="dxa"/>
          </w:tcPr>
          <w:p w:rsidR="00670DC1" w:rsidRPr="00744EEC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</w:tr>
      <w:tr w:rsidR="00670DC1" w:rsidRPr="00744EE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744EEC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  <w:r w:rsidRPr="00744EEC">
              <w:t>200</w:t>
            </w:r>
            <w:r w:rsidR="00891C3F" w:rsidRPr="00744EEC">
              <w:t xml:space="preserve">9-05-28 </w:t>
            </w:r>
          </w:p>
        </w:tc>
        <w:tc>
          <w:tcPr>
            <w:tcW w:w="2347" w:type="dxa"/>
            <w:gridSpan w:val="2"/>
          </w:tcPr>
          <w:p w:rsidR="00670DC1" w:rsidRPr="00744EEC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</w:tr>
      <w:tr w:rsidR="00670DC1" w:rsidRPr="00744EE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744EEC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  <w:tc>
          <w:tcPr>
            <w:tcW w:w="2347" w:type="dxa"/>
            <w:gridSpan w:val="2"/>
          </w:tcPr>
          <w:p w:rsidR="00670DC1" w:rsidRPr="00744EEC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70DC1" w:rsidRPr="00744EE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744EEC" w:rsidRDefault="00670DC1" w:rsidP="008D743B">
            <w:pPr>
              <w:pStyle w:val="Avsndare"/>
              <w:framePr w:h="2483" w:wrap="notBeside" w:x="1504"/>
              <w:spacing w:line="240" w:lineRule="auto"/>
              <w:rPr>
                <w:b/>
                <w:i w:val="0"/>
                <w:sz w:val="22"/>
              </w:rPr>
            </w:pPr>
            <w:r w:rsidRPr="00744EEC">
              <w:rPr>
                <w:b/>
                <w:i w:val="0"/>
                <w:sz w:val="22"/>
              </w:rPr>
              <w:t>Socialdepartementet</w:t>
            </w:r>
          </w:p>
        </w:tc>
      </w:tr>
      <w:tr w:rsidR="00670DC1" w:rsidRPr="00744EE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744EEC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744EE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744EEC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  <w:r w:rsidRPr="00744EEC">
              <w:rPr>
                <w:bCs/>
                <w:iCs/>
              </w:rPr>
              <w:t>Socialförsäkringsenheten</w:t>
            </w:r>
          </w:p>
          <w:p w:rsidR="00816EB4" w:rsidRPr="00744EEC" w:rsidRDefault="00816EB4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  <w:r w:rsidRPr="00744EEC">
              <w:rPr>
                <w:bCs/>
                <w:iCs/>
              </w:rPr>
              <w:t>Lena Malmberg</w:t>
            </w:r>
          </w:p>
        </w:tc>
      </w:tr>
      <w:tr w:rsidR="00670DC1" w:rsidRPr="00744EE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744EEC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744EE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744EEC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744EE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744EEC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744EE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744EEC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744EE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744EEC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744EE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744EEC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</w:tbl>
    <w:p w:rsidR="00670DC1" w:rsidRPr="00744EEC" w:rsidRDefault="00670DC1" w:rsidP="008D743B">
      <w:pPr>
        <w:framePr w:w="4400" w:h="2523" w:wrap="notBeside" w:vAnchor="page" w:hAnchor="page" w:x="6453" w:y="2445"/>
        <w:spacing w:line="240" w:lineRule="auto"/>
        <w:ind w:left="142"/>
        <w:rPr>
          <w:b/>
        </w:rPr>
      </w:pPr>
    </w:p>
    <w:p w:rsidR="00670DC1" w:rsidRPr="00744EEC" w:rsidRDefault="00670DC1" w:rsidP="00891C3F">
      <w:pPr>
        <w:pStyle w:val="RKrubrik"/>
        <w:pBdr>
          <w:bottom w:val="single" w:sz="6" w:space="1" w:color="auto"/>
        </w:pBdr>
        <w:spacing w:line="240" w:lineRule="auto"/>
      </w:pPr>
      <w:bookmarkStart w:id="0" w:name="bRubrik"/>
      <w:bookmarkEnd w:id="0"/>
      <w:r w:rsidRPr="00744EEC">
        <w:t>EPSCO rådets möte den</w:t>
      </w:r>
      <w:r w:rsidR="00FA66EE" w:rsidRPr="00744EEC">
        <w:t xml:space="preserve"> </w:t>
      </w:r>
      <w:r w:rsidR="00891C3F" w:rsidRPr="00744EEC">
        <w:t xml:space="preserve">8 juni </w:t>
      </w:r>
      <w:r w:rsidR="00313201" w:rsidRPr="00744EEC">
        <w:t xml:space="preserve"> – dagordningspunkt </w:t>
      </w:r>
      <w:r w:rsidR="00AD5C36" w:rsidRPr="00744EEC">
        <w:t>5</w:t>
      </w:r>
    </w:p>
    <w:p w:rsidR="00670DC1" w:rsidRPr="00744EEC" w:rsidRDefault="00670DC1" w:rsidP="008D743B">
      <w:pPr>
        <w:pStyle w:val="RKnormal"/>
        <w:spacing w:line="240" w:lineRule="auto"/>
      </w:pPr>
    </w:p>
    <w:p w:rsidR="00E6480E" w:rsidRPr="00744EEC" w:rsidRDefault="00E6480E" w:rsidP="003517D5">
      <w:pPr>
        <w:pStyle w:val="RKnormal"/>
      </w:pPr>
      <w:r w:rsidRPr="00744EEC">
        <w:t xml:space="preserve">Förslag till  rådets förordning  </w:t>
      </w:r>
      <w:r w:rsidR="00891C3F" w:rsidRPr="00744EEC">
        <w:t xml:space="preserve">om utvidgning av reglerna i förordning (EG) nr 883/2004 och förordning (EG) nr  xxxx till att omfatta tredjelandsmedborgare som </w:t>
      </w:r>
      <w:r w:rsidR="0067579C" w:rsidRPr="00744EEC">
        <w:t xml:space="preserve">enbart på grund av sin nationalitet </w:t>
      </w:r>
      <w:r w:rsidR="00891C3F" w:rsidRPr="00744EEC">
        <w:t xml:space="preserve">inte redan omfattas av dessa bestämmelser. </w:t>
      </w:r>
    </w:p>
    <w:p w:rsidR="00BF29C0" w:rsidRPr="00744EEC" w:rsidRDefault="00BF29C0" w:rsidP="003517D5">
      <w:pPr>
        <w:pStyle w:val="RKnormal"/>
      </w:pPr>
    </w:p>
    <w:p w:rsidR="00E6480E" w:rsidRPr="00744EEC" w:rsidRDefault="00E6480E" w:rsidP="003517D5">
      <w:pPr>
        <w:pStyle w:val="RKnormal"/>
      </w:pPr>
      <w:r w:rsidRPr="00744EEC">
        <w:t>Dokument</w:t>
      </w:r>
      <w:r w:rsidR="003517D5" w:rsidRPr="00744EEC">
        <w:t xml:space="preserve">: </w:t>
      </w:r>
      <w:r w:rsidR="002D4DF2" w:rsidRPr="00744EEC">
        <w:t>10049/09</w:t>
      </w:r>
    </w:p>
    <w:p w:rsidR="00E6480E" w:rsidRPr="00744EEC" w:rsidRDefault="00E6480E" w:rsidP="008D743B">
      <w:pPr>
        <w:pStyle w:val="RKnormal"/>
        <w:spacing w:line="240" w:lineRule="auto"/>
      </w:pPr>
    </w:p>
    <w:p w:rsidR="00816EB4" w:rsidRPr="00744EEC" w:rsidRDefault="00E6480E" w:rsidP="0067579C">
      <w:pPr>
        <w:pStyle w:val="RKnormal"/>
        <w:spacing w:line="240" w:lineRule="auto"/>
      </w:pPr>
      <w:r w:rsidRPr="00744EEC">
        <w:t>Tidigare dokument:</w:t>
      </w:r>
      <w:r w:rsidRPr="00744EEC">
        <w:rPr>
          <w:color w:val="000000"/>
        </w:rPr>
        <w:t xml:space="preserve"> </w:t>
      </w:r>
      <w:r w:rsidR="00891C3F" w:rsidRPr="00744EEC">
        <w:t>12166/07 SOC 287 (COM (2007) 439 final</w:t>
      </w:r>
      <w:r w:rsidR="0067579C" w:rsidRPr="00744EEC">
        <w:t>,</w:t>
      </w:r>
      <w:r w:rsidR="00816EB4" w:rsidRPr="00744EEC">
        <w:rPr>
          <w:rFonts w:ascii="Times New Roman" w:hAnsi="Times New Roman"/>
          <w:color w:val="000000"/>
        </w:rPr>
        <w:t xml:space="preserve"> f</w:t>
      </w:r>
      <w:r w:rsidR="00816EB4" w:rsidRPr="00744EEC">
        <w:t>akta-PM socialdepartementet 200</w:t>
      </w:r>
      <w:r w:rsidR="00891C3F" w:rsidRPr="00744EEC">
        <w:t>7</w:t>
      </w:r>
      <w:r w:rsidR="00816EB4" w:rsidRPr="00744EEC">
        <w:t>/200</w:t>
      </w:r>
      <w:r w:rsidR="00891C3F" w:rsidRPr="00744EEC">
        <w:t>8</w:t>
      </w:r>
      <w:r w:rsidR="00816EB4" w:rsidRPr="00744EEC">
        <w:t xml:space="preserve"> FPM</w:t>
      </w:r>
    </w:p>
    <w:p w:rsidR="00644707" w:rsidRPr="00744EEC" w:rsidRDefault="00644707" w:rsidP="008D743B">
      <w:pPr>
        <w:pStyle w:val="RKnormal"/>
        <w:spacing w:line="240" w:lineRule="auto"/>
      </w:pPr>
    </w:p>
    <w:p w:rsidR="00B312D4" w:rsidRPr="00744EEC" w:rsidRDefault="00670DC1" w:rsidP="008D743B">
      <w:pPr>
        <w:pStyle w:val="RKrubrik"/>
        <w:spacing w:line="240" w:lineRule="auto"/>
        <w:rPr>
          <w:i/>
        </w:rPr>
      </w:pPr>
      <w:r w:rsidRPr="00744EEC">
        <w:rPr>
          <w:i/>
        </w:rPr>
        <w:t>Bakgrund</w:t>
      </w:r>
    </w:p>
    <w:p w:rsidR="00891C3F" w:rsidRPr="00744EEC" w:rsidRDefault="00891C3F" w:rsidP="0067579C">
      <w:r w:rsidRPr="00744EEC">
        <w:t xml:space="preserve">Tredjelandsmedborgare omfattas i dag genom en särskild rättsakt av reglerna i gällande förordning </w:t>
      </w:r>
      <w:r w:rsidR="0067579C" w:rsidRPr="00744EEC">
        <w:t>1408/71</w:t>
      </w:r>
      <w:r w:rsidRPr="00744EEC">
        <w:t>om samordning av sociala trygghetssystem. En ny moderniserad  förordning om samordning</w:t>
      </w:r>
      <w:r w:rsidR="0067579C" w:rsidRPr="00744EEC">
        <w:t>,</w:t>
      </w:r>
      <w:r w:rsidRPr="00744EEC">
        <w:t xml:space="preserve"> </w:t>
      </w:r>
      <w:r w:rsidR="0067579C" w:rsidRPr="00744EEC">
        <w:t xml:space="preserve">förordning 883/2004 och en tillämpningsförordning till denna </w:t>
      </w:r>
      <w:r w:rsidRPr="00744EEC">
        <w:t xml:space="preserve">har </w:t>
      </w:r>
      <w:r w:rsidR="0067579C" w:rsidRPr="00744EEC">
        <w:t xml:space="preserve">nu </w:t>
      </w:r>
      <w:r w:rsidRPr="00744EEC">
        <w:t xml:space="preserve">antagits och </w:t>
      </w:r>
      <w:r w:rsidR="008552F1" w:rsidRPr="00744EEC">
        <w:t>för att  tredjelandsmedborgare också</w:t>
      </w:r>
      <w:r w:rsidRPr="00744EEC">
        <w:t xml:space="preserve"> fortsättningsvis skall kunna omfattas av samordningsreglerna krävs en ny rättsakt kopplad till den nya förordningen. </w:t>
      </w:r>
      <w:r w:rsidR="00F2370F" w:rsidRPr="00744EEC">
        <w:t xml:space="preserve">Rådet har ännu inte kunnat enas om </w:t>
      </w:r>
      <w:r w:rsidR="0067579C" w:rsidRPr="00744EEC">
        <w:t>förslaget.</w:t>
      </w:r>
    </w:p>
    <w:p w:rsidR="00891C3F" w:rsidRPr="00744EEC" w:rsidRDefault="00891C3F" w:rsidP="00816EB4">
      <w:pPr>
        <w:pStyle w:val="RKnormal"/>
        <w:spacing w:line="240" w:lineRule="auto"/>
      </w:pPr>
    </w:p>
    <w:p w:rsidR="00670DC1" w:rsidRPr="00744EEC" w:rsidRDefault="00670DC1" w:rsidP="008D743B">
      <w:pPr>
        <w:pStyle w:val="RKrubrik"/>
        <w:spacing w:line="240" w:lineRule="auto"/>
        <w:rPr>
          <w:i/>
        </w:rPr>
      </w:pPr>
      <w:r w:rsidRPr="00744EEC">
        <w:rPr>
          <w:i/>
        </w:rPr>
        <w:t>Rättslig grund och beslutsförfarande</w:t>
      </w:r>
    </w:p>
    <w:p w:rsidR="00670DC1" w:rsidRPr="00744EEC" w:rsidRDefault="00670DC1" w:rsidP="0067579C">
      <w:pPr>
        <w:pStyle w:val="RKnormal"/>
        <w:spacing w:line="240" w:lineRule="auto"/>
      </w:pPr>
      <w:r w:rsidRPr="00744EEC">
        <w:t xml:space="preserve">Artikel </w:t>
      </w:r>
      <w:r w:rsidR="00F2370F" w:rsidRPr="00744EEC">
        <w:t xml:space="preserve"> 63 (4)</w:t>
      </w:r>
      <w:r w:rsidRPr="00744EEC">
        <w:t xml:space="preserve"> i EF. </w:t>
      </w:r>
      <w:r w:rsidR="00CB760C" w:rsidRPr="00744EEC">
        <w:t xml:space="preserve">Rådet beslutar med enhällighet. </w:t>
      </w:r>
    </w:p>
    <w:p w:rsidR="00670DC1" w:rsidRPr="00744EEC" w:rsidRDefault="00670DC1" w:rsidP="008D743B">
      <w:pPr>
        <w:pStyle w:val="RKnormal"/>
        <w:spacing w:line="240" w:lineRule="auto"/>
      </w:pPr>
    </w:p>
    <w:p w:rsidR="00670DC1" w:rsidRPr="00744EEC" w:rsidRDefault="00670DC1" w:rsidP="008D743B">
      <w:pPr>
        <w:pStyle w:val="RKrubrik"/>
        <w:spacing w:line="240" w:lineRule="auto"/>
        <w:rPr>
          <w:i/>
          <w:iCs/>
        </w:rPr>
      </w:pPr>
      <w:r w:rsidRPr="00744EEC">
        <w:rPr>
          <w:i/>
          <w:iCs/>
        </w:rPr>
        <w:t>Svensk ståndpunkt</w:t>
      </w:r>
    </w:p>
    <w:p w:rsidR="00670DC1" w:rsidRPr="00744EEC" w:rsidRDefault="00CB760C" w:rsidP="003517D5">
      <w:pPr>
        <w:pStyle w:val="RKnormal"/>
      </w:pPr>
      <w:r w:rsidRPr="00744EEC">
        <w:t xml:space="preserve">Regeringen föreslår att Sverige </w:t>
      </w:r>
      <w:r w:rsidR="00670DC1" w:rsidRPr="00744EEC">
        <w:t xml:space="preserve">stöder </w:t>
      </w:r>
      <w:r w:rsidR="00AD5C36" w:rsidRPr="00744EEC">
        <w:t>det tjeckiska ordförandeskapets förslag</w:t>
      </w:r>
      <w:r w:rsidR="00670DC1" w:rsidRPr="00744EEC">
        <w:t>.</w:t>
      </w:r>
    </w:p>
    <w:p w:rsidR="00670DC1" w:rsidRPr="00744EEC" w:rsidRDefault="00670DC1" w:rsidP="008D743B">
      <w:pPr>
        <w:pStyle w:val="RKrubrik"/>
        <w:spacing w:line="240" w:lineRule="auto"/>
        <w:rPr>
          <w:i/>
        </w:rPr>
      </w:pPr>
      <w:r w:rsidRPr="00744EEC">
        <w:rPr>
          <w:i/>
        </w:rPr>
        <w:lastRenderedPageBreak/>
        <w:t>Europaparlamentets inställning</w:t>
      </w:r>
    </w:p>
    <w:p w:rsidR="00F2370F" w:rsidRPr="00744EEC" w:rsidRDefault="00F2370F" w:rsidP="00F2370F">
      <w:pPr>
        <w:pStyle w:val="RKnormal"/>
      </w:pPr>
      <w:r w:rsidRPr="00744EEC">
        <w:t>Inga synpunkter.</w:t>
      </w:r>
    </w:p>
    <w:p w:rsidR="00670DC1" w:rsidRPr="00744EEC" w:rsidRDefault="00670DC1" w:rsidP="008D743B">
      <w:pPr>
        <w:pStyle w:val="RKrubrik"/>
        <w:spacing w:line="240" w:lineRule="auto"/>
        <w:rPr>
          <w:i/>
          <w:iCs/>
        </w:rPr>
      </w:pPr>
      <w:r w:rsidRPr="00744EEC">
        <w:rPr>
          <w:i/>
          <w:iCs/>
        </w:rPr>
        <w:t>Förslaget</w:t>
      </w:r>
    </w:p>
    <w:p w:rsidR="00F2370F" w:rsidRPr="00744EEC" w:rsidRDefault="00F2370F" w:rsidP="0067579C">
      <w:r w:rsidRPr="00744EEC">
        <w:t>Rätten att behålla och ta med sig intjänade socialförsäkringsförmåner regleras ytterst i EG fördraget där de utgör en förutsättning för den fria rörligheterna för arbetstagare. Detaljerade regler för samordning mellan medlemsstaternas socialförsäkringssystem finns i förordningarna (E</w:t>
      </w:r>
      <w:r w:rsidR="003517D5" w:rsidRPr="00744EEC">
        <w:t>EG) nr 1408/71 och (EEG) nr 574/72.</w:t>
      </w:r>
      <w:r w:rsidRPr="00744EEC">
        <w:t xml:space="preserve"> En moderniserad förordning är </w:t>
      </w:r>
      <w:r w:rsidR="0067579C" w:rsidRPr="00744EEC">
        <w:t xml:space="preserve">nu </w:t>
      </w:r>
      <w:r w:rsidRPr="00744EEC">
        <w:t xml:space="preserve">färdigförhandlad, </w:t>
      </w:r>
      <w:r w:rsidR="0067579C" w:rsidRPr="00744EEC">
        <w:t>f</w:t>
      </w:r>
      <w:r w:rsidRPr="00744EEC">
        <w:t>örordning nr 883/2004 om samordning av sociala trygghetssystem och en tillämpningsförordning till denna</w:t>
      </w:r>
      <w:r w:rsidR="009524C8" w:rsidRPr="00744EEC">
        <w:t xml:space="preserve"> som träder i kraft den 1 mars 2010</w:t>
      </w:r>
      <w:r w:rsidR="0067579C" w:rsidRPr="00744EEC">
        <w:t>. Som en k</w:t>
      </w:r>
      <w:r w:rsidRPr="00744EEC">
        <w:t xml:space="preserve">onsekvens av </w:t>
      </w:r>
      <w:r w:rsidR="0067579C" w:rsidRPr="00744EEC">
        <w:t xml:space="preserve">att </w:t>
      </w:r>
      <w:r w:rsidR="003517D5" w:rsidRPr="00744EEC">
        <w:t xml:space="preserve">dessa </w:t>
      </w:r>
      <w:r w:rsidR="0067579C" w:rsidRPr="00744EEC">
        <w:t xml:space="preserve">nya förordningar kommer att </w:t>
      </w:r>
      <w:r w:rsidR="003517D5" w:rsidRPr="00744EEC">
        <w:t xml:space="preserve">börja </w:t>
      </w:r>
      <w:r w:rsidR="0067579C" w:rsidRPr="00744EEC">
        <w:t xml:space="preserve">tillämpas behöver </w:t>
      </w:r>
      <w:r w:rsidRPr="00744EEC">
        <w:t>reg</w:t>
      </w:r>
      <w:r w:rsidR="003517D5" w:rsidRPr="00744EEC">
        <w:t>lerna för tredjelandsmedborgare</w:t>
      </w:r>
      <w:r w:rsidR="0067579C" w:rsidRPr="00744EEC">
        <w:t xml:space="preserve"> anpassas till dessa förordningar.</w:t>
      </w:r>
    </w:p>
    <w:p w:rsidR="00F2370F" w:rsidRPr="00744EEC" w:rsidRDefault="00F2370F" w:rsidP="00F2370F"/>
    <w:p w:rsidR="00F2370F" w:rsidRPr="00744EEC" w:rsidRDefault="00F2370F" w:rsidP="00F2370F">
      <w:r w:rsidRPr="00744EEC">
        <w:t>Till tidigare förordning om tredjelandsmedborgares likabehandling fanns en bilageanteckning där två medlemsstater anmält särskilda förhållanden vad gäller omfattningen av familjeförmåner. Förslaget som det nu föreligger innehåller vissa ändringar i förhållande till detta. Bilagan har nu inkluderats i förordningstexten och dess recit</w:t>
      </w:r>
      <w:r w:rsidR="0067579C" w:rsidRPr="00744EEC">
        <w:t xml:space="preserve"> och texten har förtydligats</w:t>
      </w:r>
      <w:r w:rsidRPr="00744EEC">
        <w:t>.</w:t>
      </w:r>
    </w:p>
    <w:p w:rsidR="00F2370F" w:rsidRPr="00744EEC" w:rsidRDefault="00F2370F" w:rsidP="00F2370F"/>
    <w:p w:rsidR="008C6C23" w:rsidRPr="00744EEC" w:rsidRDefault="008C6C23" w:rsidP="008C6C23">
      <w:pPr>
        <w:pStyle w:val="Punktlista"/>
        <w:numPr>
          <w:ilvl w:val="0"/>
          <w:numId w:val="0"/>
        </w:numPr>
        <w:spacing w:line="240" w:lineRule="auto"/>
      </w:pPr>
    </w:p>
    <w:p w:rsidR="00670DC1" w:rsidRPr="00744EEC" w:rsidRDefault="00670DC1" w:rsidP="008C6C23">
      <w:pPr>
        <w:pStyle w:val="Punktlista"/>
        <w:numPr>
          <w:ilvl w:val="0"/>
          <w:numId w:val="0"/>
        </w:numPr>
        <w:spacing w:line="240" w:lineRule="auto"/>
        <w:rPr>
          <w:rFonts w:ascii="TradeGothic" w:hAnsi="TradeGothic"/>
          <w:b/>
          <w:i/>
          <w:iCs/>
          <w:sz w:val="22"/>
          <w:szCs w:val="22"/>
        </w:rPr>
      </w:pPr>
      <w:r w:rsidRPr="00744EEC">
        <w:rPr>
          <w:rFonts w:ascii="TradeGothic" w:hAnsi="TradeGothic"/>
          <w:b/>
          <w:i/>
          <w:iCs/>
          <w:sz w:val="22"/>
          <w:szCs w:val="22"/>
        </w:rPr>
        <w:t>Gällande svenska regler och förslagets effekter på dessa</w:t>
      </w:r>
      <w:r w:rsidR="009E5758" w:rsidRPr="00744EEC">
        <w:rPr>
          <w:rFonts w:ascii="TradeGothic" w:hAnsi="TradeGothic"/>
          <w:b/>
          <w:i/>
          <w:iCs/>
          <w:sz w:val="22"/>
          <w:szCs w:val="22"/>
        </w:rPr>
        <w:t>.</w:t>
      </w:r>
    </w:p>
    <w:p w:rsidR="003517D5" w:rsidRPr="00744EEC" w:rsidRDefault="003517D5" w:rsidP="0067579C">
      <w:pPr>
        <w:pStyle w:val="RKnormal"/>
      </w:pPr>
    </w:p>
    <w:p w:rsidR="0067579C" w:rsidRPr="00744EEC" w:rsidRDefault="0067579C" w:rsidP="0067579C">
      <w:pPr>
        <w:pStyle w:val="RKnormal"/>
      </w:pPr>
      <w:r w:rsidRPr="00744EEC">
        <w:t>Förslaget innebär inga förändringar i förhållande till nuvarande regler, eftersom den svenska lagstiftningen omfattar samtliga försäkrade personer oavsett medborgarskap.</w:t>
      </w:r>
    </w:p>
    <w:p w:rsidR="00571A05" w:rsidRPr="00744EEC" w:rsidRDefault="00670DC1" w:rsidP="00571A05">
      <w:pPr>
        <w:pStyle w:val="RKrubrik"/>
        <w:spacing w:line="240" w:lineRule="auto"/>
      </w:pPr>
      <w:r w:rsidRPr="00744EEC">
        <w:t>Ekonomiska konsekvenser</w:t>
      </w:r>
    </w:p>
    <w:p w:rsidR="00670DC1" w:rsidRPr="00744EEC" w:rsidRDefault="00670DC1" w:rsidP="00571A05">
      <w:pPr>
        <w:pStyle w:val="RKrubrik"/>
        <w:spacing w:line="240" w:lineRule="auto"/>
        <w:rPr>
          <w:rFonts w:ascii="OrigGarmnd BT" w:hAnsi="OrigGarmnd BT"/>
          <w:b w:val="0"/>
          <w:sz w:val="24"/>
        </w:rPr>
      </w:pPr>
      <w:r w:rsidRPr="00744EEC">
        <w:rPr>
          <w:rFonts w:ascii="OrigGarmnd BT" w:hAnsi="OrigGarmnd BT"/>
          <w:b w:val="0"/>
          <w:sz w:val="24"/>
        </w:rPr>
        <w:t>Inga kända</w:t>
      </w:r>
    </w:p>
    <w:p w:rsidR="00670DC1" w:rsidRPr="00744EEC" w:rsidRDefault="00670DC1" w:rsidP="008D743B">
      <w:pPr>
        <w:pStyle w:val="RKrubrik"/>
        <w:spacing w:line="240" w:lineRule="auto"/>
        <w:rPr>
          <w:i/>
        </w:rPr>
      </w:pPr>
      <w:r w:rsidRPr="00744EEC">
        <w:rPr>
          <w:i/>
        </w:rPr>
        <w:t>Övrigt</w:t>
      </w:r>
    </w:p>
    <w:p w:rsidR="00670DC1" w:rsidRPr="00744EEC" w:rsidRDefault="00670DC1" w:rsidP="008D743B">
      <w:pPr>
        <w:pStyle w:val="RKnormal"/>
        <w:spacing w:line="240" w:lineRule="auto"/>
      </w:pPr>
    </w:p>
    <w:p w:rsidR="00AD5C36" w:rsidRPr="00744EEC" w:rsidRDefault="00AD5C36" w:rsidP="00AD5C36">
      <w:pPr>
        <w:pStyle w:val="RKnormal"/>
        <w:spacing w:line="240" w:lineRule="auto"/>
      </w:pPr>
      <w:r w:rsidRPr="00744EEC">
        <w:t xml:space="preserve">Vid rådsmötet emotses eventuellt en diskussion om hur likabehandlingsprincipen ska komma till uttryck i förordningen med anledning av vissa länders särskilda begränsningar när det gäller familjeförmåner då medlemsstaterna inte har kunnat enas om denna fråga i Coreper. De flesta medlemsstater har dock kunnat ställa sig bakom det föreliggande förslaget. </w:t>
      </w:r>
    </w:p>
    <w:p w:rsidR="00670DC1" w:rsidRPr="00744EEC" w:rsidRDefault="00670DC1" w:rsidP="008D743B">
      <w:pPr>
        <w:pStyle w:val="RKnormal"/>
        <w:spacing w:line="240" w:lineRule="auto"/>
      </w:pPr>
    </w:p>
    <w:sectPr w:rsidR="00670DC1" w:rsidRPr="00744EEC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23D5" w:rsidRPr="00744EEC" w:rsidRDefault="007E23D5">
      <w:r w:rsidRPr="00744EEC">
        <w:separator/>
      </w:r>
    </w:p>
  </w:endnote>
  <w:endnote w:type="continuationSeparator" w:id="0">
    <w:p w:rsidR="007E23D5" w:rsidRPr="00744EEC" w:rsidRDefault="007E23D5">
      <w:r w:rsidRPr="00744E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23D5" w:rsidRPr="00744EEC" w:rsidRDefault="007E23D5">
      <w:r w:rsidRPr="00744EEC">
        <w:separator/>
      </w:r>
    </w:p>
  </w:footnote>
  <w:footnote w:type="continuationSeparator" w:id="0">
    <w:p w:rsidR="007E23D5" w:rsidRPr="00744EEC" w:rsidRDefault="007E23D5">
      <w:r w:rsidRPr="00744E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5C36" w:rsidRPr="00744EEC" w:rsidRDefault="00AD5C36">
    <w:pPr>
      <w:pStyle w:val="Sidhuvud"/>
      <w:framePr w:wrap="around" w:vAnchor="text" w:hAnchor="margin" w:xAlign="right" w:y="1"/>
      <w:rPr>
        <w:rStyle w:val="Sidnummer"/>
      </w:rPr>
    </w:pPr>
    <w:r w:rsidRPr="00744EEC">
      <w:rPr>
        <w:rStyle w:val="Sidnummer"/>
      </w:rPr>
      <w:fldChar w:fldCharType="begin" w:fldLock="1"/>
    </w:r>
    <w:r w:rsidRPr="00744EEC">
      <w:rPr>
        <w:rStyle w:val="Sidnummer"/>
      </w:rPr>
      <w:instrText xml:space="preserve">PAGE  </w:instrText>
    </w:r>
    <w:r w:rsidRPr="00744EEC">
      <w:rPr>
        <w:rStyle w:val="Sidnummer"/>
      </w:rPr>
      <w:fldChar w:fldCharType="separate"/>
    </w:r>
    <w:r w:rsidR="002A6DC5" w:rsidRPr="00744EEC">
      <w:rPr>
        <w:rStyle w:val="Sidnummer"/>
      </w:rPr>
      <w:t>2</w:t>
    </w:r>
    <w:r w:rsidRPr="00744EEC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AD5C36" w:rsidRPr="00744EEC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AD5C36" w:rsidRPr="00744EEC" w:rsidRDefault="00AD5C3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AD5C36" w:rsidRPr="00744EEC" w:rsidRDefault="00AD5C36">
          <w:pPr>
            <w:pStyle w:val="Sidhuvud"/>
            <w:ind w:right="360"/>
          </w:pPr>
        </w:p>
      </w:tc>
      <w:tc>
        <w:tcPr>
          <w:tcW w:w="1525" w:type="dxa"/>
        </w:tcPr>
        <w:p w:rsidR="00AD5C36" w:rsidRPr="00744EEC" w:rsidRDefault="00AD5C36">
          <w:pPr>
            <w:pStyle w:val="Sidhuvud"/>
            <w:ind w:right="360"/>
          </w:pPr>
        </w:p>
      </w:tc>
    </w:tr>
  </w:tbl>
  <w:p w:rsidR="00AD5C36" w:rsidRPr="00744EEC" w:rsidRDefault="00AD5C3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5C36" w:rsidRPr="00744EEC" w:rsidRDefault="00AD5C36">
    <w:pPr>
      <w:pStyle w:val="Sidhuvud"/>
      <w:framePr w:wrap="around" w:vAnchor="text" w:hAnchor="margin" w:xAlign="right" w:y="1"/>
      <w:rPr>
        <w:rStyle w:val="Sidnummer"/>
      </w:rPr>
    </w:pPr>
    <w:r w:rsidRPr="00744EEC">
      <w:rPr>
        <w:rStyle w:val="Sidnummer"/>
      </w:rPr>
      <w:fldChar w:fldCharType="begin" w:fldLock="1"/>
    </w:r>
    <w:r w:rsidRPr="00744EEC">
      <w:rPr>
        <w:rStyle w:val="Sidnummer"/>
      </w:rPr>
      <w:instrText xml:space="preserve">PAGE  </w:instrText>
    </w:r>
    <w:r w:rsidRPr="00744EEC">
      <w:rPr>
        <w:rStyle w:val="Sidnummer"/>
      </w:rPr>
      <w:fldChar w:fldCharType="separate"/>
    </w:r>
    <w:r w:rsidR="002A6DC5" w:rsidRPr="00744EEC">
      <w:rPr>
        <w:rStyle w:val="Sidnummer"/>
      </w:rPr>
      <w:t>2</w:t>
    </w:r>
    <w:r w:rsidRPr="00744EEC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AD5C36" w:rsidRPr="00744EEC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AD5C36" w:rsidRPr="00744EEC" w:rsidRDefault="00AD5C3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AD5C36" w:rsidRPr="00744EEC" w:rsidRDefault="00AD5C36">
          <w:pPr>
            <w:pStyle w:val="Sidhuvud"/>
            <w:ind w:right="360"/>
          </w:pPr>
        </w:p>
      </w:tc>
      <w:tc>
        <w:tcPr>
          <w:tcW w:w="1525" w:type="dxa"/>
        </w:tcPr>
        <w:p w:rsidR="00AD5C36" w:rsidRPr="00744EEC" w:rsidRDefault="00AD5C36">
          <w:pPr>
            <w:pStyle w:val="Sidhuvud"/>
            <w:ind w:right="360"/>
          </w:pPr>
        </w:p>
      </w:tc>
    </w:tr>
  </w:tbl>
  <w:p w:rsidR="00AD5C36" w:rsidRPr="00744EEC" w:rsidRDefault="00AD5C3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5C36" w:rsidRPr="00744EEC" w:rsidRDefault="00744EEC">
    <w:pPr>
      <w:framePr w:w="2948" w:h="1321" w:hRule="exact" w:wrap="notBeside" w:vAnchor="page" w:hAnchor="page" w:x="1362" w:y="653"/>
    </w:pPr>
    <w:r w:rsidRPr="00744EEC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5C36" w:rsidRPr="00744EEC" w:rsidRDefault="00AD5C3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D5C36" w:rsidRPr="00744EEC" w:rsidRDefault="00AD5C36">
    <w:pPr>
      <w:rPr>
        <w:rFonts w:ascii="TradeGothic" w:hAnsi="TradeGothic"/>
        <w:b/>
        <w:bCs/>
        <w:spacing w:val="12"/>
        <w:sz w:val="22"/>
      </w:rPr>
    </w:pPr>
  </w:p>
  <w:p w:rsidR="00AD5C36" w:rsidRPr="00744EEC" w:rsidRDefault="00AD5C3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D5C36" w:rsidRPr="00744EEC" w:rsidRDefault="00AD5C3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481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BF741E8"/>
    <w:multiLevelType w:val="hybridMultilevel"/>
    <w:tmpl w:val="EFBED730"/>
    <w:lvl w:ilvl="0" w:tplc="6464B142">
      <w:start w:val="1"/>
      <w:numFmt w:val="bullet"/>
      <w:lvlRestart w:val="0"/>
      <w:pStyle w:val="Punktlista"/>
      <w:lvlText w:val=""/>
      <w:lvlJc w:val="left"/>
      <w:pPr>
        <w:tabs>
          <w:tab w:val="num" w:pos="499"/>
        </w:tabs>
        <w:ind w:left="499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9654557">
    <w:abstractNumId w:val="1"/>
  </w:num>
  <w:num w:numId="2" w16cid:durableId="47503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Socialdepartementet"/>
    <w:docVar w:name="Regering" w:val="N"/>
  </w:docVars>
  <w:rsids>
    <w:rsidRoot w:val="007243CE"/>
    <w:rsid w:val="00001D4F"/>
    <w:rsid w:val="00062870"/>
    <w:rsid w:val="000D04BD"/>
    <w:rsid w:val="000F0A35"/>
    <w:rsid w:val="0013589B"/>
    <w:rsid w:val="00154C9F"/>
    <w:rsid w:val="001571E2"/>
    <w:rsid w:val="00186336"/>
    <w:rsid w:val="001A0103"/>
    <w:rsid w:val="001B1E8A"/>
    <w:rsid w:val="001D06C1"/>
    <w:rsid w:val="001E0BC4"/>
    <w:rsid w:val="001E77A6"/>
    <w:rsid w:val="001F2EA4"/>
    <w:rsid w:val="00206B53"/>
    <w:rsid w:val="002265FC"/>
    <w:rsid w:val="00227E61"/>
    <w:rsid w:val="0029291C"/>
    <w:rsid w:val="002A64F5"/>
    <w:rsid w:val="002A6DC5"/>
    <w:rsid w:val="002D4DF2"/>
    <w:rsid w:val="00313201"/>
    <w:rsid w:val="00343E8C"/>
    <w:rsid w:val="003517D5"/>
    <w:rsid w:val="00374B2F"/>
    <w:rsid w:val="00397DEE"/>
    <w:rsid w:val="003B790F"/>
    <w:rsid w:val="003C4142"/>
    <w:rsid w:val="004001F5"/>
    <w:rsid w:val="00420973"/>
    <w:rsid w:val="00457E21"/>
    <w:rsid w:val="0046635C"/>
    <w:rsid w:val="004E14B2"/>
    <w:rsid w:val="004E6E4D"/>
    <w:rsid w:val="004F053F"/>
    <w:rsid w:val="0053371D"/>
    <w:rsid w:val="0053776F"/>
    <w:rsid w:val="00547C4D"/>
    <w:rsid w:val="00571A05"/>
    <w:rsid w:val="005E6135"/>
    <w:rsid w:val="005F6ABD"/>
    <w:rsid w:val="006006D9"/>
    <w:rsid w:val="0063631F"/>
    <w:rsid w:val="00644707"/>
    <w:rsid w:val="00670DC1"/>
    <w:rsid w:val="0067579C"/>
    <w:rsid w:val="0069573C"/>
    <w:rsid w:val="006C635A"/>
    <w:rsid w:val="006D4221"/>
    <w:rsid w:val="00707C81"/>
    <w:rsid w:val="007243CE"/>
    <w:rsid w:val="00744EEC"/>
    <w:rsid w:val="007E23D5"/>
    <w:rsid w:val="007E4CDE"/>
    <w:rsid w:val="00811E4E"/>
    <w:rsid w:val="00812DB3"/>
    <w:rsid w:val="00816EB4"/>
    <w:rsid w:val="008352D9"/>
    <w:rsid w:val="008552F1"/>
    <w:rsid w:val="00891C3F"/>
    <w:rsid w:val="00896511"/>
    <w:rsid w:val="008B6F9C"/>
    <w:rsid w:val="008C1219"/>
    <w:rsid w:val="008C6C23"/>
    <w:rsid w:val="008D743B"/>
    <w:rsid w:val="008E577C"/>
    <w:rsid w:val="008F5C81"/>
    <w:rsid w:val="00907554"/>
    <w:rsid w:val="00941E99"/>
    <w:rsid w:val="0094420F"/>
    <w:rsid w:val="009524C8"/>
    <w:rsid w:val="0095765D"/>
    <w:rsid w:val="00992397"/>
    <w:rsid w:val="009A0076"/>
    <w:rsid w:val="009E5758"/>
    <w:rsid w:val="009E6113"/>
    <w:rsid w:val="00A12027"/>
    <w:rsid w:val="00A3182A"/>
    <w:rsid w:val="00A32C21"/>
    <w:rsid w:val="00A53CF3"/>
    <w:rsid w:val="00AB374C"/>
    <w:rsid w:val="00AD5C36"/>
    <w:rsid w:val="00AF7490"/>
    <w:rsid w:val="00B05A6D"/>
    <w:rsid w:val="00B25106"/>
    <w:rsid w:val="00B30423"/>
    <w:rsid w:val="00B312D4"/>
    <w:rsid w:val="00B60217"/>
    <w:rsid w:val="00B7769B"/>
    <w:rsid w:val="00BB33CF"/>
    <w:rsid w:val="00BC15E7"/>
    <w:rsid w:val="00BD1A29"/>
    <w:rsid w:val="00BF29C0"/>
    <w:rsid w:val="00C84B2B"/>
    <w:rsid w:val="00C90780"/>
    <w:rsid w:val="00C91E32"/>
    <w:rsid w:val="00CB760C"/>
    <w:rsid w:val="00CC2D8A"/>
    <w:rsid w:val="00D5685E"/>
    <w:rsid w:val="00DE0D44"/>
    <w:rsid w:val="00DE4376"/>
    <w:rsid w:val="00DF6D59"/>
    <w:rsid w:val="00E00A0E"/>
    <w:rsid w:val="00E25035"/>
    <w:rsid w:val="00E34920"/>
    <w:rsid w:val="00E51491"/>
    <w:rsid w:val="00E60B5D"/>
    <w:rsid w:val="00E6480E"/>
    <w:rsid w:val="00E91EA8"/>
    <w:rsid w:val="00E96478"/>
    <w:rsid w:val="00EC28B5"/>
    <w:rsid w:val="00F2370F"/>
    <w:rsid w:val="00F27A63"/>
    <w:rsid w:val="00F57F25"/>
    <w:rsid w:val="00FA3D87"/>
    <w:rsid w:val="00FA66EE"/>
    <w:rsid w:val="00F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A9F3153-FFEB-4AFC-91A0-F4D1116C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pPr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  <w:szCs w:val="24"/>
      <w:lang w:eastAsia="zh-CN"/>
    </w:rPr>
  </w:style>
  <w:style w:type="paragraph" w:styleId="Punktlista">
    <w:name w:val="List Bullet"/>
    <w:basedOn w:val="Normal"/>
    <w:rsid w:val="00896511"/>
    <w:pPr>
      <w:numPr>
        <w:numId w:val="1"/>
      </w:numPr>
    </w:pPr>
  </w:style>
  <w:style w:type="paragraph" w:styleId="Ballongtext">
    <w:name w:val="Balloon Text"/>
    <w:basedOn w:val="Normal"/>
    <w:semiHidden/>
    <w:rsid w:val="00E25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378</Words>
  <Characters>2548</Characters>
  <Application>Microsoft Office Word</Application>
  <DocSecurity>4</DocSecurity>
  <Lines>87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2009-06-01T08:42:00Z</cp:lastPrinted>
  <dcterms:created xsi:type="dcterms:W3CDTF">2025-12-17T19:31:00Z</dcterms:created>
  <dcterms:modified xsi:type="dcterms:W3CDTF">2025-12-17T19:31:00Z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