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530" w:rsidRPr="005C6873" w:rsidRDefault="00D37530">
      <w:pPr>
        <w:pStyle w:val="Hemstlrubrik"/>
        <w:shd w:val="clear" w:color="000000" w:fill="auto"/>
      </w:pPr>
      <w:r w:rsidRPr="005C6873">
        <w:t>Förslag till riksdagsbeslut</w:t>
      </w:r>
    </w:p>
    <w:p w:rsidR="00D37530" w:rsidRPr="005C6873" w:rsidRDefault="00D37530">
      <w:pPr>
        <w:pStyle w:val="Hemstlatt"/>
        <w:shd w:val="clear" w:color="000000" w:fill="auto"/>
        <w:ind w:left="0"/>
      </w:pPr>
      <w:r w:rsidRPr="005C6873">
        <w:rPr>
          <w:color w:val="000000"/>
        </w:rPr>
        <w:t>Riksdagen beslutar om ändrade ramar för utgiftsomr</w:t>
      </w:r>
      <w:r w:rsidRPr="005C6873">
        <w:rPr>
          <w:color w:val="000000"/>
        </w:rPr>
        <w:t>å</w:t>
      </w:r>
      <w:r w:rsidRPr="005C6873">
        <w:rPr>
          <w:color w:val="000000"/>
        </w:rPr>
        <w:t xml:space="preserve">den i enlighet med vad som anförs i motionen och </w:t>
      </w:r>
      <w:r w:rsidRPr="005C6873">
        <w:t>anvisar med följande än</w:t>
      </w:r>
      <w:r w:rsidRPr="005C6873">
        <w:t>d</w:t>
      </w:r>
      <w:r w:rsidRPr="005C6873">
        <w:t>ringar i förhållande till regeringens förslag anslagen enligt uppställning i tabell 1.</w:t>
      </w:r>
    </w:p>
    <w:p w:rsidR="00D37530" w:rsidRPr="005C6873" w:rsidRDefault="00D37530">
      <w:pPr>
        <w:shd w:val="clear" w:color="000000" w:fill="auto"/>
        <w:ind w:right="-167"/>
        <w:rPr>
          <w:b/>
          <w:sz w:val="20"/>
        </w:rPr>
      </w:pPr>
      <w:r w:rsidRPr="005C6873">
        <w:rPr>
          <w:b/>
          <w:sz w:val="20"/>
        </w:rPr>
        <w:t>Tabell 1. Förändringar i anslag, tilläggsbudget för 2008</w:t>
      </w:r>
    </w:p>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621"/>
        <w:gridCol w:w="49"/>
        <w:gridCol w:w="2640"/>
        <w:gridCol w:w="1320"/>
        <w:gridCol w:w="1320"/>
      </w:tblGrid>
      <w:tr w:rsidR="00000000" w:rsidRPr="005C6873">
        <w:trPr>
          <w:cantSplit/>
          <w:trHeight w:val="719"/>
        </w:trPr>
        <w:tc>
          <w:tcPr>
            <w:tcW w:w="621" w:type="dxa"/>
            <w:tcBorders>
              <w:bottom w:val="single" w:sz="4" w:space="0" w:color="auto"/>
            </w:tcBorders>
          </w:tcPr>
          <w:p w:rsidR="00D37530" w:rsidRPr="005C6873" w:rsidRDefault="00D37530">
            <w:pPr>
              <w:shd w:val="clear" w:color="000000" w:fill="auto"/>
              <w:spacing w:before="60" w:line="200" w:lineRule="exact"/>
              <w:rPr>
                <w:b/>
                <w:sz w:val="16"/>
                <w:szCs w:val="16"/>
              </w:rPr>
            </w:pPr>
            <w:r w:rsidRPr="005C6873">
              <w:rPr>
                <w:b/>
                <w:sz w:val="16"/>
                <w:szCs w:val="16"/>
              </w:rPr>
              <w:t>Anslag</w:t>
            </w:r>
          </w:p>
        </w:tc>
        <w:tc>
          <w:tcPr>
            <w:tcW w:w="2689" w:type="dxa"/>
            <w:gridSpan w:val="2"/>
            <w:tcBorders>
              <w:bottom w:val="single" w:sz="4" w:space="0" w:color="auto"/>
            </w:tcBorders>
          </w:tcPr>
          <w:p w:rsidR="00D37530" w:rsidRPr="005C6873" w:rsidRDefault="00D37530">
            <w:pPr>
              <w:shd w:val="clear" w:color="000000" w:fill="auto"/>
              <w:spacing w:before="60" w:line="200" w:lineRule="exact"/>
              <w:rPr>
                <w:b/>
                <w:sz w:val="16"/>
                <w:szCs w:val="16"/>
              </w:rPr>
            </w:pPr>
          </w:p>
        </w:tc>
        <w:tc>
          <w:tcPr>
            <w:tcW w:w="1320" w:type="dxa"/>
            <w:tcBorders>
              <w:bottom w:val="single" w:sz="4" w:space="0" w:color="auto"/>
            </w:tcBorders>
          </w:tcPr>
          <w:p w:rsidR="00D37530" w:rsidRPr="005C6873" w:rsidRDefault="00D37530">
            <w:pPr>
              <w:shd w:val="clear" w:color="000000" w:fill="auto"/>
              <w:spacing w:before="60" w:line="200" w:lineRule="exact"/>
              <w:jc w:val="right"/>
              <w:rPr>
                <w:b/>
                <w:spacing w:val="-2"/>
                <w:sz w:val="16"/>
                <w:szCs w:val="16"/>
              </w:rPr>
            </w:pPr>
            <w:r w:rsidRPr="005C6873">
              <w:rPr>
                <w:b/>
                <w:spacing w:val="-2"/>
                <w:sz w:val="16"/>
                <w:szCs w:val="16"/>
              </w:rPr>
              <w:t>Regeringens förslag till för</w:t>
            </w:r>
            <w:r w:rsidRPr="005C6873">
              <w:rPr>
                <w:b/>
                <w:spacing w:val="-2"/>
                <w:sz w:val="16"/>
                <w:szCs w:val="16"/>
              </w:rPr>
              <w:softHyphen/>
              <w:t>ändring, kronor</w:t>
            </w:r>
          </w:p>
        </w:tc>
        <w:tc>
          <w:tcPr>
            <w:tcW w:w="1320" w:type="dxa"/>
            <w:tcBorders>
              <w:bottom w:val="single" w:sz="4" w:space="0" w:color="auto"/>
            </w:tcBorders>
          </w:tcPr>
          <w:p w:rsidR="00D37530" w:rsidRPr="005C6873" w:rsidRDefault="00D37530">
            <w:pPr>
              <w:shd w:val="clear" w:color="000000" w:fill="auto"/>
              <w:spacing w:before="60" w:line="200" w:lineRule="exact"/>
              <w:jc w:val="right"/>
              <w:rPr>
                <w:b/>
                <w:sz w:val="16"/>
                <w:szCs w:val="16"/>
              </w:rPr>
            </w:pPr>
            <w:r w:rsidRPr="005C6873">
              <w:rPr>
                <w:b/>
                <w:spacing w:val="-2"/>
                <w:sz w:val="16"/>
                <w:szCs w:val="16"/>
              </w:rPr>
              <w:t>Vänsterpartiets förslag, differens</w:t>
            </w:r>
            <w:r w:rsidRPr="005C6873">
              <w:rPr>
                <w:b/>
                <w:sz w:val="16"/>
                <w:szCs w:val="16"/>
              </w:rPr>
              <w:t>, kronor</w:t>
            </w:r>
          </w:p>
        </w:tc>
      </w:tr>
      <w:tr w:rsidR="00000000" w:rsidRPr="005C6873">
        <w:trPr>
          <w:cantSplit/>
          <w:trHeight w:val="315"/>
        </w:trPr>
        <w:tc>
          <w:tcPr>
            <w:tcW w:w="3310" w:type="dxa"/>
            <w:gridSpan w:val="3"/>
            <w:noWrap/>
            <w:vAlign w:val="bottom"/>
          </w:tcPr>
          <w:p w:rsidR="00D37530" w:rsidRPr="005C6873" w:rsidRDefault="00D37530">
            <w:pPr>
              <w:shd w:val="clear" w:color="000000" w:fill="auto"/>
              <w:spacing w:before="60" w:line="200" w:lineRule="exact"/>
              <w:rPr>
                <w:b/>
                <w:bCs/>
                <w:sz w:val="16"/>
                <w:szCs w:val="16"/>
              </w:rPr>
            </w:pPr>
            <w:r w:rsidRPr="005C6873">
              <w:rPr>
                <w:b/>
                <w:bCs/>
                <w:sz w:val="16"/>
                <w:szCs w:val="16"/>
              </w:rPr>
              <w:t>Utgiftsområde 8 Migration</w:t>
            </w:r>
          </w:p>
        </w:tc>
        <w:tc>
          <w:tcPr>
            <w:tcW w:w="1320" w:type="dxa"/>
            <w:noWrap/>
            <w:vAlign w:val="bottom"/>
          </w:tcPr>
          <w:p w:rsidR="00D37530" w:rsidRPr="005C6873" w:rsidRDefault="00D37530">
            <w:pPr>
              <w:shd w:val="clear" w:color="000000" w:fill="auto"/>
              <w:spacing w:before="60" w:line="200" w:lineRule="exact"/>
              <w:jc w:val="right"/>
              <w:rPr>
                <w:sz w:val="16"/>
                <w:szCs w:val="16"/>
              </w:rPr>
            </w:pPr>
          </w:p>
        </w:tc>
        <w:tc>
          <w:tcPr>
            <w:tcW w:w="1320" w:type="dxa"/>
            <w:noWrap/>
            <w:vAlign w:val="bottom"/>
          </w:tcPr>
          <w:p w:rsidR="00D37530" w:rsidRPr="005C6873" w:rsidRDefault="00D37530">
            <w:pPr>
              <w:shd w:val="clear" w:color="000000" w:fill="auto"/>
              <w:spacing w:before="60" w:line="200" w:lineRule="exact"/>
              <w:jc w:val="right"/>
              <w:rPr>
                <w:sz w:val="16"/>
                <w:szCs w:val="16"/>
              </w:rPr>
            </w:pPr>
          </w:p>
        </w:tc>
      </w:tr>
      <w:tr w:rsidR="00000000" w:rsidRPr="005C6873">
        <w:trPr>
          <w:cantSplit/>
          <w:trHeight w:val="255"/>
        </w:trPr>
        <w:tc>
          <w:tcPr>
            <w:tcW w:w="621" w:type="dxa"/>
            <w:noWrap/>
          </w:tcPr>
          <w:p w:rsidR="00D37530" w:rsidRPr="005C6873" w:rsidRDefault="00D37530">
            <w:pPr>
              <w:shd w:val="clear" w:color="000000" w:fill="auto"/>
              <w:spacing w:before="60" w:line="200" w:lineRule="exact"/>
              <w:rPr>
                <w:sz w:val="16"/>
                <w:szCs w:val="16"/>
              </w:rPr>
            </w:pPr>
            <w:r w:rsidRPr="005C6873">
              <w:rPr>
                <w:sz w:val="16"/>
                <w:szCs w:val="16"/>
              </w:rPr>
              <w:t>12:4</w:t>
            </w:r>
          </w:p>
        </w:tc>
        <w:tc>
          <w:tcPr>
            <w:tcW w:w="2689" w:type="dxa"/>
            <w:gridSpan w:val="2"/>
            <w:noWrap/>
            <w:vAlign w:val="bottom"/>
          </w:tcPr>
          <w:p w:rsidR="00D37530" w:rsidRPr="005C6873" w:rsidRDefault="00D37530">
            <w:pPr>
              <w:shd w:val="clear" w:color="000000" w:fill="auto"/>
              <w:spacing w:before="60" w:line="200" w:lineRule="exact"/>
              <w:rPr>
                <w:sz w:val="16"/>
                <w:szCs w:val="16"/>
              </w:rPr>
            </w:pPr>
            <w:r w:rsidRPr="005C6873">
              <w:rPr>
                <w:sz w:val="16"/>
                <w:szCs w:val="16"/>
              </w:rPr>
              <w:t>Kostnader vid domstolsprövning</w:t>
            </w:r>
          </w:p>
        </w:tc>
        <w:tc>
          <w:tcPr>
            <w:tcW w:w="1320" w:type="dxa"/>
            <w:noWrap/>
            <w:vAlign w:val="bottom"/>
          </w:tcPr>
          <w:p w:rsidR="00D37530" w:rsidRPr="005C6873" w:rsidRDefault="00D37530">
            <w:pPr>
              <w:shd w:val="clear" w:color="000000" w:fill="auto"/>
              <w:spacing w:before="60" w:line="200" w:lineRule="exact"/>
              <w:jc w:val="right"/>
              <w:rPr>
                <w:sz w:val="16"/>
                <w:szCs w:val="16"/>
              </w:rPr>
            </w:pPr>
            <w:r w:rsidRPr="005C6873">
              <w:rPr>
                <w:sz w:val="16"/>
                <w:szCs w:val="16"/>
              </w:rPr>
              <w:t>–45 000 000</w:t>
            </w:r>
          </w:p>
        </w:tc>
        <w:tc>
          <w:tcPr>
            <w:tcW w:w="1320" w:type="dxa"/>
            <w:noWrap/>
            <w:vAlign w:val="bottom"/>
          </w:tcPr>
          <w:p w:rsidR="00D37530" w:rsidRPr="005C6873" w:rsidRDefault="00D37530">
            <w:pPr>
              <w:shd w:val="clear" w:color="000000" w:fill="auto"/>
              <w:spacing w:before="60" w:line="200" w:lineRule="exact"/>
              <w:jc w:val="right"/>
              <w:rPr>
                <w:sz w:val="16"/>
                <w:szCs w:val="16"/>
              </w:rPr>
            </w:pPr>
            <w:r w:rsidRPr="005C6873">
              <w:rPr>
                <w:sz w:val="16"/>
                <w:szCs w:val="16"/>
              </w:rPr>
              <w:t>+45 000 000</w:t>
            </w:r>
          </w:p>
        </w:tc>
      </w:tr>
      <w:tr w:rsidR="00000000" w:rsidRPr="005C6873">
        <w:trPr>
          <w:cantSplit/>
          <w:trHeight w:val="255"/>
        </w:trPr>
        <w:tc>
          <w:tcPr>
            <w:tcW w:w="3310" w:type="dxa"/>
            <w:gridSpan w:val="3"/>
            <w:noWrap/>
            <w:vAlign w:val="bottom"/>
          </w:tcPr>
          <w:p w:rsidR="00D37530" w:rsidRPr="005C6873" w:rsidRDefault="00D37530">
            <w:pPr>
              <w:shd w:val="clear" w:color="000000" w:fill="auto"/>
              <w:spacing w:before="60" w:line="200" w:lineRule="exact"/>
              <w:rPr>
                <w:b/>
                <w:bCs/>
                <w:sz w:val="16"/>
                <w:szCs w:val="16"/>
              </w:rPr>
            </w:pPr>
            <w:r w:rsidRPr="005C6873">
              <w:rPr>
                <w:b/>
                <w:bCs/>
                <w:sz w:val="16"/>
                <w:szCs w:val="16"/>
              </w:rPr>
              <w:t>Utgiftsområde 22 Kommunikationer</w:t>
            </w:r>
          </w:p>
        </w:tc>
        <w:tc>
          <w:tcPr>
            <w:tcW w:w="1320" w:type="dxa"/>
            <w:noWrap/>
            <w:vAlign w:val="bottom"/>
          </w:tcPr>
          <w:p w:rsidR="00D37530" w:rsidRPr="005C6873" w:rsidRDefault="00D37530">
            <w:pPr>
              <w:shd w:val="clear" w:color="000000" w:fill="auto"/>
              <w:spacing w:before="60" w:line="200" w:lineRule="exact"/>
              <w:jc w:val="right"/>
              <w:rPr>
                <w:sz w:val="16"/>
                <w:szCs w:val="16"/>
              </w:rPr>
            </w:pPr>
          </w:p>
        </w:tc>
        <w:tc>
          <w:tcPr>
            <w:tcW w:w="1320" w:type="dxa"/>
            <w:noWrap/>
            <w:vAlign w:val="bottom"/>
          </w:tcPr>
          <w:p w:rsidR="00D37530" w:rsidRPr="005C6873" w:rsidRDefault="00D37530">
            <w:pPr>
              <w:shd w:val="clear" w:color="000000" w:fill="auto"/>
              <w:spacing w:before="60" w:line="200" w:lineRule="exact"/>
              <w:jc w:val="right"/>
              <w:rPr>
                <w:sz w:val="16"/>
                <w:szCs w:val="16"/>
              </w:rPr>
            </w:pPr>
          </w:p>
        </w:tc>
      </w:tr>
      <w:tr w:rsidR="00000000" w:rsidRPr="005C6873">
        <w:trPr>
          <w:cantSplit/>
          <w:trHeight w:val="255"/>
        </w:trPr>
        <w:tc>
          <w:tcPr>
            <w:tcW w:w="621" w:type="dxa"/>
            <w:noWrap/>
          </w:tcPr>
          <w:p w:rsidR="00D37530" w:rsidRPr="005C6873" w:rsidRDefault="00D37530">
            <w:pPr>
              <w:shd w:val="clear" w:color="000000" w:fill="auto"/>
              <w:spacing w:before="60" w:line="200" w:lineRule="exact"/>
              <w:rPr>
                <w:sz w:val="16"/>
                <w:szCs w:val="16"/>
              </w:rPr>
            </w:pPr>
            <w:r w:rsidRPr="005C6873">
              <w:rPr>
                <w:sz w:val="16"/>
                <w:szCs w:val="16"/>
              </w:rPr>
              <w:t>36:6</w:t>
            </w:r>
          </w:p>
        </w:tc>
        <w:tc>
          <w:tcPr>
            <w:tcW w:w="2689" w:type="dxa"/>
            <w:gridSpan w:val="2"/>
            <w:noWrap/>
            <w:vAlign w:val="bottom"/>
          </w:tcPr>
          <w:p w:rsidR="00D37530" w:rsidRPr="005C6873" w:rsidRDefault="00D37530">
            <w:pPr>
              <w:shd w:val="clear" w:color="000000" w:fill="auto"/>
              <w:spacing w:before="60" w:line="200" w:lineRule="exact"/>
              <w:rPr>
                <w:sz w:val="16"/>
                <w:szCs w:val="16"/>
              </w:rPr>
            </w:pPr>
            <w:r w:rsidRPr="005C6873">
              <w:rPr>
                <w:sz w:val="16"/>
                <w:szCs w:val="16"/>
              </w:rPr>
              <w:t>Ersättning för sjöräddning, fritidsbåt</w:t>
            </w:r>
            <w:r w:rsidRPr="005C6873">
              <w:rPr>
                <w:sz w:val="16"/>
                <w:szCs w:val="16"/>
              </w:rPr>
              <w:t>s</w:t>
            </w:r>
            <w:r w:rsidRPr="005C6873">
              <w:rPr>
                <w:sz w:val="16"/>
                <w:szCs w:val="16"/>
              </w:rPr>
              <w:t>ändamål</w:t>
            </w:r>
          </w:p>
        </w:tc>
        <w:tc>
          <w:tcPr>
            <w:tcW w:w="1320" w:type="dxa"/>
            <w:noWrap/>
            <w:vAlign w:val="bottom"/>
          </w:tcPr>
          <w:p w:rsidR="00D37530" w:rsidRPr="005C6873" w:rsidRDefault="00D37530">
            <w:pPr>
              <w:shd w:val="clear" w:color="000000" w:fill="auto"/>
              <w:spacing w:before="60" w:line="200" w:lineRule="exact"/>
              <w:jc w:val="right"/>
              <w:rPr>
                <w:sz w:val="16"/>
                <w:szCs w:val="16"/>
              </w:rPr>
            </w:pPr>
            <w:r w:rsidRPr="005C6873">
              <w:rPr>
                <w:sz w:val="16"/>
                <w:szCs w:val="16"/>
              </w:rPr>
              <w:t>–10 000 000</w:t>
            </w:r>
          </w:p>
        </w:tc>
        <w:tc>
          <w:tcPr>
            <w:tcW w:w="1320" w:type="dxa"/>
            <w:noWrap/>
            <w:vAlign w:val="bottom"/>
          </w:tcPr>
          <w:p w:rsidR="00D37530" w:rsidRPr="005C6873" w:rsidRDefault="00D37530">
            <w:pPr>
              <w:shd w:val="clear" w:color="000000" w:fill="auto"/>
              <w:spacing w:before="60" w:line="200" w:lineRule="exact"/>
              <w:jc w:val="right"/>
              <w:rPr>
                <w:sz w:val="16"/>
                <w:szCs w:val="16"/>
              </w:rPr>
            </w:pPr>
            <w:r w:rsidRPr="005C6873">
              <w:rPr>
                <w:sz w:val="16"/>
                <w:szCs w:val="16"/>
              </w:rPr>
              <w:t>+10 000 000</w:t>
            </w:r>
          </w:p>
        </w:tc>
      </w:tr>
      <w:tr w:rsidR="00000000" w:rsidRPr="005C6873">
        <w:trPr>
          <w:cantSplit/>
          <w:trHeight w:val="255"/>
        </w:trPr>
        <w:tc>
          <w:tcPr>
            <w:tcW w:w="621" w:type="dxa"/>
            <w:noWrap/>
          </w:tcPr>
          <w:p w:rsidR="00D37530" w:rsidRPr="005C6873" w:rsidRDefault="00D37530">
            <w:pPr>
              <w:shd w:val="clear" w:color="000000" w:fill="auto"/>
              <w:spacing w:before="60" w:line="200" w:lineRule="exact"/>
              <w:rPr>
                <w:sz w:val="16"/>
                <w:szCs w:val="16"/>
              </w:rPr>
            </w:pPr>
            <w:r w:rsidRPr="005C6873">
              <w:rPr>
                <w:sz w:val="16"/>
                <w:szCs w:val="16"/>
              </w:rPr>
              <w:t>36:16</w:t>
            </w:r>
          </w:p>
        </w:tc>
        <w:tc>
          <w:tcPr>
            <w:tcW w:w="2689" w:type="dxa"/>
            <w:gridSpan w:val="2"/>
            <w:noWrap/>
            <w:vAlign w:val="bottom"/>
          </w:tcPr>
          <w:p w:rsidR="00D37530" w:rsidRPr="005C6873" w:rsidRDefault="00D37530">
            <w:pPr>
              <w:shd w:val="clear" w:color="000000" w:fill="auto"/>
              <w:spacing w:before="60" w:line="200" w:lineRule="exact"/>
              <w:rPr>
                <w:sz w:val="16"/>
                <w:szCs w:val="16"/>
              </w:rPr>
            </w:pPr>
            <w:r w:rsidRPr="005C6873">
              <w:rPr>
                <w:sz w:val="16"/>
                <w:szCs w:val="16"/>
              </w:rPr>
              <w:t>Järnvägsstyrelsen</w:t>
            </w:r>
          </w:p>
        </w:tc>
        <w:tc>
          <w:tcPr>
            <w:tcW w:w="1320" w:type="dxa"/>
            <w:noWrap/>
            <w:vAlign w:val="bottom"/>
          </w:tcPr>
          <w:p w:rsidR="00D37530" w:rsidRPr="005C6873" w:rsidRDefault="00D37530">
            <w:pPr>
              <w:shd w:val="clear" w:color="000000" w:fill="auto"/>
              <w:spacing w:before="60" w:line="200" w:lineRule="exact"/>
              <w:jc w:val="right"/>
              <w:rPr>
                <w:sz w:val="16"/>
                <w:szCs w:val="16"/>
              </w:rPr>
            </w:pPr>
            <w:r w:rsidRPr="005C6873">
              <w:rPr>
                <w:sz w:val="16"/>
                <w:szCs w:val="16"/>
              </w:rPr>
              <w:t>–5 000 000</w:t>
            </w:r>
          </w:p>
        </w:tc>
        <w:tc>
          <w:tcPr>
            <w:tcW w:w="1320" w:type="dxa"/>
            <w:noWrap/>
            <w:vAlign w:val="bottom"/>
          </w:tcPr>
          <w:p w:rsidR="00D37530" w:rsidRPr="005C6873" w:rsidRDefault="00D37530">
            <w:pPr>
              <w:shd w:val="clear" w:color="000000" w:fill="auto"/>
              <w:spacing w:before="60" w:line="200" w:lineRule="exact"/>
              <w:jc w:val="right"/>
              <w:rPr>
                <w:sz w:val="16"/>
                <w:szCs w:val="16"/>
              </w:rPr>
            </w:pPr>
            <w:r w:rsidRPr="005C6873">
              <w:rPr>
                <w:sz w:val="16"/>
                <w:szCs w:val="16"/>
              </w:rPr>
              <w:t>+5 000 000</w:t>
            </w:r>
          </w:p>
        </w:tc>
      </w:tr>
      <w:tr w:rsidR="00000000" w:rsidRPr="005C6873">
        <w:trPr>
          <w:cantSplit/>
          <w:trHeight w:val="279"/>
        </w:trPr>
        <w:tc>
          <w:tcPr>
            <w:tcW w:w="670" w:type="dxa"/>
            <w:gridSpan w:val="2"/>
            <w:tcBorders>
              <w:top w:val="nil"/>
              <w:bottom w:val="single" w:sz="4" w:space="0" w:color="auto"/>
            </w:tcBorders>
            <w:noWrap/>
            <w:vAlign w:val="bottom"/>
          </w:tcPr>
          <w:p w:rsidR="00D37530" w:rsidRPr="005C6873" w:rsidRDefault="00D37530">
            <w:pPr>
              <w:shd w:val="clear" w:color="000000" w:fill="auto"/>
              <w:spacing w:before="60" w:line="200" w:lineRule="exact"/>
              <w:ind w:right="-70"/>
              <w:rPr>
                <w:b/>
                <w:bCs/>
                <w:sz w:val="16"/>
                <w:szCs w:val="16"/>
              </w:rPr>
            </w:pPr>
            <w:r w:rsidRPr="005C6873">
              <w:rPr>
                <w:b/>
                <w:bCs/>
                <w:sz w:val="16"/>
                <w:szCs w:val="16"/>
              </w:rPr>
              <w:t>Totalt</w:t>
            </w:r>
          </w:p>
        </w:tc>
        <w:tc>
          <w:tcPr>
            <w:tcW w:w="2640" w:type="dxa"/>
            <w:tcBorders>
              <w:top w:val="nil"/>
              <w:bottom w:val="single" w:sz="4" w:space="0" w:color="auto"/>
            </w:tcBorders>
            <w:noWrap/>
            <w:vAlign w:val="bottom"/>
          </w:tcPr>
          <w:p w:rsidR="00D37530" w:rsidRPr="005C6873" w:rsidRDefault="00D37530">
            <w:pPr>
              <w:shd w:val="clear" w:color="000000" w:fill="auto"/>
              <w:spacing w:before="60" w:line="200" w:lineRule="exact"/>
              <w:rPr>
                <w:b/>
                <w:bCs/>
                <w:sz w:val="16"/>
                <w:szCs w:val="16"/>
              </w:rPr>
            </w:pPr>
            <w:r w:rsidRPr="005C6873">
              <w:rPr>
                <w:b/>
                <w:bCs/>
                <w:sz w:val="16"/>
                <w:szCs w:val="16"/>
              </w:rPr>
              <w:t> </w:t>
            </w:r>
          </w:p>
        </w:tc>
        <w:tc>
          <w:tcPr>
            <w:tcW w:w="1320" w:type="dxa"/>
            <w:tcBorders>
              <w:top w:val="nil"/>
              <w:bottom w:val="single" w:sz="4" w:space="0" w:color="auto"/>
            </w:tcBorders>
            <w:noWrap/>
            <w:vAlign w:val="bottom"/>
          </w:tcPr>
          <w:p w:rsidR="00D37530" w:rsidRPr="005C6873" w:rsidRDefault="00D37530">
            <w:pPr>
              <w:shd w:val="clear" w:color="000000" w:fill="auto"/>
              <w:spacing w:before="60" w:line="200" w:lineRule="exact"/>
              <w:jc w:val="right"/>
              <w:rPr>
                <w:b/>
                <w:bCs/>
                <w:sz w:val="16"/>
                <w:szCs w:val="16"/>
              </w:rPr>
            </w:pPr>
            <w:r w:rsidRPr="005C6873">
              <w:rPr>
                <w:b/>
                <w:bCs/>
                <w:sz w:val="16"/>
                <w:szCs w:val="16"/>
              </w:rPr>
              <w:t> </w:t>
            </w:r>
          </w:p>
        </w:tc>
        <w:tc>
          <w:tcPr>
            <w:tcW w:w="1320" w:type="dxa"/>
            <w:tcBorders>
              <w:top w:val="nil"/>
              <w:bottom w:val="single" w:sz="4" w:space="0" w:color="auto"/>
            </w:tcBorders>
            <w:noWrap/>
            <w:vAlign w:val="bottom"/>
          </w:tcPr>
          <w:p w:rsidR="00D37530" w:rsidRPr="005C6873" w:rsidRDefault="00D37530">
            <w:pPr>
              <w:shd w:val="clear" w:color="000000" w:fill="auto"/>
              <w:spacing w:before="60" w:line="200" w:lineRule="exact"/>
              <w:jc w:val="right"/>
              <w:rPr>
                <w:b/>
                <w:bCs/>
                <w:sz w:val="16"/>
                <w:szCs w:val="16"/>
              </w:rPr>
            </w:pPr>
            <w:r w:rsidRPr="005C6873">
              <w:rPr>
                <w:b/>
                <w:bCs/>
                <w:sz w:val="16"/>
                <w:szCs w:val="16"/>
              </w:rPr>
              <w:t>+60 000 000</w:t>
            </w:r>
          </w:p>
        </w:tc>
      </w:tr>
    </w:tbl>
    <w:p w:rsidR="00D37530" w:rsidRPr="005C6873" w:rsidRDefault="00D37530">
      <w:pPr>
        <w:shd w:val="clear" w:color="000000" w:fill="auto"/>
      </w:pPr>
    </w:p>
    <w:p w:rsidR="00D37530" w:rsidRPr="005C6873" w:rsidRDefault="00D37530">
      <w:pPr>
        <w:pStyle w:val="Rubrik1"/>
        <w:shd w:val="clear" w:color="000000" w:fill="auto"/>
      </w:pPr>
      <w:r w:rsidRPr="005C6873">
        <w:t>Tilläggsbudget för 2008</w:t>
      </w:r>
    </w:p>
    <w:p w:rsidR="00D37530" w:rsidRPr="005C6873" w:rsidRDefault="00D37530">
      <w:pPr>
        <w:shd w:val="clear" w:color="000000" w:fill="auto"/>
      </w:pPr>
      <w:r w:rsidRPr="005C6873">
        <w:t>Nedan följer Vänsterpartiets synpunkter på regeringens tilläggsbudget för 2008. Förslag till ändringar i anslagstilldelning redovisas i tabell 1. Därefter kommenteras synpunkterna ordnade efter berörda utgiftsområden.</w:t>
      </w:r>
    </w:p>
    <w:p w:rsidR="00D37530" w:rsidRPr="005C6873" w:rsidRDefault="00D37530">
      <w:pPr>
        <w:pStyle w:val="Rubrik1"/>
        <w:shd w:val="clear" w:color="000000" w:fill="auto"/>
      </w:pPr>
      <w:r w:rsidRPr="005C6873">
        <w:lastRenderedPageBreak/>
        <w:t>Utgiftsområde 8 Migration</w:t>
      </w:r>
    </w:p>
    <w:p w:rsidR="00D37530" w:rsidRPr="005C6873" w:rsidRDefault="00D37530">
      <w:pPr>
        <w:shd w:val="clear" w:color="000000" w:fill="auto"/>
      </w:pPr>
      <w:r w:rsidRPr="005C6873">
        <w:t>Regeringen föreslår en förstärkning i anslaget till offentligt biträde i utlä</w:t>
      </w:r>
      <w:r w:rsidRPr="005C6873">
        <w:t>n</w:t>
      </w:r>
      <w:r w:rsidRPr="005C6873">
        <w:t>ningsärenden med 45 miljoner för att klara det ökade behov som följer på ett ökat antal asylsökande. Vi välkomnar att detta behov säkerställs men avvisar att satsningen finansieras genom en motsvarande minskning av anslaget för kostnader vid domstolsprövning i utlänningsärenden.</w:t>
      </w:r>
    </w:p>
    <w:p w:rsidR="00D37530" w:rsidRPr="005C6873" w:rsidRDefault="00D37530">
      <w:pPr>
        <w:pStyle w:val="Rubrik1"/>
        <w:shd w:val="clear" w:color="000000" w:fill="auto"/>
      </w:pPr>
      <w:r w:rsidRPr="005C6873">
        <w:t>Utgiftsområde 22 Kommunikationer</w:t>
      </w:r>
    </w:p>
    <w:p w:rsidR="00D37530" w:rsidRPr="005C6873" w:rsidRDefault="00D37530">
      <w:pPr>
        <w:shd w:val="clear" w:color="000000" w:fill="auto"/>
      </w:pPr>
      <w:r w:rsidRPr="005C6873">
        <w:t>Regeringen vill minska anslaget till Ersättning för sjöräddning, fritidsbåtsä</w:t>
      </w:r>
      <w:r w:rsidRPr="005C6873">
        <w:t>n</w:t>
      </w:r>
      <w:r w:rsidRPr="005C6873">
        <w:t>damål m.m. med 10 miljoner kronor. Det finns ingen motivering till varför just detta anslag ska dras ned, utan regeringen konstaterar att det behövs f</w:t>
      </w:r>
      <w:r w:rsidRPr="005C6873">
        <w:t>i</w:t>
      </w:r>
      <w:r w:rsidRPr="005C6873">
        <w:t>nansiering av vissa insatser och vissa centrala befattningar med anledning av den nya Transportstyrelsen. Dessa kostnader belastar regeringskansliet och medel överförs därför från utgiftsområde 22 till utgiftsområde 1. Vi avvisar förslaget på grund av bristande motivering.</w:t>
      </w:r>
    </w:p>
    <w:p w:rsidR="00D37530" w:rsidRPr="005C6873" w:rsidRDefault="00D37530">
      <w:pPr>
        <w:pStyle w:val="Normaltindrag"/>
        <w:shd w:val="clear" w:color="000000" w:fill="auto"/>
      </w:pPr>
      <w:r w:rsidRPr="005C6873">
        <w:t>Regeringen vill även minska anslaget till Järnvägsstyrelsen med 5 miljoner kronor. Int</w:t>
      </w:r>
      <w:r w:rsidRPr="005C6873">
        <w:t>e heller här finns någon motivering, utan regeringen konstaterar att det behövs finansiering av vissa insatser och vissa centrala befattningar med anledning av den nya Transportstyrelsen. Dessa kostnader belastar regering</w:t>
      </w:r>
      <w:r w:rsidRPr="005C6873">
        <w:t>s</w:t>
      </w:r>
      <w:r w:rsidRPr="005C6873">
        <w:t>kansliet och medel överförs därför från utgiftsområde 22 till utgiftsområde 1. Vi avvisar förslaget på grund av bristande motivering.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6873">
        <w:trPr>
          <w:cantSplit/>
        </w:trPr>
        <w:tc>
          <w:tcPr>
            <w:tcW w:w="3046" w:type="dxa"/>
          </w:tcPr>
          <w:p w:rsidR="00D37530" w:rsidRPr="005C6873" w:rsidRDefault="00D37530">
            <w:pPr>
              <w:pStyle w:val="UnderskriftDatum"/>
              <w:shd w:val="clear" w:color="000000" w:fill="auto"/>
              <w:spacing w:before="240"/>
            </w:pPr>
            <w:r w:rsidRPr="005C6873">
              <w:t>Stockholm den 5 oktober 2008</w:t>
            </w:r>
          </w:p>
        </w:tc>
        <w:tc>
          <w:tcPr>
            <w:tcW w:w="3047" w:type="dxa"/>
          </w:tcPr>
          <w:p w:rsidR="00D37530" w:rsidRPr="005C6873" w:rsidRDefault="00D37530">
            <w:pPr>
              <w:pStyle w:val="Underskrifter"/>
              <w:shd w:val="clear" w:color="000000" w:fill="auto"/>
              <w:spacing w:before="240"/>
            </w:pPr>
          </w:p>
        </w:tc>
      </w:tr>
      <w:tr w:rsidR="00000000" w:rsidRPr="005C6873">
        <w:trPr>
          <w:cantSplit/>
        </w:trPr>
        <w:tc>
          <w:tcPr>
            <w:tcW w:w="3046" w:type="dxa"/>
          </w:tcPr>
          <w:p w:rsidR="00D37530" w:rsidRPr="005C6873" w:rsidRDefault="00D37530">
            <w:pPr>
              <w:pStyle w:val="Underskrifter"/>
              <w:shd w:val="clear" w:color="000000" w:fill="auto"/>
            </w:pPr>
            <w:r w:rsidRPr="005C6873">
              <w:t>Lars Ohly (v)</w:t>
            </w:r>
          </w:p>
        </w:tc>
        <w:tc>
          <w:tcPr>
            <w:tcW w:w="3046" w:type="dxa"/>
          </w:tcPr>
          <w:p w:rsidR="00D37530" w:rsidRPr="005C6873" w:rsidRDefault="00D37530">
            <w:pPr>
              <w:pStyle w:val="Underskrifter"/>
              <w:shd w:val="clear" w:color="000000" w:fill="auto"/>
            </w:pPr>
          </w:p>
        </w:tc>
      </w:tr>
      <w:tr w:rsidR="00000000" w:rsidRPr="005C6873">
        <w:trPr>
          <w:cantSplit/>
        </w:trPr>
        <w:tc>
          <w:tcPr>
            <w:tcW w:w="3046" w:type="dxa"/>
          </w:tcPr>
          <w:p w:rsidR="00D37530" w:rsidRPr="005C6873" w:rsidRDefault="00D37530">
            <w:pPr>
              <w:pStyle w:val="Underskrifter"/>
              <w:shd w:val="clear" w:color="000000" w:fill="auto"/>
            </w:pPr>
            <w:r w:rsidRPr="005C6873">
              <w:t>Jacob Johnson (v)</w:t>
            </w:r>
          </w:p>
        </w:tc>
        <w:tc>
          <w:tcPr>
            <w:tcW w:w="3046" w:type="dxa"/>
          </w:tcPr>
          <w:p w:rsidR="00D37530" w:rsidRPr="005C6873" w:rsidRDefault="00D37530">
            <w:pPr>
              <w:pStyle w:val="Underskrifter"/>
              <w:shd w:val="clear" w:color="000000" w:fill="auto"/>
            </w:pPr>
            <w:r w:rsidRPr="005C6873">
              <w:t>Hans Linde (v)</w:t>
            </w:r>
          </w:p>
        </w:tc>
      </w:tr>
      <w:tr w:rsidR="00000000" w:rsidRPr="005C6873">
        <w:trPr>
          <w:cantSplit/>
        </w:trPr>
        <w:tc>
          <w:tcPr>
            <w:tcW w:w="3046" w:type="dxa"/>
          </w:tcPr>
          <w:p w:rsidR="00D37530" w:rsidRPr="005C6873" w:rsidRDefault="00D37530">
            <w:pPr>
              <w:pStyle w:val="Underskrifter"/>
              <w:shd w:val="clear" w:color="000000" w:fill="auto"/>
            </w:pPr>
            <w:r w:rsidRPr="005C6873">
              <w:t>Elina Linna (v)</w:t>
            </w:r>
          </w:p>
        </w:tc>
        <w:tc>
          <w:tcPr>
            <w:tcW w:w="3046" w:type="dxa"/>
          </w:tcPr>
          <w:p w:rsidR="00D37530" w:rsidRPr="005C6873" w:rsidRDefault="00D37530">
            <w:pPr>
              <w:pStyle w:val="Underskrifter"/>
              <w:shd w:val="clear" w:color="000000" w:fill="auto"/>
            </w:pPr>
            <w:r w:rsidRPr="005C6873">
              <w:t>Kent Persson (v)</w:t>
            </w:r>
          </w:p>
        </w:tc>
      </w:tr>
      <w:tr w:rsidR="00000000" w:rsidRPr="005C6873">
        <w:trPr>
          <w:cantSplit/>
        </w:trPr>
        <w:tc>
          <w:tcPr>
            <w:tcW w:w="3046" w:type="dxa"/>
          </w:tcPr>
          <w:p w:rsidR="00D37530" w:rsidRPr="005C6873" w:rsidRDefault="00D37530">
            <w:pPr>
              <w:pStyle w:val="Underskrifter"/>
              <w:shd w:val="clear" w:color="000000" w:fill="auto"/>
            </w:pPr>
            <w:r w:rsidRPr="005C6873">
              <w:t>Gunilla Wahlén (v)</w:t>
            </w:r>
          </w:p>
        </w:tc>
        <w:tc>
          <w:tcPr>
            <w:tcW w:w="3046" w:type="dxa"/>
          </w:tcPr>
          <w:p w:rsidR="00D37530" w:rsidRPr="005C6873" w:rsidRDefault="00D37530">
            <w:pPr>
              <w:pStyle w:val="Underskrifter"/>
              <w:shd w:val="clear" w:color="000000" w:fill="auto"/>
            </w:pPr>
            <w:r w:rsidRPr="005C6873">
              <w:t>Alice Åström (v)</w:t>
            </w:r>
          </w:p>
        </w:tc>
      </w:tr>
      <w:tr w:rsidR="00000000" w:rsidRPr="005C6873">
        <w:trPr>
          <w:cantSplit/>
        </w:trPr>
        <w:tc>
          <w:tcPr>
            <w:tcW w:w="3046" w:type="dxa"/>
          </w:tcPr>
          <w:p w:rsidR="00D37530" w:rsidRPr="005C6873" w:rsidRDefault="00D37530">
            <w:pPr>
              <w:pStyle w:val="Underskrifter"/>
              <w:shd w:val="clear" w:color="000000" w:fill="auto"/>
            </w:pPr>
            <w:r w:rsidRPr="005C6873">
              <w:t>Ulla Andersson (v)</w:t>
            </w:r>
          </w:p>
        </w:tc>
        <w:tc>
          <w:tcPr>
            <w:tcW w:w="3046" w:type="dxa"/>
          </w:tcPr>
          <w:p w:rsidR="00D37530" w:rsidRPr="005C6873" w:rsidRDefault="00D37530">
            <w:pPr>
              <w:pStyle w:val="Underskrifter"/>
              <w:shd w:val="clear" w:color="000000" w:fill="auto"/>
            </w:pPr>
          </w:p>
        </w:tc>
      </w:tr>
    </w:tbl>
    <w:p w:rsidR="00D37530" w:rsidRPr="005C6873" w:rsidRDefault="00D37530">
      <w:pPr>
        <w:pStyle w:val="Normaltindrag"/>
        <w:shd w:val="clear" w:color="000000" w:fill="auto"/>
      </w:pPr>
    </w:p>
    <w:sectPr w:rsidR="00D37530" w:rsidRPr="005C68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530" w:rsidRPr="005C6873" w:rsidRDefault="00D37530">
      <w:r w:rsidRPr="005C6873">
        <w:separator/>
      </w:r>
    </w:p>
  </w:endnote>
  <w:endnote w:type="continuationSeparator" w:id="0">
    <w:p w:rsidR="00D37530" w:rsidRPr="005C6873" w:rsidRDefault="00D37530">
      <w:r w:rsidRPr="005C68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30" w:rsidRPr="005C6873" w:rsidRDefault="005C6873">
    <w:pPr>
      <w:pStyle w:val="Sidfot"/>
    </w:pPr>
    <w:r w:rsidRPr="005C68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5763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30" w:rsidRDefault="00D375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530" w:rsidRDefault="00D375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30" w:rsidRPr="005C6873" w:rsidRDefault="005C6873">
    <w:pPr>
      <w:pStyle w:val="Sidfot"/>
    </w:pPr>
    <w:r w:rsidRPr="005C68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831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30" w:rsidRDefault="00D375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530" w:rsidRDefault="00D375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30" w:rsidRPr="005C6873" w:rsidRDefault="005C6873">
    <w:pPr>
      <w:pStyle w:val="Sidfot"/>
    </w:pPr>
    <w:r w:rsidRPr="005C68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10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30" w:rsidRDefault="00D375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530" w:rsidRDefault="00D375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530" w:rsidRPr="005C6873" w:rsidRDefault="00D37530">
      <w:r w:rsidRPr="005C6873">
        <w:separator/>
      </w:r>
    </w:p>
  </w:footnote>
  <w:footnote w:type="continuationSeparator" w:id="0">
    <w:p w:rsidR="00D37530" w:rsidRPr="005C6873" w:rsidRDefault="00D37530">
      <w:r w:rsidRPr="005C68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30" w:rsidRPr="005C6873" w:rsidRDefault="005C6873">
    <w:pPr>
      <w:pStyle w:val="Sidhuvud"/>
    </w:pPr>
    <w:r w:rsidRPr="005C68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6965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30" w:rsidRDefault="00D375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530" w:rsidRDefault="00D375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30" w:rsidRPr="005C6873" w:rsidRDefault="005C6873">
    <w:pPr>
      <w:pStyle w:val="Sidhuvud"/>
    </w:pPr>
    <w:r w:rsidRPr="005C68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830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30" w:rsidRDefault="00D375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530" w:rsidRDefault="00D375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30" w:rsidRPr="005C6873" w:rsidRDefault="00D37530">
    <w:pPr>
      <w:pStyle w:val="FSHNormal"/>
      <w:tabs>
        <w:tab w:val="right" w:pos="5840"/>
      </w:tabs>
    </w:pPr>
    <w:r w:rsidRPr="005C6873">
      <w:br/>
    </w:r>
    <w:r w:rsidRPr="005C6873">
      <w:fldChar w:fldCharType="begin" w:fldLock="1"/>
    </w:r>
    <w:r w:rsidRPr="005C6873">
      <w:instrText xml:space="preserve"> DOCPROPERTY</w:instrText>
    </w:r>
    <w:r w:rsidRPr="005C6873">
      <w:rPr>
        <w:sz w:val="18"/>
      </w:rPr>
      <w:instrText xml:space="preserve"> "YearUser" *\charformat </w:instrText>
    </w:r>
    <w:r w:rsidRPr="005C6873">
      <w:fldChar w:fldCharType="separate"/>
    </w:r>
    <w:r w:rsidRPr="005C6873">
      <w:t>2008/09</w:t>
    </w:r>
    <w:r w:rsidRPr="005C6873">
      <w:fldChar w:fldCharType="end"/>
    </w:r>
    <w:r w:rsidRPr="005C6873">
      <w:t xml:space="preserve"> </w:t>
    </w:r>
    <w:r w:rsidRPr="005C6873">
      <w:tab/>
      <w:t xml:space="preserve">mnr: </w:t>
    </w:r>
    <w:r w:rsidRPr="005C6873">
      <w:fldChar w:fldCharType="begin" w:fldLock="1"/>
    </w:r>
    <w:r w:rsidRPr="005C6873">
      <w:instrText xml:space="preserve"> DOCPROPERTY</w:instrText>
    </w:r>
    <w:r w:rsidRPr="005C6873">
      <w:rPr>
        <w:sz w:val="18"/>
      </w:rPr>
      <w:instrText xml:space="preserve"> "Motionsnummer" *\charformat </w:instrText>
    </w:r>
    <w:r w:rsidRPr="005C6873">
      <w:fldChar w:fldCharType="separate"/>
    </w:r>
    <w:r w:rsidRPr="005C6873">
      <w:t>Fi1</w:t>
    </w:r>
    <w:r w:rsidRPr="005C6873">
      <w:fldChar w:fldCharType="end"/>
    </w:r>
    <w:r w:rsidRPr="005C6873">
      <w:br/>
    </w:r>
    <w:r w:rsidRPr="005C6873">
      <w:fldChar w:fldCharType="begin" w:fldLock="1"/>
    </w:r>
    <w:r w:rsidRPr="005C6873">
      <w:instrText xml:space="preserve"> DOCPROPERTY</w:instrText>
    </w:r>
    <w:r w:rsidRPr="005C6873">
      <w:rPr>
        <w:sz w:val="18"/>
      </w:rPr>
      <w:instrText xml:space="preserve"> "Samling" *\charformat </w:instrText>
    </w:r>
    <w:r w:rsidRPr="005C6873">
      <w:fldChar w:fldCharType="end"/>
    </w:r>
    <w:r w:rsidRPr="005C6873">
      <w:tab/>
      <w:t xml:space="preserve">pnr: </w:t>
    </w:r>
    <w:r w:rsidRPr="005C6873">
      <w:fldChar w:fldCharType="begin" w:fldLock="1"/>
    </w:r>
    <w:r w:rsidRPr="005C6873">
      <w:instrText xml:space="preserve"> DOCPROPERTY</w:instrText>
    </w:r>
    <w:r w:rsidRPr="005C6873">
      <w:rPr>
        <w:sz w:val="18"/>
      </w:rPr>
      <w:instrText xml:space="preserve"> "Partinummer" *\charformat </w:instrText>
    </w:r>
    <w:r w:rsidRPr="005C6873">
      <w:fldChar w:fldCharType="separate"/>
    </w:r>
    <w:r w:rsidRPr="005C6873">
      <w:t>v605</w:t>
    </w:r>
    <w:r w:rsidRPr="005C6873">
      <w:fldChar w:fldCharType="end"/>
    </w:r>
  </w:p>
  <w:p w:rsidR="00D37530" w:rsidRPr="005C6873" w:rsidRDefault="00D37530">
    <w:pPr>
      <w:pStyle w:val="FSHRub1"/>
    </w:pPr>
    <w:r w:rsidRPr="005C6873">
      <w:t>Motion till riksdagen</w:t>
    </w:r>
    <w:r w:rsidRPr="005C6873">
      <w:br/>
    </w:r>
    <w:r w:rsidRPr="005C6873">
      <w:fldChar w:fldCharType="begin" w:fldLock="1"/>
    </w:r>
    <w:r w:rsidRPr="005C6873">
      <w:instrText xml:space="preserve"> DOCPROPERTY "YearUser" *\charformat </w:instrText>
    </w:r>
    <w:r w:rsidRPr="005C6873">
      <w:fldChar w:fldCharType="separate"/>
    </w:r>
    <w:r w:rsidRPr="005C6873">
      <w:t>2008/09</w:t>
    </w:r>
    <w:r w:rsidRPr="005C6873">
      <w:fldChar w:fldCharType="end"/>
    </w:r>
    <w:r w:rsidRPr="005C6873">
      <w:t>:</w:t>
    </w:r>
    <w:r w:rsidRPr="005C6873">
      <w:fldChar w:fldCharType="begin" w:fldLock="1"/>
    </w:r>
    <w:r w:rsidRPr="005C6873">
      <w:instrText xml:space="preserve"> DOCPROPERTY "Motionsnummer" *\charformat </w:instrText>
    </w:r>
    <w:r w:rsidRPr="005C6873">
      <w:fldChar w:fldCharType="separate"/>
    </w:r>
    <w:r w:rsidRPr="005C6873">
      <w:t>Fi1</w:t>
    </w:r>
    <w:r w:rsidRPr="005C6873">
      <w:fldChar w:fldCharType="end"/>
    </w:r>
  </w:p>
  <w:p w:rsidR="00D37530" w:rsidRPr="005C6873" w:rsidRDefault="00D37530">
    <w:pPr>
      <w:pStyle w:val="FSHNormalS5"/>
    </w:pPr>
    <w:r w:rsidRPr="005C6873">
      <w:fldChar w:fldCharType="begin" w:fldLock="1"/>
    </w:r>
    <w:r w:rsidRPr="005C6873">
      <w:instrText xml:space="preserve"> DOCPROPERTY "MotionarText" *\charformat </w:instrText>
    </w:r>
    <w:r w:rsidRPr="005C6873">
      <w:fldChar w:fldCharType="separate"/>
    </w:r>
    <w:r w:rsidRPr="005C6873">
      <w:t>av Lars Ohly m.fl. (v)</w:t>
    </w:r>
    <w:r w:rsidRPr="005C6873">
      <w:fldChar w:fldCharType="end"/>
    </w:r>
    <w:r w:rsidRPr="005C6873">
      <w:br/>
    </w:r>
    <w:r w:rsidRPr="005C6873">
      <w:fldChar w:fldCharType="begin" w:fldLock="1"/>
    </w:r>
    <w:r w:rsidRPr="005C6873">
      <w:instrText xml:space="preserve"> DOCPROPERTY "SvarFrasKort" *\charformat </w:instrText>
    </w:r>
    <w:r w:rsidRPr="005C6873">
      <w:fldChar w:fldCharType="separate"/>
    </w:r>
    <w:r w:rsidRPr="005C6873">
      <w:t>med anledning av prop. 2008/09:2</w:t>
    </w:r>
    <w:r w:rsidRPr="005C6873">
      <w:fldChar w:fldCharType="end"/>
    </w:r>
  </w:p>
  <w:p w:rsidR="00D37530" w:rsidRPr="005C6873" w:rsidRDefault="00D37530">
    <w:pPr>
      <w:pStyle w:val="FSHTitel"/>
    </w:pPr>
    <w:r w:rsidRPr="005C6873">
      <w:fldChar w:fldCharType="begin" w:fldLock="1"/>
    </w:r>
    <w:r w:rsidRPr="005C6873">
      <w:instrText xml:space="preserve"> DOCPROPERTY</w:instrText>
    </w:r>
    <w:r w:rsidRPr="005C6873">
      <w:rPr>
        <w:sz w:val="18"/>
      </w:rPr>
      <w:instrText xml:space="preserve"> "RubrikSvar" *\charformat </w:instrText>
    </w:r>
    <w:r w:rsidRPr="005C6873">
      <w:fldChar w:fldCharType="separate"/>
    </w:r>
    <w:r w:rsidRPr="005C6873">
      <w:t>Tilläggsbudget 2 till statsbudgeten för 2008</w:t>
    </w:r>
    <w:r w:rsidRPr="005C6873">
      <w:fldChar w:fldCharType="end"/>
    </w:r>
  </w:p>
  <w:p w:rsidR="00D37530" w:rsidRPr="005C6873" w:rsidRDefault="00D37530">
    <w:pPr>
      <w:pStyle w:val="Normal00"/>
    </w:pPr>
  </w:p>
  <w:p w:rsidR="00D37530" w:rsidRPr="005C6873" w:rsidRDefault="00D375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C616AEF0">
      <w:start w:val="1"/>
      <w:numFmt w:val="decimal"/>
      <w:lvlText w:val="%1."/>
      <w:lvlJc w:val="left"/>
      <w:pPr>
        <w:tabs>
          <w:tab w:val="num" w:pos="340"/>
        </w:tabs>
        <w:ind w:left="340" w:hanging="340"/>
      </w:pPr>
      <w:rPr>
        <w:rFonts w:cs="Times New Roman"/>
      </w:rPr>
    </w:lvl>
    <w:lvl w:ilvl="1" w:tplc="AF9442D6" w:tentative="1">
      <w:start w:val="1"/>
      <w:numFmt w:val="lowerLetter"/>
      <w:lvlText w:val="%2."/>
      <w:lvlJc w:val="left"/>
      <w:pPr>
        <w:tabs>
          <w:tab w:val="num" w:pos="1440"/>
        </w:tabs>
        <w:ind w:left="1440" w:hanging="360"/>
      </w:pPr>
      <w:rPr>
        <w:rFonts w:cs="Times New Roman"/>
      </w:rPr>
    </w:lvl>
    <w:lvl w:ilvl="2" w:tplc="9CB8ADB8" w:tentative="1">
      <w:start w:val="1"/>
      <w:numFmt w:val="lowerRoman"/>
      <w:lvlText w:val="%3."/>
      <w:lvlJc w:val="right"/>
      <w:pPr>
        <w:tabs>
          <w:tab w:val="num" w:pos="2160"/>
        </w:tabs>
        <w:ind w:left="2160" w:hanging="180"/>
      </w:pPr>
      <w:rPr>
        <w:rFonts w:cs="Times New Roman"/>
      </w:rPr>
    </w:lvl>
    <w:lvl w:ilvl="3" w:tplc="E98671C8" w:tentative="1">
      <w:start w:val="1"/>
      <w:numFmt w:val="decimal"/>
      <w:lvlText w:val="%4."/>
      <w:lvlJc w:val="left"/>
      <w:pPr>
        <w:tabs>
          <w:tab w:val="num" w:pos="2880"/>
        </w:tabs>
        <w:ind w:left="2880" w:hanging="360"/>
      </w:pPr>
      <w:rPr>
        <w:rFonts w:cs="Times New Roman"/>
      </w:rPr>
    </w:lvl>
    <w:lvl w:ilvl="4" w:tplc="9B36F53A" w:tentative="1">
      <w:start w:val="1"/>
      <w:numFmt w:val="lowerLetter"/>
      <w:lvlText w:val="%5."/>
      <w:lvlJc w:val="left"/>
      <w:pPr>
        <w:tabs>
          <w:tab w:val="num" w:pos="3600"/>
        </w:tabs>
        <w:ind w:left="3600" w:hanging="360"/>
      </w:pPr>
      <w:rPr>
        <w:rFonts w:cs="Times New Roman"/>
      </w:rPr>
    </w:lvl>
    <w:lvl w:ilvl="5" w:tplc="413C2BAE" w:tentative="1">
      <w:start w:val="1"/>
      <w:numFmt w:val="lowerRoman"/>
      <w:lvlText w:val="%6."/>
      <w:lvlJc w:val="right"/>
      <w:pPr>
        <w:tabs>
          <w:tab w:val="num" w:pos="4320"/>
        </w:tabs>
        <w:ind w:left="4320" w:hanging="180"/>
      </w:pPr>
      <w:rPr>
        <w:rFonts w:cs="Times New Roman"/>
      </w:rPr>
    </w:lvl>
    <w:lvl w:ilvl="6" w:tplc="1FE26E00" w:tentative="1">
      <w:start w:val="1"/>
      <w:numFmt w:val="decimal"/>
      <w:lvlText w:val="%7."/>
      <w:lvlJc w:val="left"/>
      <w:pPr>
        <w:tabs>
          <w:tab w:val="num" w:pos="5040"/>
        </w:tabs>
        <w:ind w:left="5040" w:hanging="360"/>
      </w:pPr>
      <w:rPr>
        <w:rFonts w:cs="Times New Roman"/>
      </w:rPr>
    </w:lvl>
    <w:lvl w:ilvl="7" w:tplc="635C2992" w:tentative="1">
      <w:start w:val="1"/>
      <w:numFmt w:val="lowerLetter"/>
      <w:lvlText w:val="%8."/>
      <w:lvlJc w:val="left"/>
      <w:pPr>
        <w:tabs>
          <w:tab w:val="num" w:pos="5760"/>
        </w:tabs>
        <w:ind w:left="5760" w:hanging="360"/>
      </w:pPr>
      <w:rPr>
        <w:rFonts w:cs="Times New Roman"/>
      </w:rPr>
    </w:lvl>
    <w:lvl w:ilvl="8" w:tplc="3F3C5FC8" w:tentative="1">
      <w:start w:val="1"/>
      <w:numFmt w:val="lowerRoman"/>
      <w:lvlText w:val="%9."/>
      <w:lvlJc w:val="right"/>
      <w:pPr>
        <w:tabs>
          <w:tab w:val="num" w:pos="6480"/>
        </w:tabs>
        <w:ind w:left="6480" w:hanging="180"/>
      </w:pPr>
      <w:rPr>
        <w:rFonts w:cs="Times New Roman"/>
      </w:rPr>
    </w:lvl>
  </w:abstractNum>
  <w:num w:numId="1" w16cid:durableId="1257596010">
    <w:abstractNumId w:val="8"/>
  </w:num>
  <w:num w:numId="2" w16cid:durableId="122502739">
    <w:abstractNumId w:val="9"/>
  </w:num>
  <w:num w:numId="3" w16cid:durableId="1157919259">
    <w:abstractNumId w:val="8"/>
  </w:num>
  <w:num w:numId="4" w16cid:durableId="1170413428">
    <w:abstractNumId w:val="9"/>
  </w:num>
  <w:num w:numId="5" w16cid:durableId="1678455702">
    <w:abstractNumId w:val="13"/>
  </w:num>
  <w:num w:numId="6" w16cid:durableId="1247231764">
    <w:abstractNumId w:val="10"/>
  </w:num>
  <w:num w:numId="7" w16cid:durableId="521474010">
    <w:abstractNumId w:val="11"/>
  </w:num>
  <w:num w:numId="8" w16cid:durableId="1402293968">
    <w:abstractNumId w:val="12"/>
  </w:num>
  <w:num w:numId="9" w16cid:durableId="1303385974">
    <w:abstractNumId w:val="8"/>
  </w:num>
  <w:num w:numId="10" w16cid:durableId="1238901376">
    <w:abstractNumId w:val="3"/>
  </w:num>
  <w:num w:numId="11" w16cid:durableId="940916943">
    <w:abstractNumId w:val="2"/>
  </w:num>
  <w:num w:numId="12" w16cid:durableId="175852266">
    <w:abstractNumId w:val="1"/>
  </w:num>
  <w:num w:numId="13" w16cid:durableId="1104350205">
    <w:abstractNumId w:val="0"/>
  </w:num>
  <w:num w:numId="14" w16cid:durableId="678191720">
    <w:abstractNumId w:val="9"/>
  </w:num>
  <w:num w:numId="15" w16cid:durableId="1784573227">
    <w:abstractNumId w:val="7"/>
  </w:num>
  <w:num w:numId="16" w16cid:durableId="1384673191">
    <w:abstractNumId w:val="6"/>
  </w:num>
  <w:num w:numId="17" w16cid:durableId="649988360">
    <w:abstractNumId w:val="5"/>
  </w:num>
  <w:num w:numId="18" w16cid:durableId="568811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F1A2565D-4D2F-4887-9B1D-3D7BE825DA8C},{70ED92E7-062B-44F5-98C0-1732E6D079B7},{88576935-7337-4AFA-923F-6E59D33EEBED},{8B923F15-4996-4696-A089-6A5BE8BF8E1B},{CBCE2632-605E-484A-97AC-47C334EA7100},{233588E7-F7BD-4F60-BEE5-22A19EE80FB2},{7E0BF71E-CD03-4DBF-9F51-3B5B798F2741},{23C4D0E2-C6F4-49DA-B9C4-BE7D1928143F}"/>
  </w:docVars>
  <w:rsids>
    <w:rsidRoot w:val="001D2AD9"/>
    <w:rsid w:val="001D2AD9"/>
    <w:rsid w:val="005C6873"/>
    <w:rsid w:val="00D375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8CEE4E-4AFA-4DB6-A5B1-A58DB921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2111</Characters>
  <Application>Microsoft Office Word</Application>
  <DocSecurity>4</DocSecurity>
  <Lines>75</Lines>
  <Paragraphs>44</Paragraphs>
  <ScaleCrop>false</ScaleCrop>
  <HeadingPairs>
    <vt:vector size="2" baseType="variant">
      <vt:variant>
        <vt:lpstr>Rubrik</vt:lpstr>
      </vt:variant>
      <vt:variant>
        <vt:i4>1</vt:i4>
      </vt:variant>
    </vt:vector>
  </HeadingPairs>
  <TitlesOfParts>
    <vt:vector size="1" baseType="lpstr">
      <vt:lpstr>v605</vt:lpstr>
    </vt:vector>
  </TitlesOfParts>
  <Company>Riksdagen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v605</dc:title>
  <dc:subject>v605</dc:subject>
  <dc:creator>Riksdagen</dc:creator>
  <cp:keywords>Riksdagen</cp:keywords>
  <dc:description>TKG-ktrl, MSMQ4mb, PersReg-Distribution mm b-&gt;ny fplogga c-&gt;nygamla s-rosen</dc:description>
  <cp:lastModifiedBy>Lars Brink</cp:lastModifiedBy>
  <cp:revision>2</cp:revision>
  <cp:lastPrinted>2008-10-14T12:58:00Z</cp:lastPrinted>
  <dcterms:created xsi:type="dcterms:W3CDTF">2025-12-17T14:53:00Z</dcterms:created>
  <dcterms:modified xsi:type="dcterms:W3CDTF">2025-12-17T14:53:00Z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 Tilläggsbudget 2 till statsbudgeten för 2008</vt:lpwstr>
  </property>
  <property fmtid="{D5CDD505-2E9C-101B-9397-08002B2CF9AE}" pid="11" name="SvarFrasKort">
    <vt:lpwstr>med anledning av prop. 2008/09:2</vt:lpwstr>
  </property>
  <property fmtid="{D5CDD505-2E9C-101B-9397-08002B2CF9AE}" pid="12" name="Svar">
    <vt:lpwstr>Proposition</vt:lpwstr>
  </property>
  <property fmtid="{D5CDD505-2E9C-101B-9397-08002B2CF9AE}" pid="13" name="SvarNr">
    <vt:lpwstr>2008/09:2</vt:lpwstr>
  </property>
  <property fmtid="{D5CDD505-2E9C-101B-9397-08002B2CF9AE}" pid="14" name="RubrikSvar">
    <vt:lpwstr>Tilläggsbudget 2 till statsbudgeten för 2008</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(v)\Johnson, Jacob (v)\Linde, Hans (v)\Linna, Elina (v)\Persson, Kent (v)\Wahlén, Gunilla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Jacob Johnson (v), Hans Linde (v), Elina Linna (v), Kent Persson (v), Gunilla Wahlén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20082009000000000118000006050080</vt:lpwstr>
  </property>
  <property fmtid="{D5CDD505-2E9C-101B-9397-08002B2CF9AE}" pid="47" name="datum">
    <vt:lpwstr>081005</vt:lpwstr>
  </property>
  <property fmtid="{D5CDD505-2E9C-101B-9397-08002B2CF9AE}" pid="48" name="avsändar-e-post">
    <vt:lpwstr>maya.ek@riksdagen.se</vt:lpwstr>
  </property>
  <property fmtid="{D5CDD505-2E9C-101B-9397-08002B2CF9AE}" pid="49" name="id">
    <vt:lpwstr>20082009000000000118000006050080</vt:lpwstr>
  </property>
  <property fmtid="{D5CDD505-2E9C-101B-9397-08002B2CF9AE}" pid="50" name="nummer">
    <vt:lpwstr>1</vt:lpwstr>
  </property>
  <property fmtid="{D5CDD505-2E9C-101B-9397-08002B2CF9AE}" pid="51" name="utskottsbeteckning">
    <vt:lpwstr>Fi</vt:lpwstr>
  </property>
  <property fmtid="{D5CDD505-2E9C-101B-9397-08002B2CF9AE}" pid="52" name="GlobalUID">
    <vt:lpwstr>{AE789C05-C30F-45BB-9352-B391F8C2EE6F}</vt:lpwstr>
  </property>
  <property fmtid="{D5CDD505-2E9C-101B-9397-08002B2CF9AE}" pid="53" name="Överföringar">
    <vt:i4>0</vt:i4>
  </property>
  <property fmtid="{D5CDD505-2E9C-101B-9397-08002B2CF9AE}" pid="54" name="Checksum">
    <vt:lpwstr>*1007285099711*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19:38:56.494</vt:lpwstr>
  </property>
  <property fmtid="{D5CDD505-2E9C-101B-9397-08002B2CF9AE}" pid="58" name="urixGuid">
    <vt:lpwstr>{6529DF77-40BA-459C-901C-E21BF1126911}</vt:lpwstr>
  </property>
</Properties>
</file>