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7A01" w14:textId="77777777"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29E042B7" w14:textId="77777777" w:rsidTr="0096348C">
        <w:tc>
          <w:tcPr>
            <w:tcW w:w="9141" w:type="dxa"/>
          </w:tcPr>
          <w:p w14:paraId="35BA4949" w14:textId="77777777" w:rsidR="0096348C" w:rsidRDefault="0096348C" w:rsidP="0096348C">
            <w:r>
              <w:t>RIKSDAGEN</w:t>
            </w:r>
          </w:p>
          <w:p w14:paraId="469A55F4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1B6C2E7D" w14:textId="77777777" w:rsidR="0096348C" w:rsidRDefault="0096348C" w:rsidP="0096348C"/>
    <w:p w14:paraId="20403A3E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A79852F" w14:textId="77777777" w:rsidTr="00012D39">
        <w:trPr>
          <w:cantSplit/>
          <w:trHeight w:val="742"/>
        </w:trPr>
        <w:tc>
          <w:tcPr>
            <w:tcW w:w="1985" w:type="dxa"/>
          </w:tcPr>
          <w:p w14:paraId="5B072547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3C2DFCF2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484533">
              <w:rPr>
                <w:b/>
              </w:rPr>
              <w:t>19</w:t>
            </w:r>
          </w:p>
          <w:p w14:paraId="4B4D95D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278BA3FC" w14:textId="77777777" w:rsidTr="00012D39">
        <w:tc>
          <w:tcPr>
            <w:tcW w:w="1985" w:type="dxa"/>
          </w:tcPr>
          <w:p w14:paraId="22F74B7F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417FE83" w14:textId="77777777"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484533">
              <w:t>03-25</w:t>
            </w:r>
          </w:p>
        </w:tc>
      </w:tr>
      <w:tr w:rsidR="0096348C" w14:paraId="5088D310" w14:textId="77777777" w:rsidTr="00012D39">
        <w:tc>
          <w:tcPr>
            <w:tcW w:w="1985" w:type="dxa"/>
          </w:tcPr>
          <w:p w14:paraId="331EBD75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3D571336" w14:textId="77777777" w:rsidR="00D12EAD" w:rsidRDefault="00484533" w:rsidP="0096348C">
            <w:r>
              <w:t>10.00–</w:t>
            </w:r>
            <w:r w:rsidR="009852C9">
              <w:t>10.25</w:t>
            </w:r>
          </w:p>
        </w:tc>
      </w:tr>
      <w:tr w:rsidR="0096348C" w14:paraId="48ED4F49" w14:textId="77777777" w:rsidTr="00012D39">
        <w:tc>
          <w:tcPr>
            <w:tcW w:w="1985" w:type="dxa"/>
          </w:tcPr>
          <w:p w14:paraId="2C15DB7D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5D92199C" w14:textId="77777777" w:rsidR="0096348C" w:rsidRDefault="0096348C" w:rsidP="0096348C">
            <w:r>
              <w:t>Se bilaga 1</w:t>
            </w:r>
          </w:p>
        </w:tc>
      </w:tr>
    </w:tbl>
    <w:p w14:paraId="530786A6" w14:textId="77777777" w:rsidR="0096348C" w:rsidRDefault="0096348C" w:rsidP="0096348C"/>
    <w:p w14:paraId="62C5740E" w14:textId="77777777" w:rsidR="00F93B25" w:rsidRDefault="00F93B25" w:rsidP="0096348C"/>
    <w:p w14:paraId="4C02308D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3633267C" w14:textId="77777777" w:rsidTr="00D12EAD">
        <w:tc>
          <w:tcPr>
            <w:tcW w:w="567" w:type="dxa"/>
          </w:tcPr>
          <w:p w14:paraId="0B0D678B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C49FC91" w14:textId="77777777"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14:paraId="5D6AFB93" w14:textId="77777777" w:rsidR="00CA0868" w:rsidRDefault="00CA0868" w:rsidP="00CA0868">
            <w:pPr>
              <w:rPr>
                <w:b/>
                <w:bCs/>
              </w:rPr>
            </w:pPr>
          </w:p>
          <w:p w14:paraId="6C421961" w14:textId="77777777"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>
              <w:rPr>
                <w:bCs/>
              </w:rPr>
              <w:t xml:space="preserve">Jörgen Hellman (S),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 </w:t>
            </w:r>
            <w:r w:rsidR="00E066D8">
              <w:t xml:space="preserve">Hillevi Larsson (S), Helena Bouveng (M), Eric Westroth (SD), Sultan Kayhan (S), Tony Haddou (V), Boriana Åberg (M), David Lång (SD) Patrik Lundqvist (S), Hampus Hagman (KD),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 Fredrik Schulte (M)</w:t>
            </w:r>
            <w:r w:rsidR="00C42EDE">
              <w:t xml:space="preserve"> och</w:t>
            </w:r>
            <w:r w:rsidR="00A63738">
              <w:t xml:space="preserve"> Johnny Skalin (SD)</w:t>
            </w:r>
            <w:r w:rsidR="00E066D8">
              <w:t>.</w:t>
            </w:r>
          </w:p>
          <w:p w14:paraId="3ED49C6B" w14:textId="77777777" w:rsidR="00064405" w:rsidRDefault="00064405" w:rsidP="004673D5">
            <w:pPr>
              <w:rPr>
                <w:strike/>
              </w:rPr>
            </w:pPr>
          </w:p>
          <w:p w14:paraId="7D818A36" w14:textId="77777777" w:rsidR="00064405" w:rsidRPr="00064405" w:rsidRDefault="00484533" w:rsidP="004673D5">
            <w:r>
              <w:t>4</w:t>
            </w:r>
            <w:r w:rsidR="00064405">
              <w:t xml:space="preserve"> tjänstemän från skatteutskottets kansli var uppkopplade på distans.</w:t>
            </w:r>
          </w:p>
          <w:p w14:paraId="6DA0358C" w14:textId="77777777"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14:paraId="5CFEFC3B" w14:textId="77777777" w:rsidTr="00D12EAD">
        <w:tc>
          <w:tcPr>
            <w:tcW w:w="567" w:type="dxa"/>
          </w:tcPr>
          <w:p w14:paraId="635828CE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D227C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482244CC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5B61768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5ACCDB2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484533">
              <w:rPr>
                <w:snapToGrid w:val="0"/>
              </w:rPr>
              <w:t>18</w:t>
            </w:r>
            <w:r w:rsidR="000D3043">
              <w:rPr>
                <w:snapToGrid w:val="0"/>
              </w:rPr>
              <w:t>.</w:t>
            </w:r>
          </w:p>
          <w:p w14:paraId="215BE222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21AA906" w14:textId="77777777" w:rsidTr="00D12EAD">
        <w:tc>
          <w:tcPr>
            <w:tcW w:w="567" w:type="dxa"/>
          </w:tcPr>
          <w:p w14:paraId="3D1F4105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227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30E31A2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0293055F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D41C82E" w14:textId="77777777"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FA96F2B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13F44582" w14:textId="77777777" w:rsidTr="00D12EAD">
        <w:tc>
          <w:tcPr>
            <w:tcW w:w="567" w:type="dxa"/>
          </w:tcPr>
          <w:p w14:paraId="33D3344E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227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88A681B" w14:textId="77777777" w:rsidR="007E4B5A" w:rsidRDefault="0048453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Inkomstskatt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18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00C8B080" w14:textId="77777777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2E27C610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46E62A0E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 w:rsidR="00484533">
              <w:rPr>
                <w:snapToGrid w:val="0"/>
              </w:rPr>
              <w:t>18</w:t>
            </w:r>
            <w:r>
              <w:rPr>
                <w:snapToGrid w:val="0"/>
              </w:rPr>
              <w:t>.</w:t>
            </w:r>
          </w:p>
          <w:p w14:paraId="06E8430E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761115B" w14:textId="77777777" w:rsidR="00F93B25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</w:t>
            </w:r>
            <w:r w:rsidR="00A251A4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L-</w:t>
            </w:r>
            <w:r w:rsidR="007E4B5A">
              <w:rPr>
                <w:snapToGrid w:val="0"/>
              </w:rPr>
              <w:t xml:space="preserve">ledamöterna anmälde reservationer. </w:t>
            </w:r>
          </w:p>
          <w:p w14:paraId="01E39C6A" w14:textId="77777777" w:rsidR="00484533" w:rsidRPr="00F93B25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7B8B1675" w14:textId="77777777" w:rsidTr="00D12EAD">
        <w:tc>
          <w:tcPr>
            <w:tcW w:w="567" w:type="dxa"/>
          </w:tcPr>
          <w:p w14:paraId="1D1B4C25" w14:textId="77777777" w:rsidR="00C3694B" w:rsidRDefault="000D22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3B44EF99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Företag, kapital och fastighet (SkU19)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5EA89759" w14:textId="77777777" w:rsidR="00484533" w:rsidRDefault="00484533" w:rsidP="0048453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04C31836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4B849227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19.</w:t>
            </w:r>
          </w:p>
          <w:p w14:paraId="37E7C766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51D956BD" w14:textId="77777777" w:rsidR="00C3694B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C-, V- och KD-ledamöterna anmälde reservationer. </w:t>
            </w:r>
          </w:p>
          <w:p w14:paraId="19E183D4" w14:textId="77777777" w:rsidR="00484533" w:rsidRDefault="00484533" w:rsidP="004845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6348C" w14:paraId="55B8218B" w14:textId="77777777" w:rsidTr="00D12EAD">
        <w:tc>
          <w:tcPr>
            <w:tcW w:w="567" w:type="dxa"/>
          </w:tcPr>
          <w:p w14:paraId="21E97A6C" w14:textId="77777777" w:rsidR="0096348C" w:rsidRDefault="000D22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150A34B7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Punktskatt (SkU20)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4394FBCA" w14:textId="77777777" w:rsidR="00484533" w:rsidRDefault="00484533" w:rsidP="0048453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458C4DC6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32907328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20.</w:t>
            </w:r>
          </w:p>
          <w:p w14:paraId="6A9E9148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6038697F" w14:textId="77777777" w:rsidR="003A729A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M-, SD-, C-, V-, KD</w:t>
            </w:r>
            <w:r w:rsidR="00A251A4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L-ledamöterna anmälde reservationer. </w:t>
            </w:r>
          </w:p>
          <w:p w14:paraId="6F340E04" w14:textId="77777777" w:rsidR="0005307D" w:rsidRDefault="0005307D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3B0AAA56" w14:textId="77777777" w:rsidR="0005307D" w:rsidRDefault="0005307D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M-ledamöterna anmälde ett särskilt yttrande</w:t>
            </w:r>
          </w:p>
          <w:p w14:paraId="23357AE3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150AA" w14:paraId="3D441F4F" w14:textId="77777777" w:rsidTr="00D12EAD">
        <w:tc>
          <w:tcPr>
            <w:tcW w:w="567" w:type="dxa"/>
          </w:tcPr>
          <w:p w14:paraId="13EBAB7D" w14:textId="77777777" w:rsidR="006150AA" w:rsidRDefault="000D22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531E93A8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Mervärdesskatt (SkU21)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5713652D" w14:textId="77777777" w:rsidR="00484533" w:rsidRDefault="00484533" w:rsidP="0048453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1E1D64B0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68AC78A5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21.</w:t>
            </w:r>
          </w:p>
          <w:p w14:paraId="3B9D416F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1AE423F5" w14:textId="77777777" w:rsidR="006150AA" w:rsidRDefault="00484533" w:rsidP="004845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M-, SD-, C- och KD-ledamöterna anmälde reservationer. </w:t>
            </w:r>
            <w:r w:rsidR="006150AA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6BE96BD1" w14:textId="77777777" w:rsidTr="00D12EAD">
        <w:tc>
          <w:tcPr>
            <w:tcW w:w="567" w:type="dxa"/>
          </w:tcPr>
          <w:p w14:paraId="7971E11A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227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20D5A69F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Skatteförfarande och folkbokföring (SkU22)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3F65E51F" w14:textId="77777777" w:rsidR="00484533" w:rsidRDefault="00484533" w:rsidP="0048453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4313BB6A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6709B396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22.</w:t>
            </w:r>
          </w:p>
          <w:p w14:paraId="7A3B78C6" w14:textId="77777777" w:rsidR="00484533" w:rsidRDefault="00484533" w:rsidP="00484533">
            <w:pPr>
              <w:tabs>
                <w:tab w:val="left" w:pos="1701"/>
              </w:tabs>
              <w:rPr>
                <w:snapToGrid w:val="0"/>
              </w:rPr>
            </w:pPr>
          </w:p>
          <w:p w14:paraId="56954ABA" w14:textId="77777777" w:rsidR="00F93B25" w:rsidRDefault="00091751" w:rsidP="0009175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</w:t>
            </w:r>
            <w:r w:rsidR="00A251A4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L</w:t>
            </w:r>
            <w:r w:rsidR="00484533">
              <w:rPr>
                <w:snapToGrid w:val="0"/>
              </w:rPr>
              <w:t xml:space="preserve">-ledamöterna anmälde reservationer. </w:t>
            </w:r>
          </w:p>
          <w:p w14:paraId="386092B8" w14:textId="77777777" w:rsidR="00091751" w:rsidRPr="00F93B25" w:rsidRDefault="00091751" w:rsidP="0009175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4533" w14:paraId="2AE97C53" w14:textId="77777777" w:rsidTr="00D12EAD">
        <w:tc>
          <w:tcPr>
            <w:tcW w:w="567" w:type="dxa"/>
          </w:tcPr>
          <w:p w14:paraId="74DA1BFF" w14:textId="77777777" w:rsidR="00484533" w:rsidRDefault="000D22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6E70F534" w14:textId="77777777" w:rsidR="00484533" w:rsidRDefault="00234B21" w:rsidP="004845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</w:t>
            </w:r>
            <w:r w:rsidR="0048453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tskottsinitiativ (V)</w:t>
            </w:r>
          </w:p>
          <w:p w14:paraId="7E7BB78F" w14:textId="77777777" w:rsidR="00484533" w:rsidRDefault="00484533" w:rsidP="004845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B3DE9E6" w14:textId="77777777" w:rsidR="00234B21" w:rsidRPr="00234B21" w:rsidRDefault="00234B21" w:rsidP="0048453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34B21">
              <w:rPr>
                <w:rFonts w:eastAsiaTheme="minorHAnsi"/>
                <w:bCs/>
                <w:color w:val="000000"/>
                <w:szCs w:val="24"/>
                <w:lang w:eastAsia="en-US"/>
              </w:rPr>
              <w:t>V-ledamoten föreslog att utskottet skulle ta ett initiativ om folkbokföring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 se bilaga 3</w:t>
            </w:r>
            <w:r w:rsidR="000D227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41430D9F" w14:textId="77777777" w:rsidR="00234B21" w:rsidRPr="00234B21" w:rsidRDefault="00234B21" w:rsidP="0048453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46E6A59" w14:textId="77777777" w:rsidR="00234B21" w:rsidRDefault="00234B21" w:rsidP="0048453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34B21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5AF2AD26" w14:textId="77777777" w:rsidR="00234B21" w:rsidRDefault="00234B21" w:rsidP="004845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84533" w14:paraId="62C6F04E" w14:textId="77777777" w:rsidTr="00D12EAD">
        <w:tc>
          <w:tcPr>
            <w:tcW w:w="567" w:type="dxa"/>
          </w:tcPr>
          <w:p w14:paraId="5A5336BF" w14:textId="77777777" w:rsidR="00484533" w:rsidRDefault="000D22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14:paraId="456818E0" w14:textId="77777777" w:rsidR="00484533" w:rsidRDefault="00484533" w:rsidP="004845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Utskottsinitiativ (S)</w:t>
            </w:r>
          </w:p>
          <w:p w14:paraId="458F1AE6" w14:textId="77777777" w:rsidR="00484533" w:rsidRDefault="00484533" w:rsidP="004845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E07B503" w14:textId="77777777" w:rsidR="00234B21" w:rsidRDefault="00234B21" w:rsidP="00234B2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34B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S-ledamöterna föreslog att utskottet skulle ta ett initiativ om </w:t>
            </w:r>
            <w:r w:rsidRPr="00234B21">
              <w:t>uppdatering av vilka uppgifter som ska lämnas för omställningsstöd</w:t>
            </w:r>
            <w:r>
              <w:t xml:space="preserve">, </w:t>
            </w:r>
            <w:r w:rsidRPr="00234B21">
              <w:rPr>
                <w:rFonts w:eastAsiaTheme="minorHAnsi"/>
                <w:bCs/>
                <w:color w:val="000000"/>
                <w:szCs w:val="24"/>
                <w:lang w:eastAsia="en-US"/>
              </w:rPr>
              <w:t>se bilaga 4.</w:t>
            </w:r>
          </w:p>
          <w:p w14:paraId="28B7E432" w14:textId="77777777" w:rsidR="00234B21" w:rsidRDefault="00234B21" w:rsidP="0048453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1BA1D2B" w14:textId="77777777" w:rsidR="00234B21" w:rsidRDefault="00234B21" w:rsidP="0048453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4BFDCDA4" w14:textId="77777777" w:rsidR="00234B21" w:rsidRPr="00234B21" w:rsidRDefault="00234B21" w:rsidP="0048453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5CC08D15" w14:textId="77777777" w:rsidTr="00D12EAD">
        <w:tc>
          <w:tcPr>
            <w:tcW w:w="567" w:type="dxa"/>
          </w:tcPr>
          <w:p w14:paraId="04FDD77A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227C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14:paraId="19400F7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99DAE74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13A85C3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84533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484533">
              <w:rPr>
                <w:snapToGrid w:val="0"/>
              </w:rPr>
              <w:t>8 april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484533">
              <w:rPr>
                <w:snapToGrid w:val="0"/>
              </w:rPr>
              <w:t>9.</w:t>
            </w:r>
            <w:r w:rsidR="009852C9">
              <w:rPr>
                <w:snapToGrid w:val="0"/>
              </w:rPr>
              <w:t>40</w:t>
            </w:r>
            <w:r>
              <w:rPr>
                <w:snapToGrid w:val="0"/>
              </w:rPr>
              <w:t>.</w:t>
            </w:r>
          </w:p>
          <w:p w14:paraId="7D2A59B6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77813790" w14:textId="77777777" w:rsidTr="00D12EAD">
        <w:tc>
          <w:tcPr>
            <w:tcW w:w="567" w:type="dxa"/>
          </w:tcPr>
          <w:p w14:paraId="61F1431B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FA852E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AAB1977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33D92D0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5C360702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1FB7C294" w14:textId="77777777" w:rsidR="0096348C" w:rsidRDefault="0096348C" w:rsidP="0096348C">
            <w:pPr>
              <w:tabs>
                <w:tab w:val="left" w:pos="1701"/>
              </w:tabs>
            </w:pPr>
          </w:p>
          <w:p w14:paraId="67B05BFD" w14:textId="77777777" w:rsidR="0096348C" w:rsidRDefault="0096348C" w:rsidP="0096348C">
            <w:pPr>
              <w:tabs>
                <w:tab w:val="left" w:pos="1701"/>
              </w:tabs>
            </w:pPr>
          </w:p>
          <w:p w14:paraId="73C5E9E6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84533">
              <w:t>8 april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14:paraId="60FC95E9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0F3C6EDC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1007E0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0AFC5B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80230C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49CD6417" w14:textId="77777777" w:rsidR="0096348C" w:rsidRDefault="0096348C" w:rsidP="00EA7B53">
            <w:r>
              <w:t>till protokoll</w:t>
            </w:r>
          </w:p>
          <w:p w14:paraId="6785B34D" w14:textId="77777777"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2B6BC1">
              <w:t>19</w:t>
            </w:r>
          </w:p>
        </w:tc>
      </w:tr>
      <w:tr w:rsidR="0096348C" w14:paraId="2223A3B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B8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504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BC9C" w14:textId="77777777"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0D227C">
              <w:rPr>
                <w:sz w:val="22"/>
              </w:rPr>
              <w:t>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A09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744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D2A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3AB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991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3B1A8DA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D0CA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C2C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2DA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2B1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F4A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DE8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3F5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5D1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710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589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137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6CB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499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575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4A1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2718E63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2114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B4D6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54E7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EF9E" w14:textId="77777777" w:rsidR="003F642F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681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6FE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F58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9C4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28D6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850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AEA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AE6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E4E7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630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AE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1CD4A4C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B574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D9D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D78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89BB" w14:textId="77777777" w:rsidR="003F642F" w:rsidRPr="001E1FAC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919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32B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365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EF8F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FE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004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D80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DF5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A8B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DFA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D07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7E6D2C9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17B8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A9A4" w14:textId="77777777" w:rsidR="003F642F" w:rsidRPr="00E70A95" w:rsidRDefault="00325B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AA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AA1F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38B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62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88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BA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17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76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C2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BA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5F6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B9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D2A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CF5E2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E556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D7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94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3D9A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C5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60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56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29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D7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55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3C6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2E9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EB0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A6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84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4F0530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48D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B2C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59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E786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C4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F9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2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0A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29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4D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8A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D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F6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1C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B8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D44888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8424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4D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05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9FE6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19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6F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15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77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7B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4D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A0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4D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5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952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2D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FE16CE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0D1" w14:textId="77777777"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F0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B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7F06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9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34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32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CC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41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4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0E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FA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F8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62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8CC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088169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E0F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63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9A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2768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65A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2D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D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71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6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45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CAC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E2E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0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58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3C0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E652CF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824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032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F1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5691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B73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92B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BA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6E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0E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A7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9E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4E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B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C2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60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904DB8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042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F8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01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B3DC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02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1A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72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0F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F5F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5C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B8B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AD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C5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7A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F0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8C0D42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B4DC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43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94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9830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55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ED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1C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FE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56B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6CD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31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1F1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4C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5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D3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80013A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CAF4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F2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5B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D90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97D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EF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33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0DF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D7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1E3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3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1C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DB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70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DD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F0E014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F45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B0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EA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8F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40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75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E7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2FA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F7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06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BB1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84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60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3C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E9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0712A2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4C14" w14:textId="77777777"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46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0E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63C1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AF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05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6B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C8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DE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F7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70C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94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F4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EB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9A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9B8F2D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997F" w14:textId="77777777"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5EA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F08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2634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48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AA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A4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AF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AA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31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ED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9C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DF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F8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B3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4B124F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FB9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0B6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3A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9535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E4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53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353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B2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60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95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30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56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F5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AB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77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513F37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4E2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F9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9E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D01" w14:textId="77777777" w:rsidR="003F642F" w:rsidRPr="00E70A95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0D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7C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B4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536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76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D2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9C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82D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C8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97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E9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1DC3BA0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38AF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4F3E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C3CE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9E3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586E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537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F95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6B8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B80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3E1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64A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3D2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E81E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B6E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1E0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3E8FC5C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830C" w14:textId="77777777"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D0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8C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0707" w14:textId="77777777" w:rsidR="003F642F" w:rsidRPr="0078232D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90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D7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A6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97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A4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A9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FB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6C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C6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59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D8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973FFE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DC07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BA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944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F68F" w14:textId="77777777" w:rsidR="003F642F" w:rsidRPr="0078232D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77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38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28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1A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CFC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D6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028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03F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64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96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DA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BD47F2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60BD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1D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1F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E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F7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4D3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5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23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AF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9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26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25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DA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D9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9B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268BE0B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8F35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9E0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7B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938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139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12C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E3A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DC8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225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6FF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78E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BFB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79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3D5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206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B68A1C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834C" w14:textId="77777777"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DFC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1D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B7BB" w14:textId="77777777" w:rsidR="003F642F" w:rsidRPr="0078232D" w:rsidRDefault="00A71FF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68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783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DE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66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19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882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1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AB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EA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49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7F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6FADC2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E540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843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31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C18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5D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8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A0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0E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0D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F38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70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1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08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02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E9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D93698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DAF4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A1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C3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1B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BF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3B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23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0A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C0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B8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F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AB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0A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8F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E3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D397AA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5C8B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22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F8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76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56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39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DA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AC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B7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79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91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4D5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4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87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33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2705D8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71F9" w14:textId="77777777"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29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88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23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6A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8D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59C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91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86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4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A4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540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1D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974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C0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C83DAE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36E6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DF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03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1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D4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D4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0A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AE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DF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BD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0C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2E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AA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00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D4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8AA286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0F2E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33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BB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CA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61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69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BD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73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5E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9F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CD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94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CD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2A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EA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7FEF89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E705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63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EC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1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58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DD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FE2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07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7A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E6C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EA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E4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41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27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86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B0D5A0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1FE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1AA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67F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EB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A1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E4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38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A28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EBA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65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C8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78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6A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CB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E5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2E27D63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D412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8C3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B22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C2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55A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546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263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352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6BE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AE9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0A9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AD0D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AB0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2D8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0CF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6EECC1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D332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0F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FE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81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EB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FA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44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E1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02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57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2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A2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A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377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DE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54C523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ACCD" w14:textId="77777777"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FB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85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9D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10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2D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18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27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3B3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5F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61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BF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89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12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21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D990E7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E904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FA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7A2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32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3C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2AC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07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1A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D3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DB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6D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DB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E5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9EE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1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0FCBAF0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6E8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366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03F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B53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AA5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922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5F8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49F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375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DD6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74F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F84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C5D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AC7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FF2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1983D3C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4F8C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585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017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D48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B9F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6BA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DCD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571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A4C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B3A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C8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709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A01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EFA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22D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5F76CA5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0156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445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A07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B29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424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D92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C50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3E5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84E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D68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EAD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D06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575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2AE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9D4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1950FAD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519C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C93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A42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CC6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3E4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C0E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28D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D8E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3DF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8A3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376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DD2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1B9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B52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09E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3D0488E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EEB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5E0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188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885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A21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CA5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22A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7A5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4A9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7D7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37E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E54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888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EA2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BF3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07DB24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3A5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C93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97E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1B6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6DB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13F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E38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376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E6C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B0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A72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23D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AA1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72D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1E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194CE22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1E3D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079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086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CAA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53B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AF7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BC2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C55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C6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B9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1D1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2DB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404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90B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C8E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3981A40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5188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3F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4D9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10F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D5E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062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27A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3C9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3D4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E2B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BEC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B86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4F7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1CD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15B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58C15BA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BAAC" w14:textId="77777777"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245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E402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FD7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794E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777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A05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057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9A9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966E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D24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B3B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EC0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428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E0A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1E9A0F7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442E" w14:textId="77777777"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4DC2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C6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7E57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ACA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E686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8AA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138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AFA2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C886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7B0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4D73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1E6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19C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F3D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17C3C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528D" w14:textId="77777777"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AA89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364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A925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AD2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D02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9FF0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902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375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639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B83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6128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133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52F0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78A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14:paraId="765F8A0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CF2948E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139EDAC" w14:textId="77777777"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14:paraId="7126E22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A3FA86E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072D551D" w14:textId="77777777"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7BBE9083" w14:textId="77777777" w:rsidR="000C0F16" w:rsidRDefault="000C0F16" w:rsidP="000C0F16">
      <w:pPr>
        <w:widowControl/>
      </w:pPr>
    </w:p>
    <w:p w14:paraId="58BAE128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42B824D4" w14:textId="77777777" w:rsidR="005647CC" w:rsidRDefault="005647CC" w:rsidP="003E277B">
      <w:pPr>
        <w:widowControl/>
      </w:pPr>
    </w:p>
    <w:sectPr w:rsidR="005647CC" w:rsidSect="003E277B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5307D"/>
    <w:rsid w:val="00064405"/>
    <w:rsid w:val="00091751"/>
    <w:rsid w:val="000A10F5"/>
    <w:rsid w:val="000B2293"/>
    <w:rsid w:val="000B7C05"/>
    <w:rsid w:val="000C0F16"/>
    <w:rsid w:val="000D0939"/>
    <w:rsid w:val="000D227C"/>
    <w:rsid w:val="000D3043"/>
    <w:rsid w:val="000D4D83"/>
    <w:rsid w:val="000F2258"/>
    <w:rsid w:val="000F47DE"/>
    <w:rsid w:val="000F4B22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1F67F5"/>
    <w:rsid w:val="002174A8"/>
    <w:rsid w:val="00234B2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B6BC1"/>
    <w:rsid w:val="002D2AB5"/>
    <w:rsid w:val="002E1614"/>
    <w:rsid w:val="002F284C"/>
    <w:rsid w:val="003102EF"/>
    <w:rsid w:val="00314F14"/>
    <w:rsid w:val="00325BDA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277B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6F8F"/>
    <w:rsid w:val="004673D5"/>
    <w:rsid w:val="00481B64"/>
    <w:rsid w:val="00484533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47CC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724A2"/>
    <w:rsid w:val="00780720"/>
    <w:rsid w:val="007E4B5A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0570"/>
    <w:rsid w:val="009815DB"/>
    <w:rsid w:val="00984F1C"/>
    <w:rsid w:val="009852C9"/>
    <w:rsid w:val="009A68FE"/>
    <w:rsid w:val="009B0A01"/>
    <w:rsid w:val="009B0E9B"/>
    <w:rsid w:val="009C3BE7"/>
    <w:rsid w:val="009C6C22"/>
    <w:rsid w:val="009D1BB5"/>
    <w:rsid w:val="009D6560"/>
    <w:rsid w:val="009F6E99"/>
    <w:rsid w:val="00A01787"/>
    <w:rsid w:val="00A2411B"/>
    <w:rsid w:val="00A251A4"/>
    <w:rsid w:val="00A258F2"/>
    <w:rsid w:val="00A31820"/>
    <w:rsid w:val="00A401A5"/>
    <w:rsid w:val="00A46C20"/>
    <w:rsid w:val="00A55748"/>
    <w:rsid w:val="00A63738"/>
    <w:rsid w:val="00A70B78"/>
    <w:rsid w:val="00A71FF2"/>
    <w:rsid w:val="00A744C3"/>
    <w:rsid w:val="00A81721"/>
    <w:rsid w:val="00A84DE6"/>
    <w:rsid w:val="00A90C14"/>
    <w:rsid w:val="00A9262A"/>
    <w:rsid w:val="00AB15F1"/>
    <w:rsid w:val="00AB3136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E7A1F"/>
    <w:rsid w:val="00C00C2D"/>
    <w:rsid w:val="00C16B87"/>
    <w:rsid w:val="00C25306"/>
    <w:rsid w:val="00C3591B"/>
    <w:rsid w:val="00C3694B"/>
    <w:rsid w:val="00C42EDE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4F326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6B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5647CC"/>
    <w:rPr>
      <w:color w:val="0563C1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564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517</Words>
  <Characters>3713</Characters>
  <Application>Microsoft Office Word</Application>
  <DocSecurity>4</DocSecurity>
  <Lines>1237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2021-03-29T13:37:00Z</cp:lastPrinted>
  <dcterms:created xsi:type="dcterms:W3CDTF">2021-04-15T11:48:00Z</dcterms:created>
  <dcterms:modified xsi:type="dcterms:W3CDTF">2021-04-15T11:48:00Z</dcterms:modified>
</cp:coreProperties>
</file>