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979" w:rsidRDefault="004C2979">
      <w:pPr>
        <w:pStyle w:val="Rubrik1"/>
        <w:spacing w:before="0"/>
      </w:pPr>
      <w:r>
        <w:t>Sammanfattning</w:t>
      </w:r>
    </w:p>
    <w:p w:rsidR="004C2979" w:rsidRDefault="004C2979">
      <w:r>
        <w:t xml:space="preserve">I betänkandet behandlas regeringens skrivelse 1997/98:125 med redovisning för fördelningen av medel från Allmänna arvsfonden under budgetåret 1997. Inga motioner har väckts med anledning av skrivelsen. </w:t>
      </w:r>
    </w:p>
    <w:p w:rsidR="004C2979" w:rsidRDefault="004C2979">
      <w:pPr>
        <w:pStyle w:val="Normaltindrag"/>
      </w:pPr>
      <w:r>
        <w:t>Utskottet föreslår att riksdagen lägger skrivelsen till handlingarna.</w:t>
      </w:r>
    </w:p>
    <w:p w:rsidR="004C2979" w:rsidRDefault="004C2979">
      <w:pPr>
        <w:pStyle w:val="Rubrik1"/>
      </w:pPr>
      <w:r>
        <w:t>Regeringens skrivelse</w:t>
      </w:r>
    </w:p>
    <w:p w:rsidR="004C2979" w:rsidRDefault="004C2979">
      <w:pPr>
        <w:spacing w:before="123"/>
      </w:pPr>
      <w:r>
        <w:t>I skrivelsen 1997/98:125 lämnas en redogörelse för förvaltningen av Al</w:t>
      </w:r>
      <w:r>
        <w:t>l</w:t>
      </w:r>
      <w:r>
        <w:t>männa arvsfonden och en översiktlig beskrivning av fördelningen av stöd ur fonden. Vidare redovisas hur regeringen och Arvsfondsdelegationen fördelat medlen ur Allmänna arvsfonden under budgetåret 1997. Slutligen anges några områden som enligt regeringens mening särskilt bör uppmärksammas vid ko</w:t>
      </w:r>
      <w:r>
        <w:t>m</w:t>
      </w:r>
      <w:r>
        <w:t>mande fördelning av stöd ur fonden.</w:t>
      </w:r>
    </w:p>
    <w:p w:rsidR="004C2979" w:rsidRDefault="004C2979">
      <w:pPr>
        <w:pStyle w:val="Rubrik1"/>
      </w:pPr>
      <w:r>
        <w:t>Utskottet</w:t>
      </w:r>
    </w:p>
    <w:p w:rsidR="004C2979" w:rsidRDefault="004C2979">
      <w:pPr>
        <w:pStyle w:val="Rubrik2"/>
        <w:spacing w:before="123"/>
      </w:pPr>
      <w:r>
        <w:t>Allmänt om Allmänna arvsfonden</w:t>
      </w:r>
    </w:p>
    <w:p w:rsidR="004C2979" w:rsidRDefault="004C2979">
      <w:pPr>
        <w:spacing w:before="123"/>
      </w:pPr>
      <w:r>
        <w:t>Allmänna arvsfonden inrättades år 1928. Kvarlåtenskap efter personer som saknar arvingar och som inte skrivit testamente tillfaller Allmänna arvsfo</w:t>
      </w:r>
      <w:r>
        <w:t>n</w:t>
      </w:r>
      <w:r>
        <w:t xml:space="preserve">den. Förutom genom arv kan fonden få egendom genom bl.a. gåva eller testamente. </w:t>
      </w:r>
    </w:p>
    <w:p w:rsidR="004C2979" w:rsidRDefault="004C2979">
      <w:pPr>
        <w:pStyle w:val="Normaltindrag"/>
      </w:pPr>
      <w:r>
        <w:t>Allmänna arvsfonden har till ändamål att främja verksamhet av ideell k</w:t>
      </w:r>
      <w:r>
        <w:t>a</w:t>
      </w:r>
      <w:r>
        <w:t>raktär till förmån för barn, ungdomar och personer med funktionshinder. Försöksverksamhet som beviljas stöd skall vara nyskapande och utvecklande och kunna särskiljas från den reguljära verksamheten. Stöd får lämnas till organisationer som bedriver ideell verksamhet. Offentlig huvudman kan beviljas stöd för utvecklingsverksamhet om det finns särskilda skäl, t.ex. när en kommun vill genomföra ett projekt tillsammans med en förening. Närm</w:t>
      </w:r>
      <w:r>
        <w:t>a</w:t>
      </w:r>
      <w:r>
        <w:t>re bestämmelser om fonden finns i lagen (1994:243) om Allmänna arvsfo</w:t>
      </w:r>
      <w:r>
        <w:t>n</w:t>
      </w:r>
      <w:r>
        <w:t xml:space="preserve">den (arvsfondslagen). </w:t>
      </w:r>
    </w:p>
    <w:p w:rsidR="004C2979" w:rsidRDefault="004C2979">
      <w:pPr>
        <w:pStyle w:val="Normaltindrag"/>
      </w:pPr>
      <w:r>
        <w:t>Allmänna arvsfondens egendom förvaltas av Kammarkollegiet som en sä</w:t>
      </w:r>
      <w:r>
        <w:t>r</w:t>
      </w:r>
      <w:r>
        <w:t xml:space="preserve">skild fond. Fondens bokförda värde uppgick den 31 december 1997 till ca 704 miljoner kronor och marknadsvärdet till ca 2 072 miljoner kronor. </w:t>
      </w:r>
    </w:p>
    <w:p w:rsidR="004C2979" w:rsidRDefault="004C2979">
      <w:pPr>
        <w:pStyle w:val="Rubrik2"/>
      </w:pPr>
      <w:r>
        <w:lastRenderedPageBreak/>
        <w:t>Fördelningen av stöd ur Allmänna arvsfonden</w:t>
      </w:r>
    </w:p>
    <w:p w:rsidR="004C2979" w:rsidRDefault="004C2979">
      <w:r>
        <w:t>Enligt 8 § arvsfondslagen beslutar regeringen eller, efter regeringens bemy</w:t>
      </w:r>
      <w:r>
        <w:t>n</w:t>
      </w:r>
      <w:r>
        <w:t xml:space="preserve">digande, Arvsfondsdelegationen eller annan myndighet om fördelningen av stöd ur Allmänna arvsfonden. För år 1997 fanns det ca 333 miljoner kronor att fördela ur fonden. Av detta belopp var 25 % avsett att fördelas till projekt för ungdomar mellan 12 och 25 år och resterande medel till projekt för barn under 12 år och för personer med funktionshinder. </w:t>
      </w:r>
    </w:p>
    <w:p w:rsidR="004C2979" w:rsidRDefault="004C2979">
      <w:pPr>
        <w:pStyle w:val="Normaltindrag"/>
      </w:pPr>
      <w:r>
        <w:t xml:space="preserve">Under år 1997 har drygt 54 miljoner kronor fördelats till 89 projekt med syfte att utveckla och förnya </w:t>
      </w:r>
      <w:r>
        <w:rPr>
          <w:i/>
        </w:rPr>
        <w:t>verksamhet till förmån för barn under 12 år</w:t>
      </w:r>
      <w:r>
        <w:t>. Bl.a. har, inom ramen för ett treårigt projekt, stöd beviljats till verksamheter för barn som av olika skäl står utanför den reguljära barnomsorgen. Projektet syftar till att öka dessa barns integrationsmöjligheter i samhället. Medel ur fonden har vidare ställts till Folkhälsoinstitutets förfogande för fördelning till ideella organisationers barn- och ungdomsprojekt som ligger i linje med den nationella handlingsplanen för alkohol- och drogförebyggande arbete. Vi</w:t>
      </w:r>
      <w:r>
        <w:t>dare har, som ett led i regeringens satsning på information om FN:s barnkonve</w:t>
      </w:r>
      <w:r>
        <w:t>n</w:t>
      </w:r>
      <w:r>
        <w:t>tion, medel ur fonden utgivits till projekt som skall öka kunskaperna om konventionen i kommuner och landsting. Verksamheter med syfte att u</w:t>
      </w:r>
      <w:r>
        <w:t>t</w:t>
      </w:r>
      <w:r>
        <w:t>veckla stöd till barn med funktionshinder och deras familjer har också erhå</w:t>
      </w:r>
      <w:r>
        <w:t>l</w:t>
      </w:r>
      <w:r>
        <w:t>lit stöd från Allmänna arvsfonden. Stöd har lämnats till projekt som inriktat sig på information och utbildning, bl.a. rörande skadeförebyggande ver</w:t>
      </w:r>
      <w:r>
        <w:t>k</w:t>
      </w:r>
      <w:r>
        <w:t>samhet, barnmisshandel och stamning. Insatser som syftar till att st</w:t>
      </w:r>
      <w:r>
        <w:t>ödja u</w:t>
      </w:r>
      <w:r>
        <w:t>t</w:t>
      </w:r>
      <w:r>
        <w:t>satta barn och ungdomar och deras föräldrar har också beviljats stöd ur fo</w:t>
      </w:r>
      <w:r>
        <w:t>n</w:t>
      </w:r>
      <w:r>
        <w:t>den, liksom projekt med inriktning på fritid och idrott, kulturverksamhet, datateknik och miljöarbete.</w:t>
      </w:r>
    </w:p>
    <w:p w:rsidR="004C2979" w:rsidRDefault="004C2979">
      <w:pPr>
        <w:pStyle w:val="Normaltindrag"/>
      </w:pPr>
      <w:r>
        <w:t xml:space="preserve">Ca 40 miljoner kronor har fördelats till </w:t>
      </w:r>
      <w:r>
        <w:rPr>
          <w:i/>
        </w:rPr>
        <w:t>verksamhet till förmån för ungd</w:t>
      </w:r>
      <w:r>
        <w:rPr>
          <w:i/>
        </w:rPr>
        <w:t>o</w:t>
      </w:r>
      <w:r>
        <w:rPr>
          <w:i/>
        </w:rPr>
        <w:t>mar mellan 12 och 25 år</w:t>
      </w:r>
      <w:r>
        <w:t>. Dessutom har det genom fyra särskilda regering</w:t>
      </w:r>
      <w:r>
        <w:t>s</w:t>
      </w:r>
      <w:r>
        <w:t>beslut delegerats till Ungdomsstyrelsen att fördela sammanlagt 22 miljoner kronor till särskilt angivna satsningar inom ungdomsområdet. Stöd har bl.a. utgivits till projekt med syfte att stärka ungdomars delaktighet och inflytande i samhället. Olika projekt för utsatta barn och ungdomar har erhållit medel ur fonden, bl.a. verksamheter som arbetar med att förebygga sociala problem, t.ex. brotts- och drogfö</w:t>
      </w:r>
      <w:r>
        <w:t>rebyggande projekt, samt projekt för integration och mot främlingsfientlighet och rasism. Stöd till ungdomars nyskapande projekt utan något särskilt uttalat socialt syfte, t.ex. inom kultur- och medieområdet, har också beviljats, liksom stöd till projekt som särskilt vänder sig till flickor och unga kvinnor. Verksamheter för att stärka unga människors egen makt mot våld i medierna har erhållit medel. Stöd har slutligen också beviljats bl.a. för att utveckla nya och alternativa arbetsmarknadsprojekt för unga</w:t>
      </w:r>
      <w:r>
        <w:t xml:space="preserve"> arbetsl</w:t>
      </w:r>
      <w:r>
        <w:t>ö</w:t>
      </w:r>
      <w:r>
        <w:t>sa samt för att utveckla kooperativ verksamhet på gymnasi</w:t>
      </w:r>
      <w:r>
        <w:t>e</w:t>
      </w:r>
      <w:r>
        <w:t xml:space="preserve">skolorna. </w:t>
      </w:r>
    </w:p>
    <w:p w:rsidR="004C2979" w:rsidRDefault="004C2979">
      <w:pPr>
        <w:pStyle w:val="Normaltindrag"/>
      </w:pPr>
      <w:r>
        <w:t xml:space="preserve">Vad beträffar </w:t>
      </w:r>
      <w:r>
        <w:rPr>
          <w:i/>
        </w:rPr>
        <w:t>verksamhet till förmån för personer med funktionshinder</w:t>
      </w:r>
      <w:r>
        <w:t xml:space="preserve"> har ca 89 miljoner kronor fördelats till 165 projekt. Medel har bl.a. beviljats till verksamheter som kan förbättra boendesituationen för personer med psyki</w:t>
      </w:r>
      <w:r>
        <w:t>s</w:t>
      </w:r>
      <w:r>
        <w:t>ka funktionshinder. Projekt med syfte att förbättra arbetssituationen för funktionshindrade har också erhållit medel ur fonden. Stöd har vidare bevi</w:t>
      </w:r>
      <w:r>
        <w:t>l</w:t>
      </w:r>
      <w:r>
        <w:t>jats till ideella organisationer för att de skall kunna informera om FN:s sta</w:t>
      </w:r>
      <w:r>
        <w:t>n</w:t>
      </w:r>
      <w:r>
        <w:t>dardregler för att tillförsäkra människor med funktionsnedsättning delak</w:t>
      </w:r>
      <w:r>
        <w:t>ti</w:t>
      </w:r>
      <w:r>
        <w:t>g</w:t>
      </w:r>
      <w:r>
        <w:t>het och jämlikhet. Medel har vidare tilldelats projekt rörande information</w:t>
      </w:r>
      <w:r>
        <w:t>s</w:t>
      </w:r>
      <w:r>
        <w:t>teknik, medier, fritid och idrott samt kultur. Projekt som rör kvinnor med funktionshinder har också erhållit medel. Stöd har också beviljats projekt som syftar till att öka möjligheterna för funktionshindrade personer med invandrarbakgrund att ta del av och bli delaktiga i samhälls- och förening</w:t>
      </w:r>
      <w:r>
        <w:t>s</w:t>
      </w:r>
      <w:r>
        <w:t>gemenskap. Nästan 36 miljoner kronor har fördelats till projekt med syfte att informera allmänhet, beslutsfattare m.fl. om effekterna av</w:t>
      </w:r>
      <w:r>
        <w:t xml:space="preserve"> olika funktion</w:t>
      </w:r>
      <w:r>
        <w:t>s</w:t>
      </w:r>
      <w:r>
        <w:t>hinder samt ge funktionshindrade kunskap om aktuell lagstiftning m.m. Verksamheter som syftar till att bilda anhörig- och andra stödgrupper samt projekt som prövar nya rehabiliteringsmetoder har också beviljats stöd. Bland övriga verksamheter som erhållit stöd ur fonden kan nämnas projekt kring tillgänglighet och organisationsutvec</w:t>
      </w:r>
      <w:r>
        <w:t>k</w:t>
      </w:r>
      <w:r>
        <w:t>ling.</w:t>
      </w:r>
    </w:p>
    <w:p w:rsidR="004C2979" w:rsidRDefault="004C2979">
      <w:pPr>
        <w:pStyle w:val="Rubrik2"/>
      </w:pPr>
      <w:r>
        <w:t>Kommande inriktning för stöd ur Allmänna arvsfonden</w:t>
      </w:r>
    </w:p>
    <w:p w:rsidR="004C2979" w:rsidRDefault="004C2979">
      <w:r>
        <w:t>I skrivelsen redovisar regeringen den framtida inriktningen av stöd till r</w:t>
      </w:r>
      <w:r>
        <w:t>e</w:t>
      </w:r>
      <w:r>
        <w:t>spektive målgrupp men anför att det även finns vissa områden där det kan finnas anledning att göra insatser som är gemensamma för de olika målgru</w:t>
      </w:r>
      <w:r>
        <w:t>p</w:t>
      </w:r>
      <w:r>
        <w:t>perna. Regeringen har bl.a. för avsikt att genom en särskild satsning stödja idrottsrörelsens utveckling av verksamhet för fondens målgrupper, främst på lokal nivå. Fortsatta insatser för att stärka brukarinflytandet genom utvec</w:t>
      </w:r>
      <w:r>
        <w:t>k</w:t>
      </w:r>
      <w:r>
        <w:t>ling av olika kooperativa lösningar bör också göras, heter det i skrivelsen.</w:t>
      </w:r>
    </w:p>
    <w:p w:rsidR="004C2979" w:rsidRDefault="004C2979">
      <w:pPr>
        <w:pStyle w:val="Normaltindrag"/>
      </w:pPr>
      <w:r>
        <w:t xml:space="preserve">När det gäller </w:t>
      </w:r>
      <w:r>
        <w:rPr>
          <w:i/>
        </w:rPr>
        <w:t xml:space="preserve">verksamhet till förmån för barn </w:t>
      </w:r>
      <w:r>
        <w:t>anser regeringen att projekt som riktar sig till följande grupper av barn bör prioriteras, nämligen barn i utsatta storstadsområden där många föräldrar är långtidsarbetslösa, ensa</w:t>
      </w:r>
      <w:r>
        <w:t>m</w:t>
      </w:r>
      <w:r>
        <w:t>stående eller invandrare eller har sociala problem, barn med ingen eller dålig kontakt med en av föräldrarna, barn till missbrukare eller psykiskt sjuka föräldrar, barn som misshandlats eller varit vittne till våld inom familjen samt barn med neuropsykiatriska problem eller andra funktionshinder. En</w:t>
      </w:r>
      <w:r>
        <w:t>ligt regeringen behöver vidare bevakningen av samhällsfrågorna ur ett barnper</w:t>
      </w:r>
      <w:r>
        <w:t>s</w:t>
      </w:r>
      <w:r>
        <w:t>pektiv liksom barns och ungdomars delaktighet i kultur- och samhällslivet utvecklas. I skrivelsen framhålls också vikten av att aktörer inom den frivi</w:t>
      </w:r>
      <w:r>
        <w:t>l</w:t>
      </w:r>
      <w:r>
        <w:t>liga sektorn finns med och utvecklar olika slag av stöd i föräldr</w:t>
      </w:r>
      <w:r>
        <w:t>a</w:t>
      </w:r>
      <w:r>
        <w:t xml:space="preserve">skapet. </w:t>
      </w:r>
    </w:p>
    <w:p w:rsidR="004C2979" w:rsidRDefault="004C2979">
      <w:pPr>
        <w:pStyle w:val="Normaltindrag"/>
      </w:pPr>
      <w:r>
        <w:t xml:space="preserve">Beträffande </w:t>
      </w:r>
      <w:r>
        <w:rPr>
          <w:i/>
        </w:rPr>
        <w:t>verksamhet till förmån för ungdomar</w:t>
      </w:r>
      <w:r>
        <w:t xml:space="preserve"> framhåller regeringen bl.a. projekt som ger utrymme för och tar till vara unga människors initiati</w:t>
      </w:r>
      <w:r>
        <w:t>v</w:t>
      </w:r>
      <w:r>
        <w:t>förmåga, kunskaper och kreativitet. Även projekt som stärker jämlikheten mellan olika ungdomsgrupper och mellan könen kommer enligt regeringen att prioriteras. Regeringen anser det vidare angeläget att stödja projekt inom föreningslivet för unga, icke professionella utövare av främst musik. Reg</w:t>
      </w:r>
      <w:r>
        <w:t>e</w:t>
      </w:r>
      <w:r>
        <w:t>ringen har för avsikt att avsätta medel ur Allmänna arvsfonden för att up</w:t>
      </w:r>
      <w:r>
        <w:t>p</w:t>
      </w:r>
      <w:r>
        <w:t xml:space="preserve">muntra </w:t>
      </w:r>
      <w:r>
        <w:t xml:space="preserve">nätverk mellan lokala föreningar som driver utvecklingsprojekt i storstädernas utsatta bostadsområden. Särskild uppmärksamhet kommer slutligen att ges projekt som gäller ungdomsutbyte mellan kommuner och kommundelar som representerar skilda sociala miljöer. </w:t>
      </w:r>
    </w:p>
    <w:p w:rsidR="004C2979" w:rsidRDefault="004C2979">
      <w:pPr>
        <w:pStyle w:val="Normaltindrag"/>
      </w:pPr>
      <w:r>
        <w:t xml:space="preserve">Vad slutligen gäller </w:t>
      </w:r>
      <w:r>
        <w:rPr>
          <w:i/>
        </w:rPr>
        <w:t>verksamhet till förmån för personer med funktionshi</w:t>
      </w:r>
      <w:r>
        <w:rPr>
          <w:i/>
        </w:rPr>
        <w:t>n</w:t>
      </w:r>
      <w:r>
        <w:rPr>
          <w:i/>
        </w:rPr>
        <w:t xml:space="preserve">der </w:t>
      </w:r>
      <w:r>
        <w:t>framhålls i skrivelsen utvecklingsverksamhet för att minska fördomar och motverka negativa attityder och därigenom förbättra bemötandet av funktionshindrade personer. Även andra projekt som syftar till inflytande, ökat självbestämmande, valfrihet och oberoende för personer med funktion</w:t>
      </w:r>
      <w:r>
        <w:t>s</w:t>
      </w:r>
      <w:r>
        <w:t>hinder bör fortsättningsvis prioriteras. Regeringen framhåller vidare ver</w:t>
      </w:r>
      <w:r>
        <w:t>k</w:t>
      </w:r>
      <w:r>
        <w:t>samheter rörande tillgänglighet i vid bemärkelse, informationsteknik samt utvecklandet av alter</w:t>
      </w:r>
      <w:r>
        <w:t>nativa stöd- och boendeformer för personer med psyki</w:t>
      </w:r>
      <w:r>
        <w:t>s</w:t>
      </w:r>
      <w:r>
        <w:t>ka funktionshi</w:t>
      </w:r>
      <w:r>
        <w:t>n</w:t>
      </w:r>
      <w:r>
        <w:t xml:space="preserve">der. </w:t>
      </w:r>
    </w:p>
    <w:p w:rsidR="004C2979" w:rsidRDefault="004C2979">
      <w:pPr>
        <w:pStyle w:val="Rubrik2"/>
      </w:pPr>
      <w:r>
        <w:t>Utskottets bedömning</w:t>
      </w:r>
    </w:p>
    <w:p w:rsidR="004C2979" w:rsidRDefault="004C2979">
      <w:r>
        <w:t>Skrivelsen, som inte föranlett någon motion, bör inte föranleda någon åtgärd från riksdagens sida.</w:t>
      </w:r>
    </w:p>
    <w:p w:rsidR="004C2979" w:rsidRDefault="004C2979">
      <w:pPr>
        <w:pStyle w:val="Rubrik2"/>
      </w:pPr>
      <w:r>
        <w:t>Hemställan</w:t>
      </w:r>
    </w:p>
    <w:p w:rsidR="004C2979" w:rsidRDefault="004C2979">
      <w:r>
        <w:t>Utskottet hemställer</w:t>
      </w:r>
    </w:p>
    <w:p w:rsidR="004C2979" w:rsidRDefault="004C2979">
      <w:pPr>
        <w:pStyle w:val="Normaltindrag"/>
      </w:pPr>
      <w:r>
        <w:t>att riksdagen lägger skrivelsen till handlingarna.</w:t>
      </w:r>
    </w:p>
    <w:p w:rsidR="004C2979" w:rsidRDefault="004C2979">
      <w:pPr>
        <w:pStyle w:val="Stockholm"/>
      </w:pPr>
      <w:r>
        <w:t>Stockholm den 20 oktober 1998</w:t>
      </w:r>
    </w:p>
    <w:p w:rsidR="004C2979" w:rsidRDefault="004C2979">
      <w:pPr>
        <w:pStyle w:val="Vgnar"/>
      </w:pPr>
      <w:r>
        <w:t>På socialutskottets vägnar</w:t>
      </w:r>
    </w:p>
    <w:p w:rsidR="004C2979" w:rsidRDefault="004C2979">
      <w:pPr>
        <w:pStyle w:val="Ordfnamn"/>
      </w:pPr>
      <w:bookmarkStart w:id="0" w:name="Nästa_Reservation"/>
      <w:bookmarkEnd w:id="0"/>
      <w:r>
        <w:t xml:space="preserve">Ingrid Burman </w:t>
      </w:r>
    </w:p>
    <w:p w:rsidR="004C2979" w:rsidRDefault="004C2979">
      <w:pPr>
        <w:pStyle w:val="Deltagare"/>
      </w:pPr>
      <w:r>
        <w:t>I beslutet har deltagit: Ingrid Burman (v), Chris Heister (m), Susanne Eberstein (s), Margareta Israelsson (s), Rinaldo Karlsson (s), Chatrine Pål</w:t>
      </w:r>
      <w:r>
        <w:t>s</w:t>
      </w:r>
      <w:r>
        <w:t xml:space="preserve">son (kd), Leif Carlson (m), Hans Hjortzberg-Nordlund (m), Conny Öhman (s), Elisebeht Markström (s), Rolf Olsson (v), Lars Gustafsson (kd), Cristina Husmark Pehrsson (m), Thomas Julin (mp), Kenneth Johansson (c), Kerstin Heinemann (fp) och Catherine Persson (s). </w:t>
      </w:r>
    </w:p>
    <w:p w:rsidR="004C2979" w:rsidRDefault="004C2979">
      <w:pPr>
        <w:pStyle w:val="Innehll"/>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p>
    <w:p w:rsidR="004C2979" w:rsidRDefault="004C2979">
      <w:pPr>
        <w:pStyle w:val="Tryckort"/>
      </w:pPr>
      <w:r>
        <w:t>Elanders Gotab, Stockholm  1998</w:t>
      </w:r>
    </w:p>
    <w:sectPr w:rsidR="004C297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979" w:rsidRDefault="004C2979">
      <w:pPr>
        <w:spacing w:before="0" w:line="240" w:lineRule="auto"/>
      </w:pPr>
      <w:r>
        <w:separator/>
      </w:r>
    </w:p>
  </w:endnote>
  <w:endnote w:type="continuationSeparator" w:id="0">
    <w:p w:rsidR="004C2979" w:rsidRDefault="004C29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979" w:rsidRDefault="004C2979">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979" w:rsidRDefault="004C2979">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979" w:rsidRDefault="004C2979">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979" w:rsidRDefault="004C2979">
      <w:pPr>
        <w:spacing w:before="0" w:line="240" w:lineRule="auto"/>
      </w:pPr>
      <w:r>
        <w:separator/>
      </w:r>
    </w:p>
  </w:footnote>
  <w:footnote w:type="continuationSeparator" w:id="0">
    <w:p w:rsidR="004C2979" w:rsidRDefault="004C29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979" w:rsidRDefault="004C2979">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1998/99:sou2</w:t>
    </w:r>
    <w:r>
      <w:fldChar w:fldCharType="end"/>
    </w:r>
  </w:p>
  <w:p w:rsidR="004C2979" w:rsidRDefault="004C2979">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b/>
        <w:sz w:val="28"/>
      </w:rPr>
      <w:t xml:space="preserve"> </w:t>
    </w:r>
  </w:p>
  <w:p w:rsidR="004C2979" w:rsidRDefault="004C2979">
    <w:pPr>
      <w:pStyle w:val="SidhuvudV"/>
      <w:framePr w:w="2302" w:h="1928" w:hRule="exact" w:wrap="notBeside"/>
    </w:pPr>
    <w:r>
      <w:fldChar w:fldCharType="end"/>
    </w:r>
  </w:p>
  <w:p w:rsidR="004C2979" w:rsidRDefault="004C29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979" w:rsidRDefault="004C2979">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1998/99:SoU2</w:t>
    </w:r>
    <w:r>
      <w:rPr>
        <w:sz w:val="21"/>
      </w:rPr>
      <w:fldChar w:fldCharType="end"/>
    </w:r>
  </w:p>
  <w:p w:rsidR="004C2979" w:rsidRDefault="004C2979">
    <w:pPr>
      <w:pStyle w:val="SidhuvudKant"/>
      <w:framePr w:hSpace="284" w:wrap="around"/>
      <w:rPr>
        <w:vanish/>
      </w:rPr>
    </w:pPr>
    <w:r>
      <w:rPr>
        <w:vanish/>
      </w:rPr>
      <w:t>&gt;B</w:t>
    </w:r>
  </w:p>
  <w:p w:rsidR="004C2979" w:rsidRDefault="004C2979">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929452563"/>
  <w:bookmarkStart w:id="2" w:name="_MON_929529912"/>
  <w:bookmarkStart w:id="3" w:name="_MON_932818888"/>
  <w:bookmarkStart w:id="4" w:name="_MON_947076358"/>
  <w:bookmarkStart w:id="5" w:name="_MON_947165881"/>
  <w:bookmarkStart w:id="6" w:name="_MON_968055455"/>
  <w:bookmarkStart w:id="7" w:name="_MON_969953755"/>
  <w:bookmarkStart w:id="8" w:name="_MON_970571527"/>
  <w:bookmarkEnd w:id="1"/>
  <w:bookmarkEnd w:id="2"/>
  <w:bookmarkEnd w:id="3"/>
  <w:bookmarkEnd w:id="4"/>
  <w:bookmarkEnd w:id="5"/>
  <w:bookmarkEnd w:id="6"/>
  <w:bookmarkEnd w:id="7"/>
  <w:bookmarkEnd w:id="8"/>
  <w:p w:rsidR="004C2979" w:rsidRDefault="004C2979">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340018" r:id="rId2"/>
      </w:object>
    </w:r>
  </w:p>
  <w:p w:rsidR="004C2979" w:rsidRDefault="004C2979">
    <w:pPr>
      <w:pStyle w:val="SidhuvudFVapen"/>
      <w:framePr w:wrap="notBeside" w:x="7253" w:y="188"/>
      <w:spacing w:line="230" w:lineRule="auto"/>
      <w:rPr>
        <w:sz w:val="24"/>
      </w:rPr>
    </w:pPr>
    <w:bookmarkStart w:id="9" w:name="BnrVapen"/>
    <w:r>
      <w:rPr>
        <w:sz w:val="24"/>
      </w:rPr>
      <w:t>1998/99</w:t>
    </w:r>
  </w:p>
  <w:p w:rsidR="004C2979" w:rsidRDefault="004C2979">
    <w:pPr>
      <w:pStyle w:val="SidhuvudFVapen"/>
      <w:framePr w:wrap="notBeside" w:x="7253" w:y="188"/>
      <w:spacing w:line="230" w:lineRule="auto"/>
      <w:rPr>
        <w:sz w:val="24"/>
      </w:rPr>
    </w:pPr>
    <w:r>
      <w:rPr>
        <w:sz w:val="24"/>
      </w:rPr>
      <w:t xml:space="preserve">SoU2 </w:t>
    </w:r>
    <w:bookmarkEnd w:id="9"/>
    <w:r w:rsidR="00CF1C9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53383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4A5CA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C2979" w:rsidRDefault="004C2979">
    <w:pPr>
      <w:pStyle w:val="SidhuvudFText"/>
      <w:framePr w:w="5727" w:h="2722" w:hRule="exact" w:hSpace="0" w:wrap="notBeside" w:hAnchor="page" w:x="1135" w:y="568"/>
      <w:spacing w:line="400" w:lineRule="exact"/>
      <w:ind w:right="629"/>
      <w:rPr>
        <w:sz w:val="36"/>
      </w:rPr>
    </w:pPr>
    <w:bookmarkStart w:id="10" w:name="DokumentTyp"/>
    <w:r>
      <w:rPr>
        <w:sz w:val="36"/>
      </w:rPr>
      <w:t xml:space="preserve">Socialutskottets betänkande </w:t>
    </w:r>
    <w:bookmarkEnd w:id="10"/>
  </w:p>
  <w:p w:rsidR="004C2979" w:rsidRDefault="004C2979">
    <w:pPr>
      <w:pStyle w:val="SidhuvudFText"/>
      <w:framePr w:w="5727" w:h="2722" w:hRule="exact" w:hSpace="0" w:wrap="notBeside" w:hAnchor="page" w:x="1135" w:y="568"/>
      <w:spacing w:line="400" w:lineRule="exact"/>
      <w:ind w:right="629"/>
      <w:rPr>
        <w:sz w:val="36"/>
      </w:rPr>
    </w:pPr>
    <w:bookmarkStart w:id="11" w:name="Betänkandenummer"/>
    <w:r>
      <w:rPr>
        <w:sz w:val="36"/>
      </w:rPr>
      <w:t xml:space="preserve">1998/99:SoU2 </w:t>
    </w:r>
    <w:bookmarkEnd w:id="11"/>
    <w:r>
      <w:rPr>
        <w:sz w:val="36"/>
      </w:rPr>
      <w:t xml:space="preserve">       </w:t>
    </w:r>
    <w:bookmarkStart w:id="12" w:name="Utkast"/>
    <w:r>
      <w:rPr>
        <w:b/>
        <w:sz w:val="28"/>
      </w:rPr>
      <w:t xml:space="preserve"> </w:t>
    </w:r>
  </w:p>
  <w:p w:rsidR="004C2979" w:rsidRDefault="004C2979">
    <w:pPr>
      <w:pStyle w:val="SidhuvudFText"/>
      <w:framePr w:w="5727" w:h="2722" w:hRule="exact" w:hSpace="0" w:wrap="notBeside" w:hAnchor="page" w:x="1135" w:y="568"/>
      <w:spacing w:before="40" w:after="900" w:line="280" w:lineRule="exact"/>
      <w:ind w:right="629"/>
      <w:rPr>
        <w:sz w:val="26"/>
      </w:rPr>
    </w:pPr>
    <w:bookmarkStart w:id="13" w:name="Rubrik"/>
    <w:bookmarkEnd w:id="12"/>
    <w:r>
      <w:rPr>
        <w:sz w:val="28"/>
      </w:rPr>
      <w:t>Redovisning för fördelningen av medel från Allmänna arvsfonden under budgetåret 1997</w:t>
    </w:r>
    <w:r>
      <w:rPr>
        <w:sz w:val="26"/>
      </w:rPr>
      <w:t xml:space="preserve"> </w:t>
    </w:r>
    <w:bookmarkEnd w:id="13"/>
    <w:r>
      <w:rPr>
        <w:sz w:val="26"/>
      </w:rPr>
      <w:t xml:space="preserve"> </w:t>
    </w:r>
  </w:p>
  <w:p w:rsidR="004C2979" w:rsidRDefault="004C2979">
    <w:pPr>
      <w:pStyle w:val="SidhuvudFText"/>
      <w:framePr w:w="5727" w:h="2722" w:hRule="exact" w:hSpace="0" w:wrap="notBeside" w:hAnchor="page" w:x="1135" w:y="568"/>
      <w:spacing w:line="460" w:lineRule="exact"/>
      <w:ind w:right="629"/>
      <w:rPr>
        <w:sz w:val="36"/>
      </w:rPr>
    </w:pPr>
  </w:p>
  <w:p w:rsidR="004C2979" w:rsidRDefault="004C2979">
    <w:pPr>
      <w:pStyle w:val="SidhuvudFText"/>
      <w:framePr w:w="5727" w:h="2722" w:hRule="exact" w:hSpace="0" w:wrap="notBeside" w:hAnchor="page" w:x="1135" w:y="568"/>
      <w:spacing w:before="40" w:after="900" w:line="300" w:lineRule="exact"/>
      <w:ind w:right="629"/>
      <w:rPr>
        <w:sz w:val="26"/>
      </w:rPr>
    </w:pPr>
    <w:r>
      <w:rPr>
        <w:sz w:val="26"/>
      </w:rPr>
      <w:t xml:space="preserve"> </w:t>
    </w:r>
  </w:p>
  <w:p w:rsidR="004C2979" w:rsidRDefault="004C297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2"/>
    <w:docVar w:name="HelaNamnet" w:val="1998/99:SoU2"/>
    <w:docVar w:name="NR" w:val="2"/>
    <w:docVar w:name="RUBRIK" w:val="Redovisning för fördelningen av medel från Allmänna arvsfonden under budgetåret 1997"/>
    <w:docVar w:name="SkapVERSION" w:val="V7.64 (97) 980303"/>
    <w:docVar w:name="SkapÅr" w:val="9899"/>
    <w:docVar w:name="Typer" w:val="S"/>
    <w:docVar w:name="USK" w:val="SoU"/>
    <w:docVar w:name="USKKORT" w:val="SoU"/>
    <w:docVar w:name="USKNAMN" w:val="Socialutskottets"/>
    <w:docVar w:name="USKNAMNG" w:val="socialutskottets"/>
    <w:docVar w:name="ÅR" w:val="1998/99"/>
  </w:docVars>
  <w:rsids>
    <w:rsidRoot w:val="002B53C9"/>
    <w:rsid w:val="002B53C9"/>
    <w:rsid w:val="004C2979"/>
    <w:rsid w:val="00CF1C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55CFE4-C227-4F93-B111-D49555B4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1316</Words>
  <Characters>8347</Characters>
  <Application>Microsoft Office Word</Application>
  <DocSecurity>4</DocSecurity>
  <Lines>170</Lines>
  <Paragraphs>34</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Socialutskottets betänkande nr 11</vt:lpstr>
      <vt:lpstr>Sammanfattning</vt:lpstr>
      <vt:lpstr>Regeringens skrivelse</vt:lpstr>
      <vt:lpstr>Utskottet</vt:lpstr>
      <vt:lpstr>    Allmänt om Allmänna arvsfonden</vt:lpstr>
      <vt:lpstr>    Fördelningen av stöd ur Allmänna arvsfonden</vt:lpstr>
      <vt:lpstr>    Kommande inriktning för stöd ur Allmänna arvsfonden</vt:lpstr>
      <vt:lpstr>    Utskottets bedömning</vt:lpstr>
      <vt:lpstr>    Hemställan</vt:lpstr>
    </vt:vector>
  </TitlesOfParts>
  <Company>Sveriges Riksdag</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11</dc:title>
  <dc:subject>Socialutskottets betänkande nr 11</dc:subject>
  <dc:creator>Riksdagen</dc:creator>
  <cp:keywords>Riksdagen</cp:keywords>
  <dc:description/>
  <cp:lastModifiedBy>Lars Brink</cp:lastModifiedBy>
  <cp:revision>2</cp:revision>
  <cp:lastPrinted>1998-10-26T17:36:00Z</cp:lastPrinted>
  <dcterms:created xsi:type="dcterms:W3CDTF">2025-12-15T20:40:00Z</dcterms:created>
  <dcterms:modified xsi:type="dcterms:W3CDTF">2025-12-15T20:40:00Z</dcterms:modified>
</cp:coreProperties>
</file>