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CF70E-7413-49B7-9331-B7DD25A8F2C0}"/>
</file>

<file path=customXml/itemProps2.xml><?xml version="1.0" encoding="utf-8"?>
<ds:datastoreItem xmlns:ds="http://schemas.openxmlformats.org/officeDocument/2006/customXml" ds:itemID="{A82EDB2C-895D-4DA8-A03C-7B4518A4D191}"/>
</file>

<file path=customXml/itemProps3.xml><?xml version="1.0" encoding="utf-8"?>
<ds:datastoreItem xmlns:ds="http://schemas.openxmlformats.org/officeDocument/2006/customXml" ds:itemID="{61CB80C1-2970-401C-B13E-E2DFECDEFE6B}"/>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