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22 februari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14.30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30 januari, onsdagen den 31 januari och fredagen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Larry Söder (KD)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 Torsdagen den 8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2023/24:419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Fackliga rättigheter och svenskt bistånd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2023/24:461 av Ewa Pihl Krabbe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 till akutpsykiatrimottagning kvällar och nätter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2023/24:469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Tullens ökade åtaganden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2023/24:470 av Mikael Damberg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Bostadskrisens konsekvenser för svensk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2023/24:471 av Serkan Köse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Ekonomiska hinder för barns idrottsdeltagande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2023/24:492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Inflationens konsekvenser för hushållens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2023/24:496 av Anna Wallentheim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till idrott för människor med funktionshinder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2023/24:506 av Ida Ekeroth Clausson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ökande antal konkurser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2023/24:525 av Gunilla Svantorp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Arbetsmarknadsutbildningars betydelse för kompetensförsörjning till bristyrken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2023/24:RS1 Riksdagsförvaltningens årsredovisning för verksamhetsåret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2023/24:RS3 Redogörelse för verksamheten inom Interparlamentariska unionen (IPU) och den svenska delegationens arbete under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2023/24:RS4 Redogörelse för behandlingen av riksdagens skrivelser till riksdagsstyrelsen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22 februari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2024-02-22</SAFIR_Sammantradesdatum_Doc>
    <SAFIR_SammantradeID xmlns="C07A1A6C-0B19-41D9-BDF8-F523BA3921EB">c6db7dfc-5c20-453a-ac62-9ef3f3ee717d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E7A6B64-F3A3-4091-A240-F4FCE8D12FA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