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15877757" w:displacedByCustomXml="next" w:id="0"/>
    <w:sdt>
      <w:sdtPr>
        <w:rPr>
          <w:rFonts w:asciiTheme="minorHAnsi" w:hAnsiTheme="minorHAnsi" w:eastAsiaTheme="minorHAnsi" w:cstheme="minorBidi"/>
          <w:sz w:val="24"/>
          <w:szCs w:val="24"/>
          <w:lang w:eastAsia="en-US"/>
          <w14:numSpacing w14:val="proportional"/>
        </w:rPr>
        <w:id w:val="-407608715"/>
        <w:docPartObj>
          <w:docPartGallery w:val="Table of Contents"/>
          <w:docPartUnique/>
        </w:docPartObj>
      </w:sdtPr>
      <w:sdtEndPr>
        <w:rPr>
          <w:b/>
          <w:bCs/>
        </w:rPr>
      </w:sdtEndPr>
      <w:sdtContent>
        <w:p w:rsidRPr="009E60A9" w:rsidR="00DC3BC2" w:rsidP="009E60A9" w:rsidRDefault="00DC3BC2" w14:paraId="7319CDA0" w14:textId="77777777">
          <w:pPr>
            <w:pStyle w:val="Rubrik1numrerat"/>
          </w:pPr>
          <w:r w:rsidRPr="009E60A9">
            <w:t>Innehållsförteckning</w:t>
          </w:r>
          <w:bookmarkEnd w:id="0"/>
        </w:p>
        <w:p w:rsidR="002C4FD7" w:rsidRDefault="005B7AF0" w14:paraId="74688395" w14:textId="151CE9C3">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sidR="002C4FD7">
            <w:rPr>
              <w:noProof/>
            </w:rPr>
            <w:t>1</w:t>
          </w:r>
          <w:r w:rsidRPr="004E1EF1" w:rsidR="002C4FD7">
            <w:rPr>
              <w:noProof/>
            </w:rPr>
            <w:t xml:space="preserve"> </w:t>
          </w:r>
          <w:r w:rsidR="002C4FD7">
            <w:rPr>
              <w:noProof/>
            </w:rPr>
            <w:t>Innehållsförteckning</w:t>
          </w:r>
          <w:r w:rsidR="002C4FD7">
            <w:rPr>
              <w:noProof/>
            </w:rPr>
            <w:tab/>
          </w:r>
          <w:r w:rsidR="002C4FD7">
            <w:rPr>
              <w:noProof/>
            </w:rPr>
            <w:fldChar w:fldCharType="begin"/>
          </w:r>
          <w:r w:rsidR="002C4FD7">
            <w:rPr>
              <w:noProof/>
            </w:rPr>
            <w:instrText xml:space="preserve"> PAGEREF _Toc115877757 \h </w:instrText>
          </w:r>
          <w:r w:rsidR="002C4FD7">
            <w:rPr>
              <w:noProof/>
            </w:rPr>
          </w:r>
          <w:r w:rsidR="002C4FD7">
            <w:rPr>
              <w:noProof/>
            </w:rPr>
            <w:fldChar w:fldCharType="separate"/>
          </w:r>
          <w:r w:rsidR="002C4FD7">
            <w:rPr>
              <w:noProof/>
            </w:rPr>
            <w:t>1</w:t>
          </w:r>
          <w:r w:rsidR="002C4FD7">
            <w:rPr>
              <w:noProof/>
            </w:rPr>
            <w:fldChar w:fldCharType="end"/>
          </w:r>
        </w:p>
        <w:p w:rsidR="002C4FD7" w:rsidRDefault="002C4FD7" w14:paraId="688CE03D" w14:textId="14215B94">
          <w:pPr>
            <w:pStyle w:val="Innehll1"/>
            <w:tabs>
              <w:tab w:val="right" w:leader="dot" w:pos="8494"/>
            </w:tabs>
            <w:rPr>
              <w:rFonts w:eastAsiaTheme="minorEastAsia"/>
              <w:noProof/>
              <w:kern w:val="0"/>
              <w:sz w:val="22"/>
              <w:szCs w:val="22"/>
              <w:lang w:eastAsia="sv-SE"/>
              <w14:numSpacing w14:val="default"/>
            </w:rPr>
          </w:pPr>
          <w:r>
            <w:rPr>
              <w:noProof/>
            </w:rPr>
            <w:t>2 Förslag till riksdagsbeslut</w:t>
          </w:r>
          <w:r>
            <w:rPr>
              <w:noProof/>
            </w:rPr>
            <w:tab/>
          </w:r>
          <w:r>
            <w:rPr>
              <w:noProof/>
            </w:rPr>
            <w:fldChar w:fldCharType="begin"/>
          </w:r>
          <w:r>
            <w:rPr>
              <w:noProof/>
            </w:rPr>
            <w:instrText xml:space="preserve"> PAGEREF _Toc115877758 \h </w:instrText>
          </w:r>
          <w:r>
            <w:rPr>
              <w:noProof/>
            </w:rPr>
          </w:r>
          <w:r>
            <w:rPr>
              <w:noProof/>
            </w:rPr>
            <w:fldChar w:fldCharType="separate"/>
          </w:r>
          <w:r>
            <w:rPr>
              <w:noProof/>
            </w:rPr>
            <w:t>2</w:t>
          </w:r>
          <w:r>
            <w:rPr>
              <w:noProof/>
            </w:rPr>
            <w:fldChar w:fldCharType="end"/>
          </w:r>
        </w:p>
        <w:p w:rsidR="002C4FD7" w:rsidRDefault="002C4FD7" w14:paraId="7F8380C3" w14:textId="7AB8712F">
          <w:pPr>
            <w:pStyle w:val="Innehll1"/>
            <w:tabs>
              <w:tab w:val="right" w:leader="dot" w:pos="8494"/>
            </w:tabs>
            <w:rPr>
              <w:rFonts w:eastAsiaTheme="minorEastAsia"/>
              <w:noProof/>
              <w:kern w:val="0"/>
              <w:sz w:val="22"/>
              <w:szCs w:val="22"/>
              <w:lang w:eastAsia="sv-SE"/>
              <w14:numSpacing w14:val="default"/>
            </w:rPr>
          </w:pPr>
          <w:r>
            <w:rPr>
              <w:noProof/>
            </w:rPr>
            <w:t>3 Bakgrund</w:t>
          </w:r>
          <w:r>
            <w:rPr>
              <w:noProof/>
            </w:rPr>
            <w:tab/>
          </w:r>
          <w:r>
            <w:rPr>
              <w:noProof/>
            </w:rPr>
            <w:fldChar w:fldCharType="begin"/>
          </w:r>
          <w:r>
            <w:rPr>
              <w:noProof/>
            </w:rPr>
            <w:instrText xml:space="preserve"> PAGEREF _Toc115877759 \h </w:instrText>
          </w:r>
          <w:r>
            <w:rPr>
              <w:noProof/>
            </w:rPr>
          </w:r>
          <w:r>
            <w:rPr>
              <w:noProof/>
            </w:rPr>
            <w:fldChar w:fldCharType="separate"/>
          </w:r>
          <w:r>
            <w:rPr>
              <w:noProof/>
            </w:rPr>
            <w:t>3</w:t>
          </w:r>
          <w:r>
            <w:rPr>
              <w:noProof/>
            </w:rPr>
            <w:fldChar w:fldCharType="end"/>
          </w:r>
        </w:p>
        <w:p w:rsidR="002C4FD7" w:rsidRDefault="002C4FD7" w14:paraId="72EFBBA9" w14:textId="39CB1872">
          <w:pPr>
            <w:pStyle w:val="Innehll1"/>
            <w:tabs>
              <w:tab w:val="right" w:leader="dot" w:pos="8494"/>
            </w:tabs>
            <w:rPr>
              <w:rFonts w:eastAsiaTheme="minorEastAsia"/>
              <w:noProof/>
              <w:kern w:val="0"/>
              <w:sz w:val="22"/>
              <w:szCs w:val="22"/>
              <w:lang w:eastAsia="sv-SE"/>
              <w14:numSpacing w14:val="default"/>
            </w:rPr>
          </w:pPr>
          <w:r>
            <w:rPr>
              <w:noProof/>
            </w:rPr>
            <w:t>4 Ett globalt problem</w:t>
          </w:r>
          <w:r>
            <w:rPr>
              <w:noProof/>
            </w:rPr>
            <w:tab/>
          </w:r>
          <w:r>
            <w:rPr>
              <w:noProof/>
            </w:rPr>
            <w:fldChar w:fldCharType="begin"/>
          </w:r>
          <w:r>
            <w:rPr>
              <w:noProof/>
            </w:rPr>
            <w:instrText xml:space="preserve"> PAGEREF _Toc115877760 \h </w:instrText>
          </w:r>
          <w:r>
            <w:rPr>
              <w:noProof/>
            </w:rPr>
          </w:r>
          <w:r>
            <w:rPr>
              <w:noProof/>
            </w:rPr>
            <w:fldChar w:fldCharType="separate"/>
          </w:r>
          <w:r>
            <w:rPr>
              <w:noProof/>
            </w:rPr>
            <w:t>3</w:t>
          </w:r>
          <w:r>
            <w:rPr>
              <w:noProof/>
            </w:rPr>
            <w:fldChar w:fldCharType="end"/>
          </w:r>
        </w:p>
        <w:p w:rsidR="002C4FD7" w:rsidRDefault="002C4FD7" w14:paraId="71FF484A" w14:textId="54E413BA">
          <w:pPr>
            <w:pStyle w:val="Innehll2"/>
            <w:tabs>
              <w:tab w:val="right" w:leader="dot" w:pos="8494"/>
            </w:tabs>
            <w:rPr>
              <w:rFonts w:eastAsiaTheme="minorEastAsia"/>
              <w:noProof/>
              <w:kern w:val="0"/>
              <w:sz w:val="22"/>
              <w:szCs w:val="22"/>
              <w:lang w:eastAsia="sv-SE"/>
              <w14:numSpacing w14:val="default"/>
            </w:rPr>
          </w:pPr>
          <w:r>
            <w:rPr>
              <w:noProof/>
            </w:rPr>
            <w:t>4.1 Storleken på skatteundandragandet</w:t>
          </w:r>
          <w:r>
            <w:rPr>
              <w:noProof/>
            </w:rPr>
            <w:tab/>
          </w:r>
          <w:r>
            <w:rPr>
              <w:noProof/>
            </w:rPr>
            <w:fldChar w:fldCharType="begin"/>
          </w:r>
          <w:r>
            <w:rPr>
              <w:noProof/>
            </w:rPr>
            <w:instrText xml:space="preserve"> PAGEREF _Toc115877761 \h </w:instrText>
          </w:r>
          <w:r>
            <w:rPr>
              <w:noProof/>
            </w:rPr>
          </w:r>
          <w:r>
            <w:rPr>
              <w:noProof/>
            </w:rPr>
            <w:fldChar w:fldCharType="separate"/>
          </w:r>
          <w:r>
            <w:rPr>
              <w:noProof/>
            </w:rPr>
            <w:t>3</w:t>
          </w:r>
          <w:r>
            <w:rPr>
              <w:noProof/>
            </w:rPr>
            <w:fldChar w:fldCharType="end"/>
          </w:r>
        </w:p>
        <w:p w:rsidR="002C4FD7" w:rsidRDefault="002C4FD7" w14:paraId="69852F7F" w14:textId="0E683656">
          <w:pPr>
            <w:pStyle w:val="Innehll2"/>
            <w:tabs>
              <w:tab w:val="right" w:leader="dot" w:pos="8494"/>
            </w:tabs>
            <w:rPr>
              <w:rFonts w:eastAsiaTheme="minorEastAsia"/>
              <w:noProof/>
              <w:kern w:val="0"/>
              <w:sz w:val="22"/>
              <w:szCs w:val="22"/>
              <w:lang w:eastAsia="sv-SE"/>
              <w14:numSpacing w14:val="default"/>
            </w:rPr>
          </w:pPr>
          <w:r>
            <w:rPr>
              <w:noProof/>
            </w:rPr>
            <w:t>4.2 Företagsskatter</w:t>
          </w:r>
          <w:r>
            <w:rPr>
              <w:noProof/>
            </w:rPr>
            <w:tab/>
          </w:r>
          <w:r>
            <w:rPr>
              <w:noProof/>
            </w:rPr>
            <w:fldChar w:fldCharType="begin"/>
          </w:r>
          <w:r>
            <w:rPr>
              <w:noProof/>
            </w:rPr>
            <w:instrText xml:space="preserve"> PAGEREF _Toc115877762 \h </w:instrText>
          </w:r>
          <w:r>
            <w:rPr>
              <w:noProof/>
            </w:rPr>
          </w:r>
          <w:r>
            <w:rPr>
              <w:noProof/>
            </w:rPr>
            <w:fldChar w:fldCharType="separate"/>
          </w:r>
          <w:r>
            <w:rPr>
              <w:noProof/>
            </w:rPr>
            <w:t>4</w:t>
          </w:r>
          <w:r>
            <w:rPr>
              <w:noProof/>
            </w:rPr>
            <w:fldChar w:fldCharType="end"/>
          </w:r>
        </w:p>
        <w:p w:rsidR="002C4FD7" w:rsidRDefault="002C4FD7" w14:paraId="357C1BA4" w14:textId="3675A662">
          <w:pPr>
            <w:pStyle w:val="Innehll2"/>
            <w:tabs>
              <w:tab w:val="right" w:leader="dot" w:pos="8494"/>
            </w:tabs>
            <w:rPr>
              <w:rFonts w:eastAsiaTheme="minorEastAsia"/>
              <w:noProof/>
              <w:kern w:val="0"/>
              <w:sz w:val="22"/>
              <w:szCs w:val="22"/>
              <w:lang w:eastAsia="sv-SE"/>
              <w14:numSpacing w14:val="default"/>
            </w:rPr>
          </w:pPr>
          <w:r>
            <w:rPr>
              <w:noProof/>
            </w:rPr>
            <w:t>4.3 Privat skatteflykt utomlands</w:t>
          </w:r>
          <w:r>
            <w:rPr>
              <w:noProof/>
            </w:rPr>
            <w:tab/>
          </w:r>
          <w:r>
            <w:rPr>
              <w:noProof/>
            </w:rPr>
            <w:fldChar w:fldCharType="begin"/>
          </w:r>
          <w:r>
            <w:rPr>
              <w:noProof/>
            </w:rPr>
            <w:instrText xml:space="preserve"> PAGEREF _Toc115877763 \h </w:instrText>
          </w:r>
          <w:r>
            <w:rPr>
              <w:noProof/>
            </w:rPr>
          </w:r>
          <w:r>
            <w:rPr>
              <w:noProof/>
            </w:rPr>
            <w:fldChar w:fldCharType="separate"/>
          </w:r>
          <w:r>
            <w:rPr>
              <w:noProof/>
            </w:rPr>
            <w:t>5</w:t>
          </w:r>
          <w:r>
            <w:rPr>
              <w:noProof/>
            </w:rPr>
            <w:fldChar w:fldCharType="end"/>
          </w:r>
        </w:p>
        <w:p w:rsidR="002C4FD7" w:rsidRDefault="002C4FD7" w14:paraId="753D29C2" w14:textId="6DBBC5B3">
          <w:pPr>
            <w:pStyle w:val="Innehll2"/>
            <w:tabs>
              <w:tab w:val="right" w:leader="dot" w:pos="8494"/>
            </w:tabs>
            <w:rPr>
              <w:rFonts w:eastAsiaTheme="minorEastAsia"/>
              <w:noProof/>
              <w:kern w:val="0"/>
              <w:sz w:val="22"/>
              <w:szCs w:val="22"/>
              <w:lang w:eastAsia="sv-SE"/>
              <w14:numSpacing w14:val="default"/>
            </w:rPr>
          </w:pPr>
          <w:r>
            <w:rPr>
              <w:noProof/>
            </w:rPr>
            <w:t>4.4 Det svenska skatteundandragandet</w:t>
          </w:r>
          <w:r>
            <w:rPr>
              <w:noProof/>
            </w:rPr>
            <w:tab/>
          </w:r>
          <w:r>
            <w:rPr>
              <w:noProof/>
            </w:rPr>
            <w:fldChar w:fldCharType="begin"/>
          </w:r>
          <w:r>
            <w:rPr>
              <w:noProof/>
            </w:rPr>
            <w:instrText xml:space="preserve"> PAGEREF _Toc115877764 \h </w:instrText>
          </w:r>
          <w:r>
            <w:rPr>
              <w:noProof/>
            </w:rPr>
          </w:r>
          <w:r>
            <w:rPr>
              <w:noProof/>
            </w:rPr>
            <w:fldChar w:fldCharType="separate"/>
          </w:r>
          <w:r>
            <w:rPr>
              <w:noProof/>
            </w:rPr>
            <w:t>6</w:t>
          </w:r>
          <w:r>
            <w:rPr>
              <w:noProof/>
            </w:rPr>
            <w:fldChar w:fldCharType="end"/>
          </w:r>
        </w:p>
        <w:p w:rsidR="002C4FD7" w:rsidRDefault="002C4FD7" w14:paraId="4677E6BF" w14:textId="772A39A3">
          <w:pPr>
            <w:pStyle w:val="Innehll1"/>
            <w:tabs>
              <w:tab w:val="right" w:leader="dot" w:pos="8494"/>
            </w:tabs>
            <w:rPr>
              <w:rFonts w:eastAsiaTheme="minorEastAsia"/>
              <w:noProof/>
              <w:kern w:val="0"/>
              <w:sz w:val="22"/>
              <w:szCs w:val="22"/>
              <w:lang w:eastAsia="sv-SE"/>
              <w14:numSpacing w14:val="default"/>
            </w:rPr>
          </w:pPr>
          <w:r>
            <w:rPr>
              <w:noProof/>
            </w:rPr>
            <w:t>5 Kriminalisera skatteflykt</w:t>
          </w:r>
          <w:r>
            <w:rPr>
              <w:noProof/>
            </w:rPr>
            <w:tab/>
          </w:r>
          <w:r>
            <w:rPr>
              <w:noProof/>
            </w:rPr>
            <w:fldChar w:fldCharType="begin"/>
          </w:r>
          <w:r>
            <w:rPr>
              <w:noProof/>
            </w:rPr>
            <w:instrText xml:space="preserve"> PAGEREF _Toc115877765 \h </w:instrText>
          </w:r>
          <w:r>
            <w:rPr>
              <w:noProof/>
            </w:rPr>
          </w:r>
          <w:r>
            <w:rPr>
              <w:noProof/>
            </w:rPr>
            <w:fldChar w:fldCharType="separate"/>
          </w:r>
          <w:r>
            <w:rPr>
              <w:noProof/>
            </w:rPr>
            <w:t>7</w:t>
          </w:r>
          <w:r>
            <w:rPr>
              <w:noProof/>
            </w:rPr>
            <w:fldChar w:fldCharType="end"/>
          </w:r>
        </w:p>
        <w:p w:rsidR="002C4FD7" w:rsidRDefault="002C4FD7" w14:paraId="00DBFD31" w14:textId="7E3414A2">
          <w:pPr>
            <w:pStyle w:val="Innehll1"/>
            <w:tabs>
              <w:tab w:val="right" w:leader="dot" w:pos="8494"/>
            </w:tabs>
            <w:rPr>
              <w:rFonts w:eastAsiaTheme="minorEastAsia"/>
              <w:noProof/>
              <w:kern w:val="0"/>
              <w:sz w:val="22"/>
              <w:szCs w:val="22"/>
              <w:lang w:eastAsia="sv-SE"/>
              <w14:numSpacing w14:val="default"/>
            </w:rPr>
          </w:pPr>
          <w:r>
            <w:rPr>
              <w:noProof/>
            </w:rPr>
            <w:t>6 Offentlig land-för-land-rapportering</w:t>
          </w:r>
          <w:r>
            <w:rPr>
              <w:noProof/>
            </w:rPr>
            <w:tab/>
          </w:r>
          <w:r>
            <w:rPr>
              <w:noProof/>
            </w:rPr>
            <w:fldChar w:fldCharType="begin"/>
          </w:r>
          <w:r>
            <w:rPr>
              <w:noProof/>
            </w:rPr>
            <w:instrText xml:space="preserve"> PAGEREF _Toc115877766 \h </w:instrText>
          </w:r>
          <w:r>
            <w:rPr>
              <w:noProof/>
            </w:rPr>
          </w:r>
          <w:r>
            <w:rPr>
              <w:noProof/>
            </w:rPr>
            <w:fldChar w:fldCharType="separate"/>
          </w:r>
          <w:r>
            <w:rPr>
              <w:noProof/>
            </w:rPr>
            <w:t>8</w:t>
          </w:r>
          <w:r>
            <w:rPr>
              <w:noProof/>
            </w:rPr>
            <w:fldChar w:fldCharType="end"/>
          </w:r>
        </w:p>
        <w:p w:rsidR="002C4FD7" w:rsidRDefault="002C4FD7" w14:paraId="128CDF13" w14:textId="0A197A14">
          <w:pPr>
            <w:pStyle w:val="Innehll1"/>
            <w:tabs>
              <w:tab w:val="right" w:leader="dot" w:pos="8494"/>
            </w:tabs>
            <w:rPr>
              <w:rFonts w:eastAsiaTheme="minorEastAsia"/>
              <w:noProof/>
              <w:kern w:val="0"/>
              <w:sz w:val="22"/>
              <w:szCs w:val="22"/>
              <w:lang w:eastAsia="sv-SE"/>
              <w14:numSpacing w14:val="default"/>
            </w:rPr>
          </w:pPr>
          <w:r>
            <w:rPr>
              <w:noProof/>
            </w:rPr>
            <w:t>7 EU:s svarta lista</w:t>
          </w:r>
          <w:r>
            <w:rPr>
              <w:noProof/>
            </w:rPr>
            <w:tab/>
          </w:r>
          <w:r>
            <w:rPr>
              <w:noProof/>
            </w:rPr>
            <w:fldChar w:fldCharType="begin"/>
          </w:r>
          <w:r>
            <w:rPr>
              <w:noProof/>
            </w:rPr>
            <w:instrText xml:space="preserve"> PAGEREF _Toc115877767 \h </w:instrText>
          </w:r>
          <w:r>
            <w:rPr>
              <w:noProof/>
            </w:rPr>
          </w:r>
          <w:r>
            <w:rPr>
              <w:noProof/>
            </w:rPr>
            <w:fldChar w:fldCharType="separate"/>
          </w:r>
          <w:r>
            <w:rPr>
              <w:noProof/>
            </w:rPr>
            <w:t>9</w:t>
          </w:r>
          <w:r>
            <w:rPr>
              <w:noProof/>
            </w:rPr>
            <w:fldChar w:fldCharType="end"/>
          </w:r>
        </w:p>
        <w:p w:rsidR="002C4FD7" w:rsidRDefault="002C4FD7" w14:paraId="41569E11" w14:textId="45CBEDC0">
          <w:pPr>
            <w:pStyle w:val="Innehll1"/>
            <w:tabs>
              <w:tab w:val="right" w:leader="dot" w:pos="8494"/>
            </w:tabs>
            <w:rPr>
              <w:rFonts w:eastAsiaTheme="minorEastAsia"/>
              <w:noProof/>
              <w:kern w:val="0"/>
              <w:sz w:val="22"/>
              <w:szCs w:val="22"/>
              <w:lang w:eastAsia="sv-SE"/>
              <w14:numSpacing w14:val="default"/>
            </w:rPr>
          </w:pPr>
          <w:r>
            <w:rPr>
              <w:noProof/>
            </w:rPr>
            <w:t>8 Rapporteringsskyldighet</w:t>
          </w:r>
          <w:r>
            <w:rPr>
              <w:noProof/>
            </w:rPr>
            <w:tab/>
          </w:r>
          <w:r>
            <w:rPr>
              <w:noProof/>
            </w:rPr>
            <w:fldChar w:fldCharType="begin"/>
          </w:r>
          <w:r>
            <w:rPr>
              <w:noProof/>
            </w:rPr>
            <w:instrText xml:space="preserve"> PAGEREF _Toc115877768 \h </w:instrText>
          </w:r>
          <w:r>
            <w:rPr>
              <w:noProof/>
            </w:rPr>
          </w:r>
          <w:r>
            <w:rPr>
              <w:noProof/>
            </w:rPr>
            <w:fldChar w:fldCharType="separate"/>
          </w:r>
          <w:r>
            <w:rPr>
              <w:noProof/>
            </w:rPr>
            <w:t>10</w:t>
          </w:r>
          <w:r>
            <w:rPr>
              <w:noProof/>
            </w:rPr>
            <w:fldChar w:fldCharType="end"/>
          </w:r>
        </w:p>
        <w:p w:rsidR="002C4FD7" w:rsidRDefault="002C4FD7" w14:paraId="32FAC011" w14:textId="706631D0">
          <w:pPr>
            <w:pStyle w:val="Innehll1"/>
            <w:tabs>
              <w:tab w:val="right" w:leader="dot" w:pos="8494"/>
            </w:tabs>
            <w:rPr>
              <w:rFonts w:eastAsiaTheme="minorEastAsia"/>
              <w:noProof/>
              <w:kern w:val="0"/>
              <w:sz w:val="22"/>
              <w:szCs w:val="22"/>
              <w:lang w:eastAsia="sv-SE"/>
              <w14:numSpacing w14:val="default"/>
            </w:rPr>
          </w:pPr>
          <w:r>
            <w:rPr>
              <w:noProof/>
            </w:rPr>
            <w:t>9 Bankernas roll och tillgångsbaserade böter</w:t>
          </w:r>
          <w:r>
            <w:rPr>
              <w:noProof/>
            </w:rPr>
            <w:tab/>
          </w:r>
          <w:r>
            <w:rPr>
              <w:noProof/>
            </w:rPr>
            <w:fldChar w:fldCharType="begin"/>
          </w:r>
          <w:r>
            <w:rPr>
              <w:noProof/>
            </w:rPr>
            <w:instrText xml:space="preserve"> PAGEREF _Toc115877769 \h </w:instrText>
          </w:r>
          <w:r>
            <w:rPr>
              <w:noProof/>
            </w:rPr>
          </w:r>
          <w:r>
            <w:rPr>
              <w:noProof/>
            </w:rPr>
            <w:fldChar w:fldCharType="separate"/>
          </w:r>
          <w:r>
            <w:rPr>
              <w:noProof/>
            </w:rPr>
            <w:t>11</w:t>
          </w:r>
          <w:r>
            <w:rPr>
              <w:noProof/>
            </w:rPr>
            <w:fldChar w:fldCharType="end"/>
          </w:r>
        </w:p>
        <w:p w:rsidR="002C4FD7" w:rsidRDefault="002C4FD7" w14:paraId="58A70BB7" w14:textId="0EB30E8C">
          <w:pPr>
            <w:pStyle w:val="Innehll1"/>
            <w:tabs>
              <w:tab w:val="right" w:leader="dot" w:pos="8494"/>
            </w:tabs>
            <w:rPr>
              <w:rFonts w:eastAsiaTheme="minorEastAsia"/>
              <w:noProof/>
              <w:kern w:val="0"/>
              <w:sz w:val="22"/>
              <w:szCs w:val="22"/>
              <w:lang w:eastAsia="sv-SE"/>
              <w14:numSpacing w14:val="default"/>
            </w:rPr>
          </w:pPr>
          <w:r>
            <w:rPr>
              <w:noProof/>
            </w:rPr>
            <w:t>10 Stiftelser</w:t>
          </w:r>
          <w:r>
            <w:rPr>
              <w:noProof/>
            </w:rPr>
            <w:tab/>
          </w:r>
          <w:r>
            <w:rPr>
              <w:noProof/>
            </w:rPr>
            <w:fldChar w:fldCharType="begin"/>
          </w:r>
          <w:r>
            <w:rPr>
              <w:noProof/>
            </w:rPr>
            <w:instrText xml:space="preserve"> PAGEREF _Toc115877770 \h </w:instrText>
          </w:r>
          <w:r>
            <w:rPr>
              <w:noProof/>
            </w:rPr>
          </w:r>
          <w:r>
            <w:rPr>
              <w:noProof/>
            </w:rPr>
            <w:fldChar w:fldCharType="separate"/>
          </w:r>
          <w:r>
            <w:rPr>
              <w:noProof/>
            </w:rPr>
            <w:t>12</w:t>
          </w:r>
          <w:r>
            <w:rPr>
              <w:noProof/>
            </w:rPr>
            <w:fldChar w:fldCharType="end"/>
          </w:r>
        </w:p>
        <w:p w:rsidR="002C4FD7" w:rsidRDefault="002C4FD7" w14:paraId="1B794685" w14:textId="639760E7">
          <w:pPr>
            <w:pStyle w:val="Innehll1"/>
            <w:tabs>
              <w:tab w:val="right" w:leader="dot" w:pos="8494"/>
            </w:tabs>
            <w:rPr>
              <w:rFonts w:eastAsiaTheme="minorEastAsia"/>
              <w:noProof/>
              <w:kern w:val="0"/>
              <w:sz w:val="22"/>
              <w:szCs w:val="22"/>
              <w:lang w:eastAsia="sv-SE"/>
              <w14:numSpacing w14:val="default"/>
            </w:rPr>
          </w:pPr>
          <w:r>
            <w:rPr>
              <w:noProof/>
            </w:rPr>
            <w:t>11 Globalt samarbete</w:t>
          </w:r>
          <w:r>
            <w:rPr>
              <w:noProof/>
            </w:rPr>
            <w:tab/>
          </w:r>
          <w:r>
            <w:rPr>
              <w:noProof/>
            </w:rPr>
            <w:fldChar w:fldCharType="begin"/>
          </w:r>
          <w:r>
            <w:rPr>
              <w:noProof/>
            </w:rPr>
            <w:instrText xml:space="preserve"> PAGEREF _Toc115877771 \h </w:instrText>
          </w:r>
          <w:r>
            <w:rPr>
              <w:noProof/>
            </w:rPr>
          </w:r>
          <w:r>
            <w:rPr>
              <w:noProof/>
            </w:rPr>
            <w:fldChar w:fldCharType="separate"/>
          </w:r>
          <w:r>
            <w:rPr>
              <w:noProof/>
            </w:rPr>
            <w:t>12</w:t>
          </w:r>
          <w:r>
            <w:rPr>
              <w:noProof/>
            </w:rPr>
            <w:fldChar w:fldCharType="end"/>
          </w:r>
        </w:p>
        <w:p w:rsidR="002C4FD7" w:rsidRDefault="002C4FD7" w14:paraId="16932A65" w14:textId="7CCBB1A6">
          <w:pPr>
            <w:pStyle w:val="Innehll1"/>
            <w:tabs>
              <w:tab w:val="right" w:leader="dot" w:pos="8494"/>
            </w:tabs>
            <w:rPr>
              <w:rFonts w:eastAsiaTheme="minorEastAsia"/>
              <w:noProof/>
              <w:kern w:val="0"/>
              <w:sz w:val="22"/>
              <w:szCs w:val="22"/>
              <w:lang w:eastAsia="sv-SE"/>
              <w14:numSpacing w14:val="default"/>
            </w:rPr>
          </w:pPr>
          <w:r>
            <w:rPr>
              <w:noProof/>
            </w:rPr>
            <w:t>12 Inför en utflyttningsskatt</w:t>
          </w:r>
          <w:r>
            <w:rPr>
              <w:noProof/>
            </w:rPr>
            <w:tab/>
          </w:r>
          <w:r>
            <w:rPr>
              <w:noProof/>
            </w:rPr>
            <w:fldChar w:fldCharType="begin"/>
          </w:r>
          <w:r>
            <w:rPr>
              <w:noProof/>
            </w:rPr>
            <w:instrText xml:space="preserve"> PAGEREF _Toc115877772 \h </w:instrText>
          </w:r>
          <w:r>
            <w:rPr>
              <w:noProof/>
            </w:rPr>
          </w:r>
          <w:r>
            <w:rPr>
              <w:noProof/>
            </w:rPr>
            <w:fldChar w:fldCharType="separate"/>
          </w:r>
          <w:r>
            <w:rPr>
              <w:noProof/>
            </w:rPr>
            <w:t>13</w:t>
          </w:r>
          <w:r>
            <w:rPr>
              <w:noProof/>
            </w:rPr>
            <w:fldChar w:fldCharType="end"/>
          </w:r>
        </w:p>
        <w:p w:rsidR="002C4FD7" w:rsidRDefault="002C4FD7" w14:paraId="26CE2282" w14:textId="41084E09">
          <w:pPr>
            <w:pStyle w:val="Innehll1"/>
            <w:tabs>
              <w:tab w:val="right" w:leader="dot" w:pos="8494"/>
            </w:tabs>
            <w:rPr>
              <w:rFonts w:eastAsiaTheme="minorEastAsia"/>
              <w:noProof/>
              <w:kern w:val="0"/>
              <w:sz w:val="22"/>
              <w:szCs w:val="22"/>
              <w:lang w:eastAsia="sv-SE"/>
              <w14:numSpacing w14:val="default"/>
            </w:rPr>
          </w:pPr>
          <w:r>
            <w:rPr>
              <w:noProof/>
            </w:rPr>
            <w:t>13 Land-för-land-rapportering för privatpersoner</w:t>
          </w:r>
          <w:r>
            <w:rPr>
              <w:noProof/>
            </w:rPr>
            <w:tab/>
          </w:r>
          <w:r>
            <w:rPr>
              <w:noProof/>
            </w:rPr>
            <w:fldChar w:fldCharType="begin"/>
          </w:r>
          <w:r>
            <w:rPr>
              <w:noProof/>
            </w:rPr>
            <w:instrText xml:space="preserve"> PAGEREF _Toc115877773 \h </w:instrText>
          </w:r>
          <w:r>
            <w:rPr>
              <w:noProof/>
            </w:rPr>
          </w:r>
          <w:r>
            <w:rPr>
              <w:noProof/>
            </w:rPr>
            <w:fldChar w:fldCharType="separate"/>
          </w:r>
          <w:r>
            <w:rPr>
              <w:noProof/>
            </w:rPr>
            <w:t>13</w:t>
          </w:r>
          <w:r>
            <w:rPr>
              <w:noProof/>
            </w:rPr>
            <w:fldChar w:fldCharType="end"/>
          </w:r>
        </w:p>
        <w:p w:rsidR="002C4FD7" w:rsidRDefault="002C4FD7" w14:paraId="4D0EA972" w14:textId="0530E011">
          <w:pPr>
            <w:pStyle w:val="Innehll1"/>
            <w:tabs>
              <w:tab w:val="right" w:leader="dot" w:pos="8494"/>
            </w:tabs>
            <w:rPr>
              <w:rFonts w:eastAsiaTheme="minorEastAsia"/>
              <w:noProof/>
              <w:kern w:val="0"/>
              <w:sz w:val="22"/>
              <w:szCs w:val="22"/>
              <w:lang w:eastAsia="sv-SE"/>
              <w14:numSpacing w14:val="default"/>
            </w:rPr>
          </w:pPr>
          <w:r>
            <w:rPr>
              <w:noProof/>
            </w:rPr>
            <w:t>14 Offentlig upphandling</w:t>
          </w:r>
          <w:r>
            <w:rPr>
              <w:noProof/>
            </w:rPr>
            <w:tab/>
          </w:r>
          <w:r>
            <w:rPr>
              <w:noProof/>
            </w:rPr>
            <w:fldChar w:fldCharType="begin"/>
          </w:r>
          <w:r>
            <w:rPr>
              <w:noProof/>
            </w:rPr>
            <w:instrText xml:space="preserve"> PAGEREF _Toc115877774 \h </w:instrText>
          </w:r>
          <w:r>
            <w:rPr>
              <w:noProof/>
            </w:rPr>
          </w:r>
          <w:r>
            <w:rPr>
              <w:noProof/>
            </w:rPr>
            <w:fldChar w:fldCharType="separate"/>
          </w:r>
          <w:r>
            <w:rPr>
              <w:noProof/>
            </w:rPr>
            <w:t>14</w:t>
          </w:r>
          <w:r>
            <w:rPr>
              <w:noProof/>
            </w:rPr>
            <w:fldChar w:fldCharType="end"/>
          </w:r>
        </w:p>
        <w:p w:rsidR="002C4FD7" w:rsidRDefault="002C4FD7" w14:paraId="46875A8C" w14:textId="0C3EFECF">
          <w:pPr>
            <w:pStyle w:val="Innehll1"/>
            <w:tabs>
              <w:tab w:val="right" w:leader="dot" w:pos="8494"/>
            </w:tabs>
            <w:rPr>
              <w:rFonts w:eastAsiaTheme="minorEastAsia"/>
              <w:noProof/>
              <w:kern w:val="0"/>
              <w:sz w:val="22"/>
              <w:szCs w:val="22"/>
              <w:lang w:eastAsia="sv-SE"/>
              <w14:numSpacing w14:val="default"/>
            </w:rPr>
          </w:pPr>
          <w:r>
            <w:rPr>
              <w:noProof/>
            </w:rPr>
            <w:t>15 Ordning och reda på arbetsmarknaden</w:t>
          </w:r>
          <w:r>
            <w:rPr>
              <w:noProof/>
            </w:rPr>
            <w:tab/>
          </w:r>
          <w:r>
            <w:rPr>
              <w:noProof/>
            </w:rPr>
            <w:fldChar w:fldCharType="begin"/>
          </w:r>
          <w:r>
            <w:rPr>
              <w:noProof/>
            </w:rPr>
            <w:instrText xml:space="preserve"> PAGEREF _Toc115877775 \h </w:instrText>
          </w:r>
          <w:r>
            <w:rPr>
              <w:noProof/>
            </w:rPr>
          </w:r>
          <w:r>
            <w:rPr>
              <w:noProof/>
            </w:rPr>
            <w:fldChar w:fldCharType="separate"/>
          </w:r>
          <w:r>
            <w:rPr>
              <w:noProof/>
            </w:rPr>
            <w:t>14</w:t>
          </w:r>
          <w:r>
            <w:rPr>
              <w:noProof/>
            </w:rPr>
            <w:fldChar w:fldCharType="end"/>
          </w:r>
        </w:p>
        <w:p w:rsidR="00DC3BC2" w:rsidRDefault="005B7AF0" w14:paraId="7319CDB4" w14:textId="51A9886C">
          <w:r>
            <w:fldChar w:fldCharType="end"/>
          </w:r>
        </w:p>
      </w:sdtContent>
    </w:sdt>
    <w:p w:rsidR="009E60A9" w:rsidRDefault="009E60A9" w14:paraId="7319CDB6" w14:textId="07F4D6DB">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15877758" w:displacedByCustomXml="next" w:id="1"/>
    <w:sdt>
      <w:sdtPr>
        <w:alias w:val="CC_Boilerplate_4"/>
        <w:tag w:val="CC_Boilerplate_4"/>
        <w:id w:val="-1644581176"/>
        <w:lock w:val="sdtLocked"/>
        <w:placeholder>
          <w:docPart w:val="1AA23BB1902646EE968281C07CE4D80B"/>
        </w:placeholder>
        <w:text/>
      </w:sdtPr>
      <w:sdtEndPr/>
      <w:sdtContent>
        <w:p w:rsidRPr="009E60A9" w:rsidR="00AF30DD" w:rsidP="009E60A9" w:rsidRDefault="00AF30DD" w14:paraId="7319CDB7" w14:textId="77777777">
          <w:pPr>
            <w:pStyle w:val="Rubrik1numrerat"/>
            <w:spacing w:after="300"/>
          </w:pPr>
          <w:r w:rsidRPr="009E60A9">
            <w:t>Förslag till riksdagsbeslut</w:t>
          </w:r>
        </w:p>
      </w:sdtContent>
    </w:sdt>
    <w:bookmarkEnd w:displacedByCustomXml="prev" w:id="1"/>
    <w:sdt>
      <w:sdtPr>
        <w:alias w:val="Yrkande 1"/>
        <w:tag w:val="04ef2f2d-c20b-4796-abba-d94efaa1d5bb"/>
        <w:id w:val="860393494"/>
        <w:lock w:val="sdtLocked"/>
      </w:sdtPr>
      <w:sdtEndPr/>
      <w:sdtContent>
        <w:p w:rsidR="00B74DBD" w:rsidP="009E60A9" w:rsidRDefault="00A54A10" w14:paraId="7319CDB8" w14:textId="7379636C">
          <w:pPr>
            <w:pStyle w:val="Frslagstext"/>
            <w:spacing w:after="300"/>
          </w:pPr>
          <w:r>
            <w:t>Riksdagen ställer sig bakom det som anförs i motionen om att regeringen bör återkomma till riksdagen med förslag om en kriminalisering av skatteflykt och medhjälp till skatteflykt som innebär att dessa handlingar får kännbara påföljder och tillkännager detta för regeringen.</w:t>
          </w:r>
        </w:p>
      </w:sdtContent>
    </w:sdt>
    <w:sdt>
      <w:sdtPr>
        <w:alias w:val="Yrkande 2"/>
        <w:tag w:val="f3e94330-197e-4d43-9636-c11be26f677a"/>
        <w:id w:val="50191111"/>
        <w:lock w:val="sdtLocked"/>
      </w:sdtPr>
      <w:sdtEndPr/>
      <w:sdtContent>
        <w:p w:rsidR="00B74DBD" w:rsidRDefault="00A54A10" w14:paraId="7319CDB9" w14:textId="77777777">
          <w:pPr>
            <w:pStyle w:val="Frslagstext"/>
          </w:pPr>
          <w:r>
            <w:t>Riksdagen ställer sig bakom det som anförs i motionen om att regeringen inom EU bör driva på för att den offentliga land-för-land-rapporteringen ska gälla i samtliga länder där företagen har verksamhet och tillkännager detta för regeringen.</w:t>
          </w:r>
        </w:p>
      </w:sdtContent>
    </w:sdt>
    <w:sdt>
      <w:sdtPr>
        <w:alias w:val="Yrkande 3"/>
        <w:tag w:val="59ef0354-fd80-4ed9-824f-4a7b3041e3a1"/>
        <w:id w:val="-200712132"/>
        <w:lock w:val="sdtLocked"/>
      </w:sdtPr>
      <w:sdtEndPr/>
      <w:sdtContent>
        <w:p w:rsidR="00B74DBD" w:rsidRDefault="00A54A10" w14:paraId="7319CDBA" w14:textId="77777777">
          <w:pPr>
            <w:pStyle w:val="Frslagstext"/>
          </w:pPr>
          <w:r>
            <w:t>Riksdagen ställer sig bakom det som anförs i motionen om att regeringen inom EU bör driva på för att alla multinationella företag vars omsättning överstiger 40 miljoner euro ska omfattas av den offentliga land-för-land-rapporteringen och tillkännager detta för regeringen.</w:t>
          </w:r>
        </w:p>
      </w:sdtContent>
    </w:sdt>
    <w:sdt>
      <w:sdtPr>
        <w:alias w:val="Yrkande 4"/>
        <w:tag w:val="22acb1ff-6093-489b-adf5-e579651da4e8"/>
        <w:id w:val="1064384155"/>
        <w:lock w:val="sdtLocked"/>
      </w:sdtPr>
      <w:sdtEndPr/>
      <w:sdtContent>
        <w:p w:rsidR="00B74DBD" w:rsidRDefault="00A54A10" w14:paraId="7319CDBB" w14:textId="77777777">
          <w:pPr>
            <w:pStyle w:val="Frslagstext"/>
          </w:pPr>
          <w:r>
            <w:t>Riksdagen ställer sig bakom det som anförs i motionen om att regeringen inom ramen för arbetet i EU bör driva på för att reformera hela processen med framtagandet av den svarta listan och tillkännager detta för regeringen.</w:t>
          </w:r>
        </w:p>
      </w:sdtContent>
    </w:sdt>
    <w:sdt>
      <w:sdtPr>
        <w:alias w:val="Yrkande 5"/>
        <w:tag w:val="29887187-aef7-4639-9ac9-d7f1d8d778ea"/>
        <w:id w:val="541707214"/>
        <w:lock w:val="sdtLocked"/>
      </w:sdtPr>
      <w:sdtEndPr/>
      <w:sdtContent>
        <w:p w:rsidR="00B74DBD" w:rsidRDefault="00A54A10" w14:paraId="7319CDBC" w14:textId="77777777">
          <w:pPr>
            <w:pStyle w:val="Frslagstext"/>
          </w:pPr>
          <w:r>
            <w:t>Riksdagen ställer sig bakom det som anförs i motionen om att regeringen inom ramen för arbetet i EU bör verka för att definitionen av vad som är skadlig skattepolitik ändras så att den inkluderar mycket låga bolagsskattesatser och tillkännager detta för regeringen.</w:t>
          </w:r>
        </w:p>
      </w:sdtContent>
    </w:sdt>
    <w:sdt>
      <w:sdtPr>
        <w:alias w:val="Yrkande 6"/>
        <w:tag w:val="31ead234-dee0-48cd-84df-92bef5040807"/>
        <w:id w:val="121810808"/>
        <w:lock w:val="sdtLocked"/>
      </w:sdtPr>
      <w:sdtEndPr/>
      <w:sdtContent>
        <w:p w:rsidR="00B74DBD" w:rsidRDefault="00A54A10" w14:paraId="7319CDBD" w14:textId="77777777">
          <w:pPr>
            <w:pStyle w:val="Frslagstext"/>
          </w:pPr>
          <w:r>
            <w:t>Riksdagen ställer sig bakom det som anförs i motionen om att regeringen bör tillsätta en skatteparadisutredning i syfte att ta fram förslag för att stoppa utförseln av pengar till skatteparadisen och tillkännager detta för regeringen.</w:t>
          </w:r>
        </w:p>
      </w:sdtContent>
    </w:sdt>
    <w:sdt>
      <w:sdtPr>
        <w:alias w:val="Yrkande 7"/>
        <w:tag w:val="97eefffb-7ddf-438e-9ea0-a88fc2cc60f1"/>
        <w:id w:val="55136580"/>
        <w:lock w:val="sdtLocked"/>
      </w:sdtPr>
      <w:sdtEndPr/>
      <w:sdtContent>
        <w:p w:rsidR="00B74DBD" w:rsidRDefault="00A54A10" w14:paraId="7319CDBE" w14:textId="77777777">
          <w:pPr>
            <w:pStyle w:val="Frslagstext"/>
          </w:pPr>
          <w:r>
            <w:t>Riksdagen ställer sig bakom det som anförs i motionen om att regeringen bör återkomma till riksdagen med förslag om att rapporteringsplikten ska gälla även för inhemska skattearrangemang och tillkännager detta för regeringen.</w:t>
          </w:r>
        </w:p>
      </w:sdtContent>
    </w:sdt>
    <w:sdt>
      <w:sdtPr>
        <w:alias w:val="Yrkande 8"/>
        <w:tag w:val="fd470eb9-997a-4b63-837b-d8af33ed70a0"/>
        <w:id w:val="42958422"/>
        <w:lock w:val="sdtLocked"/>
      </w:sdtPr>
      <w:sdtEndPr/>
      <w:sdtContent>
        <w:p w:rsidR="00B74DBD" w:rsidRDefault="00A54A10" w14:paraId="7319CDBF" w14:textId="77777777">
          <w:pPr>
            <w:pStyle w:val="Frslagstext"/>
          </w:pPr>
          <w:r>
            <w:t>Riksdagen ställer sig bakom det som anförs i motionen om att Sverige bör införa ett liknande system som i Storbritannien med tillgångsbaserade böter och tillkännager detta för regeringen.</w:t>
          </w:r>
        </w:p>
      </w:sdtContent>
    </w:sdt>
    <w:sdt>
      <w:sdtPr>
        <w:alias w:val="Yrkande 9"/>
        <w:tag w:val="ad081a49-f9eb-40e4-b0a9-24a50e5dfff8"/>
        <w:id w:val="369265652"/>
        <w:lock w:val="sdtLocked"/>
      </w:sdtPr>
      <w:sdtEndPr/>
      <w:sdtContent>
        <w:p w:rsidR="00B74DBD" w:rsidRDefault="00A54A10" w14:paraId="7319CDC0" w14:textId="77777777">
          <w:pPr>
            <w:pStyle w:val="Frslagstext"/>
          </w:pPr>
          <w:r>
            <w:t>Riksdagen ställer sig bakom det som anförs i motionen om att regeringen bör utreda om banker som vid upprepade tillfällen gör sig skyldiga till skatteflykt eller medhjälp till skatteflykt borde förlora sin rätt att få verka som bank i Sverige och tillkännager detta för regeringen.</w:t>
          </w:r>
        </w:p>
      </w:sdtContent>
    </w:sdt>
    <w:sdt>
      <w:sdtPr>
        <w:alias w:val="Yrkande 10"/>
        <w:tag w:val="8b0640ee-3b7f-4cba-b17c-67cba5ff9555"/>
        <w:id w:val="1724560342"/>
        <w:lock w:val="sdtLocked"/>
      </w:sdtPr>
      <w:sdtEndPr/>
      <w:sdtContent>
        <w:p w:rsidR="00B74DBD" w:rsidRDefault="00A54A10" w14:paraId="7319CDC1" w14:textId="77777777">
          <w:pPr>
            <w:pStyle w:val="Frslagstext"/>
          </w:pPr>
          <w:r>
            <w:t>Riksdagen ställer sig bakom det som anförs i motionen om registrering av stiftelser och tillkännager detta för regeringen.</w:t>
          </w:r>
        </w:p>
      </w:sdtContent>
    </w:sdt>
    <w:sdt>
      <w:sdtPr>
        <w:alias w:val="Yrkande 11"/>
        <w:tag w:val="9f1e6e78-d36e-444f-9956-006efd4ceee7"/>
        <w:id w:val="-1910385016"/>
        <w:lock w:val="sdtLocked"/>
      </w:sdtPr>
      <w:sdtEndPr/>
      <w:sdtContent>
        <w:p w:rsidR="00B74DBD" w:rsidRDefault="00A54A10" w14:paraId="7319CDC2" w14:textId="77777777">
          <w:pPr>
            <w:pStyle w:val="Frslagstext"/>
          </w:pPr>
          <w:r>
            <w:t>Riksdagen ställer sig bakom det som anförs i motionen om att Sverige bör driva på för att etablera liknande ramverk för arbetet mot skatteflykt och penningtvätt inom FN som finns för arbetet mot klimatförändringarna och tillkännager detta för regeringen.</w:t>
          </w:r>
        </w:p>
      </w:sdtContent>
    </w:sdt>
    <w:sdt>
      <w:sdtPr>
        <w:alias w:val="Yrkande 12"/>
        <w:tag w:val="c8764240-bca5-4b5c-a308-d2b5753ade5b"/>
        <w:id w:val="2094816420"/>
        <w:lock w:val="sdtLocked"/>
      </w:sdtPr>
      <w:sdtEndPr/>
      <w:sdtContent>
        <w:p w:rsidR="00B74DBD" w:rsidRDefault="00A54A10" w14:paraId="7319CDC3" w14:textId="77777777">
          <w:pPr>
            <w:pStyle w:val="Frslagstext"/>
          </w:pPr>
          <w:r>
            <w:t>Riksdagen ställer sig bakom det som anförs i motionen om att regeringen bör undersöka möjligheterna att införa ett globalt värdepappersregister och tillkännager detta för regeringen.</w:t>
          </w:r>
        </w:p>
      </w:sdtContent>
    </w:sdt>
    <w:sdt>
      <w:sdtPr>
        <w:alias w:val="Yrkande 13"/>
        <w:tag w:val="f5c858c2-6eb9-41d9-9301-82fe87d029c3"/>
        <w:id w:val="1700209406"/>
        <w:lock w:val="sdtLocked"/>
      </w:sdtPr>
      <w:sdtEndPr/>
      <w:sdtContent>
        <w:p w:rsidR="00B74DBD" w:rsidRDefault="00A54A10" w14:paraId="7319CDC4" w14:textId="77777777">
          <w:pPr>
            <w:pStyle w:val="Frslagstext"/>
          </w:pPr>
          <w:r>
            <w:t>Riksdagen ställer sig bakom det som anförs i motionen om att regeringen bör återkomma till riksdagen med förslag på en exitbeskattning för fysiska personer och tillkännager detta för regeringen.</w:t>
          </w:r>
        </w:p>
      </w:sdtContent>
    </w:sdt>
    <w:sdt>
      <w:sdtPr>
        <w:alias w:val="Yrkande 14"/>
        <w:tag w:val="d99e17c0-9b6d-44d2-b7fc-48ccb80c486f"/>
        <w:id w:val="-1382629620"/>
        <w:lock w:val="sdtLocked"/>
      </w:sdtPr>
      <w:sdtEndPr/>
      <w:sdtContent>
        <w:p w:rsidR="00B74DBD" w:rsidRDefault="00A54A10" w14:paraId="7319CDC5" w14:textId="77777777">
          <w:pPr>
            <w:pStyle w:val="Frslagstext"/>
          </w:pPr>
          <w:r>
            <w:t>Riksdagen ställer sig bakom det som anförs i motionen om att Sverige bör införa en deklarationsplikt för förmögenheter som innehas utomlands och tillkännager detta för regeringen.</w:t>
          </w:r>
        </w:p>
      </w:sdtContent>
    </w:sdt>
    <w:sdt>
      <w:sdtPr>
        <w:alias w:val="Yrkande 15"/>
        <w:tag w:val="ed3dc217-7613-4896-ad18-b4ed4b61bc47"/>
        <w:id w:val="-1785338284"/>
        <w:lock w:val="sdtLocked"/>
      </w:sdtPr>
      <w:sdtEndPr/>
      <w:sdtContent>
        <w:p w:rsidR="00B74DBD" w:rsidRDefault="00A54A10" w14:paraId="7319CDC6" w14:textId="77777777">
          <w:pPr>
            <w:pStyle w:val="Frslagstext"/>
          </w:pPr>
          <w:r>
            <w:t>Riksdagen ställer sig bakom det som anförs i motionen om att regeringen bör driva på inom EU för regeländringar som möjliggör för kommunerna att ställa skatteetiska krav på anbudsgivare vid offentlig upphandling och tillkännager detta för regeringen.</w:t>
          </w:r>
        </w:p>
      </w:sdtContent>
    </w:sdt>
    <w:bookmarkStart w:name="MotionsStart" w:displacedByCustomXml="next" w:id="2"/>
    <w:bookmarkEnd w:displacedByCustomXml="next" w:id="2"/>
    <w:bookmarkStart w:name="_Toc115877759" w:displacedByCustomXml="next" w:id="3"/>
    <w:sdt>
      <w:sdtPr>
        <w:alias w:val="CC_Motivering_Rubrik"/>
        <w:tag w:val="CC_Motivering_Rubrik"/>
        <w:id w:val="1433397530"/>
        <w:lock w:val="sdtLocked"/>
        <w:placeholder>
          <w:docPart w:val="2810D3B30DF040C6845213EA63FB5BB9"/>
        </w:placeholder>
        <w:text/>
      </w:sdtPr>
      <w:sdtEndPr/>
      <w:sdtContent>
        <w:p w:rsidRPr="009E60A9" w:rsidR="00422B9E" w:rsidP="009E60A9" w:rsidRDefault="00137EF2" w14:paraId="7319CDC7" w14:textId="77777777">
          <w:pPr>
            <w:pStyle w:val="Rubrik1numrerat"/>
          </w:pPr>
          <w:r w:rsidRPr="009E60A9">
            <w:t>Bakgrund</w:t>
          </w:r>
        </w:p>
      </w:sdtContent>
    </w:sdt>
    <w:bookmarkEnd w:displacedByCustomXml="prev" w:id="3"/>
    <w:p w:rsidRPr="00914A2E" w:rsidR="00776560" w:rsidP="008E0FE2" w:rsidRDefault="00FE3A7F" w14:paraId="7319CDC8" w14:textId="65F4970A">
      <w:pPr>
        <w:pStyle w:val="Normalutanindragellerluft"/>
      </w:pPr>
      <w:r w:rsidRPr="00914A2E">
        <w:t>Frågan om skatteflykt och skatteundandragande har de senaste åren fått stor uppmärk</w:t>
      </w:r>
      <w:r w:rsidR="009E60A9">
        <w:softHyphen/>
      </w:r>
      <w:r w:rsidRPr="00914A2E">
        <w:t xml:space="preserve">samhet. </w:t>
      </w:r>
      <w:r w:rsidRPr="00914A2E" w:rsidR="00E80B63">
        <w:t xml:space="preserve">I fokus </w:t>
      </w:r>
      <w:r w:rsidRPr="00914A2E" w:rsidR="000C2280">
        <w:t>för debatten har varit insikten om hur lite skatt många stora (och vinst</w:t>
      </w:r>
      <w:r w:rsidR="009E60A9">
        <w:softHyphen/>
      </w:r>
      <w:r w:rsidRPr="00914A2E" w:rsidR="000C2280">
        <w:t xml:space="preserve">rika) multinationella företag betalar genom att utnyttja skillnader i olika länders skattelagstiftning. Internationellt har frågan fått tyngd genom </w:t>
      </w:r>
      <w:r w:rsidRPr="00914A2E">
        <w:t>OECD:s projekt om ”</w:t>
      </w:r>
      <w:proofErr w:type="spellStart"/>
      <w:r w:rsidRPr="00914A2E" w:rsidR="000C2280">
        <w:t>B</w:t>
      </w:r>
      <w:r w:rsidRPr="00914A2E">
        <w:t>ase</w:t>
      </w:r>
      <w:proofErr w:type="spellEnd"/>
      <w:r w:rsidRPr="00914A2E">
        <w:t xml:space="preserve"> </w:t>
      </w:r>
      <w:r w:rsidRPr="00914A2E" w:rsidR="000C2280">
        <w:t>E</w:t>
      </w:r>
      <w:r w:rsidRPr="00914A2E">
        <w:t xml:space="preserve">rosion and </w:t>
      </w:r>
      <w:r w:rsidRPr="00914A2E" w:rsidR="000C2280">
        <w:t>P</w:t>
      </w:r>
      <w:r w:rsidRPr="00914A2E">
        <w:t xml:space="preserve">rofit </w:t>
      </w:r>
      <w:proofErr w:type="spellStart"/>
      <w:r w:rsidRPr="00914A2E" w:rsidR="000C2280">
        <w:t>S</w:t>
      </w:r>
      <w:r w:rsidRPr="00914A2E">
        <w:t>hifting</w:t>
      </w:r>
      <w:proofErr w:type="spellEnd"/>
      <w:r w:rsidRPr="00914A2E">
        <w:t>” (BEPS)</w:t>
      </w:r>
      <w:r w:rsidRPr="00914A2E" w:rsidR="00776560">
        <w:t>. Projektet har bl.a. resulterat i att över 135 länder har skrivit under ett åtgärdsprogram bestående av 15 punkter mot skatteflykt och skatteundandragande.</w:t>
      </w:r>
      <w:r w:rsidRPr="00914A2E" w:rsidR="00776560">
        <w:rPr>
          <w:rStyle w:val="Fotnotsreferens"/>
        </w:rPr>
        <w:footnoteReference w:id="1"/>
      </w:r>
      <w:r w:rsidRPr="00914A2E">
        <w:t xml:space="preserve"> </w:t>
      </w:r>
    </w:p>
    <w:p w:rsidRPr="00914A2E" w:rsidR="005D6840" w:rsidP="00E1249F" w:rsidRDefault="00776560" w14:paraId="7319CDC9" w14:textId="73533AD7">
      <w:r w:rsidRPr="00914A2E">
        <w:t xml:space="preserve">Frågan har också löpande fått förnyad aktualitet genom </w:t>
      </w:r>
      <w:r w:rsidRPr="00914A2E" w:rsidR="00FE3A7F">
        <w:t>en lång rad avslöjanden</w:t>
      </w:r>
      <w:r w:rsidRPr="00914A2E">
        <w:t xml:space="preserve"> </w:t>
      </w:r>
      <w:r w:rsidRPr="00914A2E" w:rsidR="00FE3A7F">
        <w:t xml:space="preserve">i </w:t>
      </w:r>
      <w:r w:rsidRPr="00885723" w:rsidR="00FE3A7F">
        <w:rPr>
          <w:spacing w:val="-2"/>
        </w:rPr>
        <w:t>form av Panama Papers, Lux</w:t>
      </w:r>
      <w:r w:rsidRPr="00885723" w:rsidR="00A854D1">
        <w:rPr>
          <w:spacing w:val="-2"/>
        </w:rPr>
        <w:t xml:space="preserve"> </w:t>
      </w:r>
      <w:proofErr w:type="spellStart"/>
      <w:r w:rsidRPr="00885723" w:rsidR="00FE3A7F">
        <w:rPr>
          <w:spacing w:val="-2"/>
        </w:rPr>
        <w:t>Leaks</w:t>
      </w:r>
      <w:proofErr w:type="spellEnd"/>
      <w:r w:rsidRPr="00885723" w:rsidR="00A854D1">
        <w:rPr>
          <w:spacing w:val="-2"/>
        </w:rPr>
        <w:t xml:space="preserve"> och</w:t>
      </w:r>
      <w:r w:rsidRPr="00885723" w:rsidR="00FE3A7F">
        <w:rPr>
          <w:spacing w:val="-2"/>
        </w:rPr>
        <w:t xml:space="preserve"> Swiss</w:t>
      </w:r>
      <w:r w:rsidRPr="00885723" w:rsidR="00A854D1">
        <w:rPr>
          <w:spacing w:val="-2"/>
        </w:rPr>
        <w:t xml:space="preserve"> </w:t>
      </w:r>
      <w:proofErr w:type="spellStart"/>
      <w:r w:rsidRPr="00885723" w:rsidR="00FE3A7F">
        <w:rPr>
          <w:spacing w:val="-2"/>
        </w:rPr>
        <w:t>Leaks</w:t>
      </w:r>
      <w:proofErr w:type="spellEnd"/>
      <w:r w:rsidRPr="00885723" w:rsidR="00FE3A7F">
        <w:rPr>
          <w:spacing w:val="-2"/>
        </w:rPr>
        <w:t xml:space="preserve">. </w:t>
      </w:r>
      <w:r w:rsidRPr="00885723" w:rsidR="005D6840">
        <w:rPr>
          <w:spacing w:val="-2"/>
        </w:rPr>
        <w:t>Avslöjandena har visat höginkomst</w:t>
      </w:r>
      <w:r w:rsidRPr="00885723" w:rsidR="009E60A9">
        <w:rPr>
          <w:spacing w:val="-2"/>
        </w:rPr>
        <w:softHyphen/>
      </w:r>
      <w:r w:rsidRPr="00885723" w:rsidR="005D6840">
        <w:rPr>
          <w:spacing w:val="-2"/>
        </w:rPr>
        <w:t>tagare</w:t>
      </w:r>
      <w:r w:rsidRPr="00914A2E" w:rsidR="005D6840">
        <w:t xml:space="preserve"> </w:t>
      </w:r>
      <w:r w:rsidRPr="00914A2E" w:rsidR="00271278">
        <w:t xml:space="preserve">som </w:t>
      </w:r>
      <w:r w:rsidRPr="00914A2E" w:rsidR="005D6840">
        <w:t xml:space="preserve">gömmer pengar, bolag som planerar bort sin skatt och revisionsbyråer och banker som hjälper till. </w:t>
      </w:r>
    </w:p>
    <w:p w:rsidRPr="00914A2E" w:rsidR="00BB6339" w:rsidP="00E1249F" w:rsidRDefault="005D6840" w14:paraId="7319CDCA" w14:textId="15E5FC60">
      <w:r w:rsidRPr="00914A2E">
        <w:t>S</w:t>
      </w:r>
      <w:r w:rsidRPr="00914A2E" w:rsidR="00477F07">
        <w:t>katteflykt är ett stort samhällsproblem. Det undandrar samhället stora resurser och skadar en fri och rättvis konkurrens. Det ökar också ojämlikheten när skatteuttaget övervältras på andra grupper med lägre inkomster. Det är också allvarligt eftersom det minskar tilliten, sammanhållningen och förtroendet för vårt samhälle och våra myndig</w:t>
      </w:r>
      <w:r w:rsidR="00885723">
        <w:softHyphen/>
      </w:r>
      <w:r w:rsidRPr="00914A2E" w:rsidR="00477F07">
        <w:t xml:space="preserve">heter. </w:t>
      </w:r>
    </w:p>
    <w:p w:rsidRPr="00914A2E" w:rsidR="00477F07" w:rsidP="00477F07" w:rsidRDefault="00477F07" w14:paraId="7319CDCB" w14:textId="794A2E92">
      <w:r w:rsidRPr="00914A2E">
        <w:t>I jämförelse med flera andra länder har dessutom Sverige en fördelaktig skattelag</w:t>
      </w:r>
      <w:r w:rsidR="00885723">
        <w:softHyphen/>
      </w:r>
      <w:r w:rsidRPr="00914A2E">
        <w:t xml:space="preserve">stiftning för bolag och förmögna. Sverige är i dag </w:t>
      </w:r>
      <w:r w:rsidRPr="00914A2E" w:rsidR="005E413E">
        <w:t xml:space="preserve">ett av få länder </w:t>
      </w:r>
      <w:r w:rsidRPr="00914A2E">
        <w:t>som vare sig har förmögenhets</w:t>
      </w:r>
      <w:r w:rsidR="00A854D1">
        <w:noBreakHyphen/>
      </w:r>
      <w:r w:rsidRPr="00914A2E">
        <w:t xml:space="preserve">, arvs- </w:t>
      </w:r>
      <w:r w:rsidR="00A854D1">
        <w:t>eller</w:t>
      </w:r>
      <w:r w:rsidRPr="00914A2E">
        <w:t xml:space="preserve"> gåvoskatt eller en fastighetsskatt som är kopplad till fastig</w:t>
      </w:r>
      <w:r w:rsidR="00885723">
        <w:softHyphen/>
      </w:r>
      <w:r w:rsidRPr="00914A2E">
        <w:t>hetens värde. Därtill har bolagsskattesatsen sänkts i flera steg o</w:t>
      </w:r>
      <w:r w:rsidRPr="00914A2E" w:rsidR="005E413E">
        <w:t>ch beskattningen av delägare i få</w:t>
      </w:r>
      <w:r w:rsidRPr="00914A2E" w:rsidR="00B0513B">
        <w:t>mansbolag gjorts mer förmånlig</w:t>
      </w:r>
      <w:r w:rsidRPr="00914A2E">
        <w:t>. Detta ger sammantaget en orimlig situation.</w:t>
      </w:r>
    </w:p>
    <w:p w:rsidRPr="009E60A9" w:rsidR="00962A54" w:rsidP="009E60A9" w:rsidRDefault="007E4582" w14:paraId="7319CDCC" w14:textId="77777777">
      <w:pPr>
        <w:pStyle w:val="Rubrik1numrerat"/>
      </w:pPr>
      <w:bookmarkStart w:name="_Toc115877760" w:id="4"/>
      <w:r w:rsidRPr="009E60A9">
        <w:t>Ett globalt problem</w:t>
      </w:r>
      <w:bookmarkEnd w:id="4"/>
    </w:p>
    <w:p w:rsidRPr="009E60A9" w:rsidR="00A33217" w:rsidP="009E60A9" w:rsidRDefault="00A33217" w14:paraId="7319CDCD" w14:textId="77777777">
      <w:pPr>
        <w:pStyle w:val="Rubrik2numrerat"/>
        <w:spacing w:before="440"/>
      </w:pPr>
      <w:bookmarkStart w:name="_Toc115877761" w:id="5"/>
      <w:r w:rsidRPr="009E60A9">
        <w:t>Storleken på skatteundandragandet</w:t>
      </w:r>
      <w:bookmarkEnd w:id="5"/>
    </w:p>
    <w:p w:rsidRPr="00914A2E" w:rsidR="00470B41" w:rsidP="009E60A9" w:rsidRDefault="00EF212B" w14:paraId="7319CDCE" w14:textId="7630ADB2">
      <w:pPr>
        <w:pStyle w:val="Normalutanindragellerluft"/>
      </w:pPr>
      <w:r w:rsidRPr="00914A2E">
        <w:t xml:space="preserve">Flera studier har gjorts för att försöka uppskatta de globala effekterna av de aggressiva </w:t>
      </w:r>
      <w:proofErr w:type="spellStart"/>
      <w:r w:rsidRPr="00914A2E">
        <w:t>skatteuppläggen</w:t>
      </w:r>
      <w:proofErr w:type="spellEnd"/>
      <w:r w:rsidRPr="00914A2E">
        <w:t xml:space="preserve">. </w:t>
      </w:r>
      <w:r w:rsidRPr="00914A2E" w:rsidR="00470B41">
        <w:t>I en uppmärksammad studie av IMF redovisas beräkningar av skatte</w:t>
      </w:r>
      <w:r w:rsidR="00885723">
        <w:softHyphen/>
      </w:r>
      <w:r w:rsidRPr="00914A2E" w:rsidR="00470B41">
        <w:t xml:space="preserve">bortfallet till följd av de multinationella bolagens </w:t>
      </w:r>
      <w:proofErr w:type="spellStart"/>
      <w:r w:rsidRPr="00914A2E" w:rsidR="00470B41">
        <w:t>skatteupplägg</w:t>
      </w:r>
      <w:proofErr w:type="spellEnd"/>
      <w:r w:rsidRPr="00914A2E" w:rsidR="00470B41">
        <w:t xml:space="preserve"> över nationsgränserna med olika skatteparadis (profit </w:t>
      </w:r>
      <w:proofErr w:type="spellStart"/>
      <w:r w:rsidRPr="00914A2E" w:rsidR="00470B41">
        <w:t>shifting</w:t>
      </w:r>
      <w:proofErr w:type="spellEnd"/>
      <w:r w:rsidRPr="00914A2E" w:rsidR="00470B41">
        <w:t>).</w:t>
      </w:r>
      <w:r w:rsidRPr="00914A2E" w:rsidR="00470B41">
        <w:rPr>
          <w:rStyle w:val="Fotnotsreferens"/>
        </w:rPr>
        <w:footnoteReference w:id="2"/>
      </w:r>
      <w:r w:rsidRPr="00914A2E" w:rsidR="00470B41">
        <w:t xml:space="preserve"> Studien kommer fram till ett skattebortfall på </w:t>
      </w:r>
      <w:r w:rsidRPr="00914A2E" w:rsidR="00470B41">
        <w:lastRenderedPageBreak/>
        <w:t>400 miljarder dollar för OECD-länderna och 200 miljarder dollar för utvecklings</w:t>
      </w:r>
      <w:r w:rsidR="00885723">
        <w:softHyphen/>
      </w:r>
      <w:r w:rsidRPr="00914A2E" w:rsidR="00470B41">
        <w:t>länderna. I procent av BNP är dock skattebortfallet större för utvecklingsländerna</w:t>
      </w:r>
      <w:r w:rsidR="00D36C7F">
        <w:t>;</w:t>
      </w:r>
      <w:r w:rsidRPr="00914A2E" w:rsidR="00470B41">
        <w:t xml:space="preserve"> skattebortfallet för dessa beräknas till 1,3 procent av BNP, jämfört med 1</w:t>
      </w:r>
      <w:r w:rsidR="00D36C7F">
        <w:t> </w:t>
      </w:r>
      <w:r w:rsidRPr="00914A2E" w:rsidR="00470B41">
        <w:t>procent för OECD-länderna.</w:t>
      </w:r>
    </w:p>
    <w:p w:rsidRPr="00914A2E" w:rsidR="00EF212B" w:rsidP="00E1249F" w:rsidRDefault="00EF212B" w14:paraId="7319CDCF" w14:textId="185953F5">
      <w:r w:rsidRPr="00914A2E">
        <w:t xml:space="preserve">I juli 2020 offentliggjorde </w:t>
      </w:r>
      <w:r w:rsidRPr="00914A2E" w:rsidR="00470B41">
        <w:t xml:space="preserve">OECD för första gången data </w:t>
      </w:r>
      <w:r w:rsidRPr="00914A2E" w:rsidR="009D19AB">
        <w:t xml:space="preserve">på aggregerad nivå </w:t>
      </w:r>
      <w:r w:rsidRPr="00914A2E" w:rsidR="00470B41">
        <w:t>avseende s.k. land-för-land</w:t>
      </w:r>
      <w:r w:rsidRPr="00914A2E" w:rsidR="00964EA7">
        <w:t>-</w:t>
      </w:r>
      <w:r w:rsidRPr="00914A2E" w:rsidR="00470B41">
        <w:t xml:space="preserve">rapportering. </w:t>
      </w:r>
      <w:r w:rsidRPr="00914A2E" w:rsidR="00927A63">
        <w:t>Land-för-land</w:t>
      </w:r>
      <w:r w:rsidRPr="00914A2E" w:rsidR="0094170A">
        <w:t>-</w:t>
      </w:r>
      <w:r w:rsidRPr="00914A2E" w:rsidR="00927A63">
        <w:t>rapportering är en redovisnings</w:t>
      </w:r>
      <w:r w:rsidR="00885723">
        <w:softHyphen/>
      </w:r>
      <w:r w:rsidRPr="00914A2E" w:rsidR="00927A63">
        <w:t xml:space="preserve">standard som innebär att multinationella företag ska rapportera </w:t>
      </w:r>
      <w:r w:rsidRPr="00914A2E" w:rsidR="00EE1086">
        <w:t>inkomster och kostnader i vart och ett av de länder de är verksamma i, i</w:t>
      </w:r>
      <w:r w:rsidRPr="00914A2E" w:rsidR="0094170A">
        <w:t xml:space="preserve"> </w:t>
      </w:r>
      <w:r w:rsidRPr="00914A2E" w:rsidR="00EE1086">
        <w:t xml:space="preserve">stället för att </w:t>
      </w:r>
      <w:r w:rsidRPr="00914A2E" w:rsidR="009D19AB">
        <w:t xml:space="preserve">bara redovisa sammanlagda siffror. </w:t>
      </w:r>
      <w:r w:rsidRPr="00914A2E" w:rsidR="00DC2D05">
        <w:t xml:space="preserve">Offentliggörandet av dessa siffror möjliggör mer exakta beräkningar av </w:t>
      </w:r>
      <w:r w:rsidRPr="00885723" w:rsidR="00DC2D05">
        <w:rPr>
          <w:spacing w:val="-1"/>
        </w:rPr>
        <w:t>inkomst</w:t>
      </w:r>
      <w:r w:rsidRPr="00885723" w:rsidR="00885723">
        <w:rPr>
          <w:spacing w:val="-1"/>
        </w:rPr>
        <w:softHyphen/>
      </w:r>
      <w:r w:rsidRPr="00885723" w:rsidR="00DC2D05">
        <w:rPr>
          <w:spacing w:val="-1"/>
        </w:rPr>
        <w:t xml:space="preserve">överföringar och skattebortfall i olika länder. På basis av dessa siffror har </w:t>
      </w:r>
      <w:r w:rsidRPr="00885723" w:rsidR="00D36C7F">
        <w:rPr>
          <w:spacing w:val="-1"/>
        </w:rPr>
        <w:t>o</w:t>
      </w:r>
      <w:r w:rsidRPr="00885723" w:rsidR="00DC2D05">
        <w:rPr>
          <w:spacing w:val="-1"/>
        </w:rPr>
        <w:t>rganisationen</w:t>
      </w:r>
      <w:r w:rsidRPr="00914A2E" w:rsidR="00DC2D05">
        <w:t xml:space="preserve"> Tax </w:t>
      </w:r>
      <w:proofErr w:type="spellStart"/>
      <w:r w:rsidRPr="00914A2E" w:rsidR="00DC2D05">
        <w:t>Justice</w:t>
      </w:r>
      <w:proofErr w:type="spellEnd"/>
      <w:r w:rsidRPr="00914A2E" w:rsidR="00DC2D05">
        <w:t xml:space="preserve"> </w:t>
      </w:r>
      <w:proofErr w:type="spellStart"/>
      <w:r w:rsidRPr="00914A2E" w:rsidR="00DC2D05">
        <w:t>Network</w:t>
      </w:r>
      <w:proofErr w:type="spellEnd"/>
      <w:r w:rsidRPr="00914A2E" w:rsidR="00DC2D05">
        <w:t xml:space="preserve"> uppdaterad sina beräkningar. Tax </w:t>
      </w:r>
      <w:proofErr w:type="spellStart"/>
      <w:r w:rsidRPr="00914A2E" w:rsidR="00DC2D05">
        <w:t>Justice</w:t>
      </w:r>
      <w:proofErr w:type="spellEnd"/>
      <w:r w:rsidRPr="00914A2E" w:rsidR="00DC2D05">
        <w:t xml:space="preserve"> </w:t>
      </w:r>
      <w:proofErr w:type="spellStart"/>
      <w:r w:rsidRPr="00914A2E" w:rsidR="00DC2D05">
        <w:t>Network</w:t>
      </w:r>
      <w:proofErr w:type="spellEnd"/>
      <w:r w:rsidRPr="00914A2E" w:rsidR="00B93762">
        <w:t xml:space="preserve"> </w:t>
      </w:r>
      <w:r w:rsidRPr="00914A2E" w:rsidR="00B14A6E">
        <w:t>beräkn</w:t>
      </w:r>
      <w:r w:rsidRPr="00914A2E" w:rsidR="0094170A">
        <w:t>ar</w:t>
      </w:r>
      <w:r w:rsidRPr="00914A2E" w:rsidR="00B14A6E">
        <w:t xml:space="preserve"> att skattebortfallet till följd </w:t>
      </w:r>
      <w:r w:rsidRPr="00914A2E" w:rsidR="008B0E28">
        <w:t xml:space="preserve">av </w:t>
      </w:r>
      <w:r w:rsidRPr="00914A2E" w:rsidR="00B14A6E">
        <w:t xml:space="preserve">missbruk och olika arrangemang beträffande </w:t>
      </w:r>
      <w:r w:rsidRPr="00914A2E" w:rsidR="005E46B4">
        <w:t>företags</w:t>
      </w:r>
      <w:r w:rsidRPr="00914A2E" w:rsidR="00B14A6E">
        <w:t>skatt</w:t>
      </w:r>
      <w:r w:rsidR="00885723">
        <w:softHyphen/>
      </w:r>
      <w:r w:rsidRPr="00914A2E" w:rsidR="00B14A6E">
        <w:t>erna (</w:t>
      </w:r>
      <w:proofErr w:type="spellStart"/>
      <w:r w:rsidRPr="00914A2E" w:rsidR="00B14A6E">
        <w:t>corporate</w:t>
      </w:r>
      <w:proofErr w:type="spellEnd"/>
      <w:r w:rsidRPr="00914A2E" w:rsidR="00B14A6E">
        <w:t xml:space="preserve"> </w:t>
      </w:r>
      <w:proofErr w:type="gramStart"/>
      <w:r w:rsidRPr="00914A2E" w:rsidR="00B14A6E">
        <w:t>tax abuse</w:t>
      </w:r>
      <w:proofErr w:type="gramEnd"/>
      <w:r w:rsidRPr="00914A2E" w:rsidR="00B14A6E">
        <w:t>) uppgår till $</w:t>
      </w:r>
      <w:r w:rsidR="00D36C7F">
        <w:t> </w:t>
      </w:r>
      <w:r w:rsidRPr="00914A2E" w:rsidR="00B14A6E">
        <w:t xml:space="preserve">245 miljarder per år och att skattebortfallet som kan hänföras till privat skatteflykt i utlandet (private offshore tax </w:t>
      </w:r>
      <w:proofErr w:type="spellStart"/>
      <w:r w:rsidRPr="00914A2E" w:rsidR="00B14A6E">
        <w:t>evasion</w:t>
      </w:r>
      <w:proofErr w:type="spellEnd"/>
      <w:r w:rsidRPr="00914A2E" w:rsidR="00B14A6E">
        <w:t>), ofta i skatte</w:t>
      </w:r>
      <w:r w:rsidR="00885723">
        <w:softHyphen/>
      </w:r>
      <w:r w:rsidRPr="00914A2E" w:rsidR="00B14A6E">
        <w:t>paradis, uppgår till $</w:t>
      </w:r>
      <w:r w:rsidR="00D36C7F">
        <w:t> </w:t>
      </w:r>
      <w:r w:rsidRPr="00914A2E" w:rsidR="00B14A6E">
        <w:t>182 miljarder per år.</w:t>
      </w:r>
      <w:r w:rsidRPr="00914A2E" w:rsidR="00A56E09">
        <w:rPr>
          <w:vertAlign w:val="superscript"/>
        </w:rPr>
        <w:footnoteReference w:id="3"/>
      </w:r>
      <w:r w:rsidRPr="00914A2E" w:rsidR="00B14A6E">
        <w:rPr>
          <w:vertAlign w:val="superscript"/>
        </w:rPr>
        <w:t xml:space="preserve"> </w:t>
      </w:r>
      <w:r w:rsidRPr="00914A2E" w:rsidR="00A33217">
        <w:t>Det sammantagna skattebortfallet beräknas alltså till $</w:t>
      </w:r>
      <w:r w:rsidR="00D36C7F">
        <w:t> </w:t>
      </w:r>
      <w:r w:rsidRPr="00914A2E" w:rsidR="00A33217">
        <w:t>427 miljarder per år.</w:t>
      </w:r>
    </w:p>
    <w:p w:rsidRPr="00914A2E" w:rsidR="00A33217" w:rsidP="009E60A9" w:rsidRDefault="00802FBF" w14:paraId="7319CDD0" w14:textId="77777777">
      <w:pPr>
        <w:pStyle w:val="Rubrik2numrerat"/>
      </w:pPr>
      <w:bookmarkStart w:name="_Toc115877762" w:id="6"/>
      <w:r w:rsidRPr="00914A2E">
        <w:t>Företagsskatter</w:t>
      </w:r>
      <w:bookmarkEnd w:id="6"/>
    </w:p>
    <w:p w:rsidRPr="00914A2E" w:rsidR="00021B70" w:rsidP="009E60A9" w:rsidRDefault="00A33217" w14:paraId="7319CDD1" w14:textId="3FAF8045">
      <w:pPr>
        <w:pStyle w:val="Normalutanindragellerluft"/>
      </w:pPr>
      <w:r w:rsidRPr="00914A2E">
        <w:t xml:space="preserve">De ovan angivna beräkningarna avser endast </w:t>
      </w:r>
      <w:r w:rsidRPr="00914A2E" w:rsidR="004B2062">
        <w:t xml:space="preserve">direkta effekter av skatteundandragandet. Till detta ska läggas </w:t>
      </w:r>
      <w:r w:rsidRPr="00914A2E">
        <w:t xml:space="preserve">det </w:t>
      </w:r>
      <w:r w:rsidRPr="00914A2E" w:rsidR="004B2062">
        <w:t>indirekta skattebortfall som ofta uppstår när regeringar försöker motverka skatteflykten genom att införa mer förmånlig skattelagstiftning för företagen. D</w:t>
      </w:r>
      <w:r w:rsidRPr="00914A2E" w:rsidR="007E4582">
        <w:t xml:space="preserve">et är dessa </w:t>
      </w:r>
      <w:r w:rsidRPr="00914A2E" w:rsidR="004B2062">
        <w:t>processer som</w:t>
      </w:r>
      <w:r w:rsidRPr="00914A2E" w:rsidR="007E4582">
        <w:t xml:space="preserve"> brukar kallas för ett ”race to the </w:t>
      </w:r>
      <w:proofErr w:type="spellStart"/>
      <w:r w:rsidRPr="00914A2E" w:rsidR="007E4582">
        <w:t>bottom</w:t>
      </w:r>
      <w:proofErr w:type="spellEnd"/>
      <w:r w:rsidRPr="00914A2E" w:rsidR="007E4582">
        <w:t>”. Utredare vid IMF har beräknat att de indirekta effekterna vad gäller företagens bolagsskatter är minst tre gånger så stora som de direkta effekterna.</w:t>
      </w:r>
      <w:r w:rsidRPr="00914A2E" w:rsidR="007E4582">
        <w:rPr>
          <w:rStyle w:val="Fotnotsreferens"/>
        </w:rPr>
        <w:footnoteReference w:id="4"/>
      </w:r>
      <w:r w:rsidRPr="00914A2E" w:rsidR="00562E63">
        <w:t xml:space="preserve"> Översätter man de beräkningarna till Tax </w:t>
      </w:r>
      <w:proofErr w:type="spellStart"/>
      <w:r w:rsidRPr="00914A2E" w:rsidR="00562E63">
        <w:t>Justice</w:t>
      </w:r>
      <w:proofErr w:type="spellEnd"/>
      <w:r w:rsidRPr="00914A2E" w:rsidR="00562E63">
        <w:t xml:space="preserve"> </w:t>
      </w:r>
      <w:proofErr w:type="spellStart"/>
      <w:r w:rsidRPr="00914A2E" w:rsidR="00562E63">
        <w:t>Networks</w:t>
      </w:r>
      <w:proofErr w:type="spellEnd"/>
      <w:r w:rsidRPr="00914A2E" w:rsidR="00562E63">
        <w:t xml:space="preserve"> siffror landar det totala skattebortfallet vad gäller bolagsskatterna </w:t>
      </w:r>
      <w:r w:rsidRPr="00914A2E" w:rsidR="00A76F42">
        <w:t xml:space="preserve">på </w:t>
      </w:r>
      <w:r w:rsidRPr="00914A2E" w:rsidR="00562E63">
        <w:t>hela $</w:t>
      </w:r>
      <w:r w:rsidR="00D36C7F">
        <w:t> </w:t>
      </w:r>
      <w:r w:rsidRPr="00914A2E" w:rsidR="00562E63">
        <w:t>980 miljarder per år.</w:t>
      </w:r>
    </w:p>
    <w:p w:rsidRPr="00914A2E" w:rsidR="00A33217" w:rsidP="00E1249F" w:rsidRDefault="00286FCD" w14:paraId="7319CDD2" w14:textId="35F68B7C">
      <w:r w:rsidRPr="00914A2E">
        <w:t xml:space="preserve">Tax </w:t>
      </w:r>
      <w:proofErr w:type="spellStart"/>
      <w:r w:rsidRPr="00914A2E">
        <w:t>Justice</w:t>
      </w:r>
      <w:proofErr w:type="spellEnd"/>
      <w:r w:rsidRPr="00914A2E">
        <w:t xml:space="preserve"> </w:t>
      </w:r>
      <w:proofErr w:type="spellStart"/>
      <w:r w:rsidRPr="00914A2E">
        <w:t>Network</w:t>
      </w:r>
      <w:proofErr w:type="spellEnd"/>
      <w:r w:rsidRPr="00914A2E">
        <w:t xml:space="preserve"> beräknar att tre fjärdedelar av skattebortfallet går förlora</w:t>
      </w:r>
      <w:r w:rsidRPr="00914A2E" w:rsidR="00BF4241">
        <w:t>t</w:t>
      </w:r>
      <w:r w:rsidRPr="00914A2E">
        <w:t xml:space="preserve"> till skatteparadis som har en effektiv bolagsskatt som understiger 10</w:t>
      </w:r>
      <w:r w:rsidR="00D36C7F">
        <w:t> </w:t>
      </w:r>
      <w:r w:rsidRPr="00914A2E">
        <w:t>procent, främst Neder</w:t>
      </w:r>
      <w:r w:rsidR="00885723">
        <w:softHyphen/>
      </w:r>
      <w:r w:rsidRPr="00914A2E">
        <w:t>länderna, Caymanöarna, Hong</w:t>
      </w:r>
      <w:r w:rsidR="00D36C7F">
        <w:t>k</w:t>
      </w:r>
      <w:r w:rsidRPr="00914A2E">
        <w:t>ong, Storbritannien, Singapore, Bermuda</w:t>
      </w:r>
      <w:r w:rsidRPr="00914A2E" w:rsidR="00D93E79">
        <w:t>, Jungfruöarna, Luxe</w:t>
      </w:r>
      <w:r w:rsidRPr="00914A2E" w:rsidR="00DB75D8">
        <w:t>mburg</w:t>
      </w:r>
      <w:r w:rsidRPr="00914A2E" w:rsidR="00D93E79">
        <w:t xml:space="preserve"> och Puerto Rico. </w:t>
      </w:r>
      <w:r w:rsidRPr="00914A2E" w:rsidR="00DB2B75">
        <w:t>Inkomsterna från bolagsskatten i dessa länder uppgår endast till $</w:t>
      </w:r>
      <w:r w:rsidR="00D36C7F">
        <w:t> </w:t>
      </w:r>
      <w:r w:rsidRPr="00914A2E" w:rsidR="00DB2B75">
        <w:t xml:space="preserve">45 miljarder. Tax </w:t>
      </w:r>
      <w:proofErr w:type="spellStart"/>
      <w:r w:rsidRPr="00914A2E" w:rsidR="00DB2B75">
        <w:t>Justice</w:t>
      </w:r>
      <w:proofErr w:type="spellEnd"/>
      <w:r w:rsidRPr="00914A2E" w:rsidR="00DB2B75">
        <w:t xml:space="preserve"> </w:t>
      </w:r>
      <w:proofErr w:type="spellStart"/>
      <w:r w:rsidRPr="00914A2E" w:rsidR="00DB2B75">
        <w:t>Network</w:t>
      </w:r>
      <w:proofErr w:type="spellEnd"/>
      <w:r w:rsidRPr="00914A2E" w:rsidR="00DB2B75">
        <w:t xml:space="preserve"> bedömer att för varje skattekrona (dollar) som dessa länder erhåller från bolagsskatten går drygt 4</w:t>
      </w:r>
      <w:r w:rsidR="00D36C7F">
        <w:t> </w:t>
      </w:r>
      <w:r w:rsidRPr="00914A2E" w:rsidR="00DB2B75">
        <w:t>skattekronor (dollar) förlorade globalt sett.</w:t>
      </w:r>
      <w:r w:rsidRPr="00914A2E" w:rsidR="00A56E09">
        <w:rPr>
          <w:vertAlign w:val="superscript"/>
        </w:rPr>
        <w:footnoteReference w:id="5"/>
      </w:r>
    </w:p>
    <w:p w:rsidR="00314292" w:rsidP="00E1249F" w:rsidRDefault="002409D2" w14:paraId="7319CDD3" w14:textId="1D3852AA">
      <w:r w:rsidRPr="00914A2E">
        <w:t xml:space="preserve">Tax </w:t>
      </w:r>
      <w:proofErr w:type="spellStart"/>
      <w:r w:rsidRPr="00914A2E">
        <w:t>Justice</w:t>
      </w:r>
      <w:proofErr w:type="spellEnd"/>
      <w:r w:rsidRPr="00914A2E">
        <w:t xml:space="preserve"> </w:t>
      </w:r>
      <w:proofErr w:type="spellStart"/>
      <w:r w:rsidRPr="00914A2E">
        <w:t>Network</w:t>
      </w:r>
      <w:proofErr w:type="spellEnd"/>
      <w:r w:rsidRPr="00914A2E">
        <w:t xml:space="preserve"> har skapat ett ”Corporate Tax </w:t>
      </w:r>
      <w:proofErr w:type="spellStart"/>
      <w:r w:rsidRPr="00914A2E">
        <w:t>Heaven</w:t>
      </w:r>
      <w:proofErr w:type="spellEnd"/>
      <w:r w:rsidRPr="00914A2E">
        <w:t xml:space="preserve"> Index” över länders utformning av bolagsskatterna. Indexet bes</w:t>
      </w:r>
      <w:r w:rsidRPr="00914A2E" w:rsidR="00F27782">
        <w:t>t</w:t>
      </w:r>
      <w:r w:rsidRPr="00914A2E">
        <w:t>år av två delar, dels en komponent som mäter i vilken utsträckning lagstiftningen</w:t>
      </w:r>
      <w:r w:rsidRPr="00914A2E" w:rsidR="0016347A">
        <w:t xml:space="preserve"> möjliggör skatteflykt, dels en komponent som tar fasta på i vilken utsträckning landet i fråga används för skatteflykt. I tabellen nedan visas topp 1</w:t>
      </w:r>
      <w:r w:rsidRPr="00914A2E" w:rsidR="0005577B">
        <w:t>5</w:t>
      </w:r>
      <w:r w:rsidRPr="00914A2E" w:rsidR="0016347A">
        <w:t xml:space="preserve"> över de länder </w:t>
      </w:r>
      <w:r w:rsidRPr="00914A2E" w:rsidR="00AA5A08">
        <w:t xml:space="preserve">som har </w:t>
      </w:r>
      <w:r w:rsidRPr="00914A2E" w:rsidR="0016347A">
        <w:t xml:space="preserve">de högsta värdena, dvs. de </w:t>
      </w:r>
      <w:r w:rsidRPr="00914A2E" w:rsidR="00760CDA">
        <w:t xml:space="preserve">länder </w:t>
      </w:r>
      <w:r w:rsidR="00D36C7F">
        <w:t>som har</w:t>
      </w:r>
      <w:r w:rsidRPr="00914A2E" w:rsidR="00760CDA">
        <w:t xml:space="preserve"> sämst lagstiftning för att motverka skatteundandragande vad gäller bolagsskatterna.</w:t>
      </w:r>
    </w:p>
    <w:p w:rsidR="00314292" w:rsidRDefault="00314292" w14:paraId="14C805D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tbl>
      <w:tblPr>
        <w:tblW w:w="5897" w:type="dxa"/>
        <w:tblLayout w:type="fixed"/>
        <w:tblCellMar>
          <w:left w:w="70" w:type="dxa"/>
          <w:right w:w="70" w:type="dxa"/>
        </w:tblCellMar>
        <w:tblLook w:val="0000" w:firstRow="0" w:lastRow="0" w:firstColumn="0" w:lastColumn="0" w:noHBand="0" w:noVBand="0"/>
      </w:tblPr>
      <w:tblGrid>
        <w:gridCol w:w="1383"/>
        <w:gridCol w:w="4514"/>
      </w:tblGrid>
      <w:tr w:rsidRPr="00D36C7F" w:rsidR="00781948" w:rsidTr="002C4FD7" w14:paraId="7319CDD6" w14:textId="77777777">
        <w:tc>
          <w:tcPr>
            <w:tcW w:w="6204" w:type="dxa"/>
            <w:gridSpan w:val="2"/>
            <w:tcBorders>
              <w:top w:val="nil"/>
              <w:left w:val="nil"/>
              <w:right w:val="nil"/>
            </w:tcBorders>
            <w:vAlign w:val="bottom"/>
          </w:tcPr>
          <w:p w:rsidRPr="00D36C7F" w:rsidR="00781948" w:rsidP="002C4FD7" w:rsidRDefault="00781948" w14:paraId="7319CDD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rPr>
                <w:rFonts w:ascii="Times New Roman" w:hAnsi="Times New Roman" w:cs="Times New Roman"/>
                <w:b/>
                <w:bCs/>
                <w:color w:val="000000"/>
                <w:kern w:val="0"/>
                <w:sz w:val="20"/>
                <w:szCs w:val="20"/>
                <w14:numSpacing w14:val="default"/>
              </w:rPr>
            </w:pPr>
            <w:r w:rsidRPr="00D36C7F">
              <w:rPr>
                <w:rFonts w:ascii="Times New Roman" w:hAnsi="Times New Roman" w:cs="Times New Roman"/>
                <w:b/>
                <w:bCs/>
                <w:color w:val="000000"/>
                <w:kern w:val="0"/>
                <w:sz w:val="20"/>
                <w:szCs w:val="20"/>
                <w14:numSpacing w14:val="default"/>
              </w:rPr>
              <w:lastRenderedPageBreak/>
              <w:t xml:space="preserve">Tabell 1 Corporate Tax </w:t>
            </w:r>
            <w:proofErr w:type="spellStart"/>
            <w:r w:rsidRPr="00D36C7F">
              <w:rPr>
                <w:rFonts w:ascii="Times New Roman" w:hAnsi="Times New Roman" w:cs="Times New Roman"/>
                <w:b/>
                <w:bCs/>
                <w:color w:val="000000"/>
                <w:kern w:val="0"/>
                <w:sz w:val="20"/>
                <w:szCs w:val="20"/>
                <w14:numSpacing w14:val="default"/>
              </w:rPr>
              <w:t>Heaven</w:t>
            </w:r>
            <w:proofErr w:type="spellEnd"/>
            <w:r w:rsidRPr="00D36C7F">
              <w:rPr>
                <w:rFonts w:ascii="Times New Roman" w:hAnsi="Times New Roman" w:cs="Times New Roman"/>
                <w:b/>
                <w:bCs/>
                <w:color w:val="000000"/>
                <w:kern w:val="0"/>
                <w:sz w:val="20"/>
                <w:szCs w:val="20"/>
                <w14:numSpacing w14:val="default"/>
              </w:rPr>
              <w:t xml:space="preserve"> Index 2019 ranking</w:t>
            </w:r>
          </w:p>
        </w:tc>
      </w:tr>
      <w:tr w:rsidRPr="00D36C7F" w:rsidR="00781948" w:rsidTr="00D82D74" w14:paraId="7319CDD9" w14:textId="77777777">
        <w:tc>
          <w:tcPr>
            <w:tcW w:w="1450" w:type="dxa"/>
            <w:tcBorders>
              <w:left w:val="nil"/>
              <w:bottom w:val="single" w:color="auto" w:sz="4" w:space="0"/>
              <w:right w:val="nil"/>
            </w:tcBorders>
          </w:tcPr>
          <w:p w:rsidRPr="00D36C7F" w:rsidR="00781948" w:rsidP="00314292" w:rsidRDefault="00781948" w14:paraId="7319CDD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i/>
                <w:iCs/>
                <w:color w:val="000000"/>
                <w:kern w:val="0"/>
                <w:sz w:val="20"/>
                <w:szCs w:val="20"/>
                <w14:numSpacing w14:val="default"/>
              </w:rPr>
            </w:pPr>
            <w:r w:rsidRPr="00D36C7F">
              <w:rPr>
                <w:rFonts w:ascii="Times New Roman" w:hAnsi="Times New Roman" w:cs="Times New Roman"/>
                <w:i/>
                <w:iCs/>
                <w:color w:val="000000"/>
                <w:kern w:val="0"/>
                <w:sz w:val="20"/>
                <w:szCs w:val="20"/>
                <w14:numSpacing w14:val="default"/>
              </w:rPr>
              <w:t>Ranking</w:t>
            </w:r>
          </w:p>
        </w:tc>
        <w:tc>
          <w:tcPr>
            <w:tcW w:w="4754" w:type="dxa"/>
            <w:tcBorders>
              <w:left w:val="nil"/>
              <w:bottom w:val="single" w:color="auto" w:sz="4" w:space="0"/>
              <w:right w:val="nil"/>
            </w:tcBorders>
          </w:tcPr>
          <w:p w:rsidRPr="00D36C7F" w:rsidR="00781948" w:rsidP="00314292" w:rsidRDefault="00781948" w14:paraId="7319CDD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i/>
                <w:iCs/>
                <w:color w:val="000000"/>
                <w:kern w:val="0"/>
                <w:sz w:val="20"/>
                <w:szCs w:val="20"/>
                <w14:numSpacing w14:val="default"/>
              </w:rPr>
            </w:pPr>
            <w:r w:rsidRPr="00D36C7F">
              <w:rPr>
                <w:rFonts w:ascii="Times New Roman" w:hAnsi="Times New Roman" w:cs="Times New Roman"/>
                <w:i/>
                <w:iCs/>
                <w:color w:val="000000"/>
                <w:kern w:val="0"/>
                <w:sz w:val="20"/>
                <w:szCs w:val="20"/>
                <w14:numSpacing w14:val="default"/>
              </w:rPr>
              <w:t>Land/</w:t>
            </w:r>
            <w:proofErr w:type="spellStart"/>
            <w:r w:rsidRPr="00D36C7F">
              <w:rPr>
                <w:rFonts w:ascii="Times New Roman" w:hAnsi="Times New Roman" w:cs="Times New Roman"/>
                <w:i/>
                <w:iCs/>
                <w:color w:val="000000"/>
                <w:kern w:val="0"/>
                <w:sz w:val="20"/>
                <w:szCs w:val="20"/>
                <w14:numSpacing w14:val="default"/>
              </w:rPr>
              <w:t>Jurisdiction</w:t>
            </w:r>
            <w:proofErr w:type="spellEnd"/>
          </w:p>
        </w:tc>
      </w:tr>
      <w:tr w:rsidRPr="00D36C7F" w:rsidR="00781948" w:rsidTr="00D82D74" w14:paraId="7319CDDC" w14:textId="77777777">
        <w:tc>
          <w:tcPr>
            <w:tcW w:w="1450" w:type="dxa"/>
            <w:tcBorders>
              <w:top w:val="single" w:color="auto" w:sz="4" w:space="0"/>
              <w:left w:val="nil"/>
              <w:bottom w:val="nil"/>
              <w:right w:val="nil"/>
            </w:tcBorders>
          </w:tcPr>
          <w:p w:rsidRPr="00D36C7F" w:rsidR="00781948" w:rsidP="00314292" w:rsidRDefault="00781948" w14:paraId="7319CDD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D36C7F">
              <w:rPr>
                <w:rFonts w:ascii="Times New Roman" w:hAnsi="Times New Roman" w:cs="Times New Roman"/>
                <w:color w:val="000000"/>
                <w:kern w:val="0"/>
                <w:sz w:val="20"/>
                <w:szCs w:val="20"/>
                <w14:numSpacing w14:val="default"/>
              </w:rPr>
              <w:t>1</w:t>
            </w:r>
          </w:p>
        </w:tc>
        <w:tc>
          <w:tcPr>
            <w:tcW w:w="4754" w:type="dxa"/>
            <w:tcBorders>
              <w:top w:val="single" w:color="auto" w:sz="4" w:space="0"/>
              <w:left w:val="nil"/>
              <w:bottom w:val="nil"/>
              <w:right w:val="nil"/>
            </w:tcBorders>
          </w:tcPr>
          <w:p w:rsidRPr="00D36C7F" w:rsidR="00781948" w:rsidP="00314292" w:rsidRDefault="00781948" w14:paraId="7319CDD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D36C7F">
              <w:rPr>
                <w:rFonts w:ascii="Times New Roman" w:hAnsi="Times New Roman" w:cs="Times New Roman"/>
                <w:color w:val="000000"/>
                <w:kern w:val="0"/>
                <w:sz w:val="20"/>
                <w:szCs w:val="20"/>
                <w14:numSpacing w14:val="default"/>
              </w:rPr>
              <w:t>Brittiska Jungfruöarna</w:t>
            </w:r>
          </w:p>
        </w:tc>
      </w:tr>
      <w:tr w:rsidRPr="00D36C7F" w:rsidR="00781948" w:rsidTr="00D82D74" w14:paraId="7319CDDF" w14:textId="77777777">
        <w:tc>
          <w:tcPr>
            <w:tcW w:w="1450" w:type="dxa"/>
            <w:tcBorders>
              <w:top w:val="nil"/>
              <w:left w:val="nil"/>
              <w:bottom w:val="nil"/>
              <w:right w:val="nil"/>
            </w:tcBorders>
          </w:tcPr>
          <w:p w:rsidRPr="00D36C7F" w:rsidR="00781948" w:rsidP="00314292" w:rsidRDefault="00781948" w14:paraId="7319CDD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D36C7F">
              <w:rPr>
                <w:rFonts w:ascii="Times New Roman" w:hAnsi="Times New Roman" w:cs="Times New Roman"/>
                <w:color w:val="000000"/>
                <w:kern w:val="0"/>
                <w:sz w:val="20"/>
                <w:szCs w:val="20"/>
                <w14:numSpacing w14:val="default"/>
              </w:rPr>
              <w:t>2</w:t>
            </w:r>
          </w:p>
        </w:tc>
        <w:tc>
          <w:tcPr>
            <w:tcW w:w="4754" w:type="dxa"/>
            <w:tcBorders>
              <w:top w:val="nil"/>
              <w:left w:val="nil"/>
              <w:bottom w:val="nil"/>
              <w:right w:val="nil"/>
            </w:tcBorders>
          </w:tcPr>
          <w:p w:rsidRPr="00D36C7F" w:rsidR="00781948" w:rsidP="00314292" w:rsidRDefault="00781948" w14:paraId="7319CDD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D36C7F">
              <w:rPr>
                <w:rFonts w:ascii="Times New Roman" w:hAnsi="Times New Roman" w:cs="Times New Roman"/>
                <w:color w:val="000000"/>
                <w:kern w:val="0"/>
                <w:sz w:val="20"/>
                <w:szCs w:val="20"/>
                <w14:numSpacing w14:val="default"/>
              </w:rPr>
              <w:t>Bermuda</w:t>
            </w:r>
          </w:p>
        </w:tc>
      </w:tr>
      <w:tr w:rsidRPr="00D36C7F" w:rsidR="00781948" w:rsidTr="00D82D74" w14:paraId="7319CDE2" w14:textId="77777777">
        <w:tc>
          <w:tcPr>
            <w:tcW w:w="1450" w:type="dxa"/>
            <w:tcBorders>
              <w:top w:val="nil"/>
              <w:left w:val="nil"/>
              <w:bottom w:val="nil"/>
              <w:right w:val="nil"/>
            </w:tcBorders>
          </w:tcPr>
          <w:p w:rsidRPr="00D36C7F" w:rsidR="00781948" w:rsidP="00314292" w:rsidRDefault="00781948" w14:paraId="7319CDE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D36C7F">
              <w:rPr>
                <w:rFonts w:ascii="Times New Roman" w:hAnsi="Times New Roman" w:cs="Times New Roman"/>
                <w:color w:val="000000"/>
                <w:kern w:val="0"/>
                <w:sz w:val="20"/>
                <w:szCs w:val="20"/>
                <w14:numSpacing w14:val="default"/>
              </w:rPr>
              <w:t>3</w:t>
            </w:r>
          </w:p>
        </w:tc>
        <w:tc>
          <w:tcPr>
            <w:tcW w:w="4754" w:type="dxa"/>
            <w:tcBorders>
              <w:top w:val="nil"/>
              <w:left w:val="nil"/>
              <w:bottom w:val="nil"/>
              <w:right w:val="nil"/>
            </w:tcBorders>
          </w:tcPr>
          <w:p w:rsidRPr="00D36C7F" w:rsidR="00781948" w:rsidP="00314292" w:rsidRDefault="00781948" w14:paraId="7319CDE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D36C7F">
              <w:rPr>
                <w:rFonts w:ascii="Times New Roman" w:hAnsi="Times New Roman" w:cs="Times New Roman"/>
                <w:color w:val="000000"/>
                <w:kern w:val="0"/>
                <w:sz w:val="20"/>
                <w:szCs w:val="20"/>
                <w14:numSpacing w14:val="default"/>
              </w:rPr>
              <w:t>Caymanöarna</w:t>
            </w:r>
          </w:p>
        </w:tc>
      </w:tr>
      <w:tr w:rsidRPr="00D36C7F" w:rsidR="00781948" w:rsidTr="00D82D74" w14:paraId="7319CDE5" w14:textId="77777777">
        <w:tc>
          <w:tcPr>
            <w:tcW w:w="1450" w:type="dxa"/>
            <w:tcBorders>
              <w:top w:val="nil"/>
              <w:left w:val="nil"/>
              <w:bottom w:val="nil"/>
              <w:right w:val="nil"/>
            </w:tcBorders>
          </w:tcPr>
          <w:p w:rsidRPr="00D36C7F" w:rsidR="00781948" w:rsidP="00314292" w:rsidRDefault="00781948" w14:paraId="7319CDE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D36C7F">
              <w:rPr>
                <w:rFonts w:ascii="Times New Roman" w:hAnsi="Times New Roman" w:cs="Times New Roman"/>
                <w:color w:val="000000"/>
                <w:kern w:val="0"/>
                <w:sz w:val="20"/>
                <w:szCs w:val="20"/>
                <w14:numSpacing w14:val="default"/>
              </w:rPr>
              <w:t>4</w:t>
            </w:r>
          </w:p>
        </w:tc>
        <w:tc>
          <w:tcPr>
            <w:tcW w:w="4754" w:type="dxa"/>
            <w:tcBorders>
              <w:top w:val="nil"/>
              <w:left w:val="nil"/>
              <w:bottom w:val="nil"/>
              <w:right w:val="nil"/>
            </w:tcBorders>
          </w:tcPr>
          <w:p w:rsidRPr="00D36C7F" w:rsidR="00781948" w:rsidP="00314292" w:rsidRDefault="00781948" w14:paraId="7319CDE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D36C7F">
              <w:rPr>
                <w:rFonts w:ascii="Times New Roman" w:hAnsi="Times New Roman" w:cs="Times New Roman"/>
                <w:color w:val="000000"/>
                <w:kern w:val="0"/>
                <w:sz w:val="20"/>
                <w:szCs w:val="20"/>
                <w14:numSpacing w14:val="default"/>
              </w:rPr>
              <w:t>Nederländerna</w:t>
            </w:r>
          </w:p>
        </w:tc>
      </w:tr>
      <w:tr w:rsidRPr="00D36C7F" w:rsidR="00781948" w:rsidTr="00D82D74" w14:paraId="7319CDE8" w14:textId="77777777">
        <w:tc>
          <w:tcPr>
            <w:tcW w:w="1450" w:type="dxa"/>
            <w:tcBorders>
              <w:top w:val="nil"/>
              <w:left w:val="nil"/>
              <w:bottom w:val="nil"/>
              <w:right w:val="nil"/>
            </w:tcBorders>
          </w:tcPr>
          <w:p w:rsidRPr="00D36C7F" w:rsidR="00781948" w:rsidP="00314292" w:rsidRDefault="00781948" w14:paraId="7319CDE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D36C7F">
              <w:rPr>
                <w:rFonts w:ascii="Times New Roman" w:hAnsi="Times New Roman" w:cs="Times New Roman"/>
                <w:color w:val="000000"/>
                <w:kern w:val="0"/>
                <w:sz w:val="20"/>
                <w:szCs w:val="20"/>
                <w14:numSpacing w14:val="default"/>
              </w:rPr>
              <w:t>5</w:t>
            </w:r>
          </w:p>
        </w:tc>
        <w:tc>
          <w:tcPr>
            <w:tcW w:w="4754" w:type="dxa"/>
            <w:tcBorders>
              <w:top w:val="nil"/>
              <w:left w:val="nil"/>
              <w:bottom w:val="nil"/>
              <w:right w:val="nil"/>
            </w:tcBorders>
          </w:tcPr>
          <w:p w:rsidRPr="00D36C7F" w:rsidR="00781948" w:rsidP="00314292" w:rsidRDefault="00781948" w14:paraId="7319CDE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D36C7F">
              <w:rPr>
                <w:rFonts w:ascii="Times New Roman" w:hAnsi="Times New Roman" w:cs="Times New Roman"/>
                <w:color w:val="000000"/>
                <w:kern w:val="0"/>
                <w:sz w:val="20"/>
                <w:szCs w:val="20"/>
                <w14:numSpacing w14:val="default"/>
              </w:rPr>
              <w:t>Schweiz</w:t>
            </w:r>
          </w:p>
        </w:tc>
      </w:tr>
      <w:tr w:rsidRPr="00D36C7F" w:rsidR="00781948" w:rsidTr="00D82D74" w14:paraId="7319CDEB" w14:textId="77777777">
        <w:tc>
          <w:tcPr>
            <w:tcW w:w="1450" w:type="dxa"/>
            <w:tcBorders>
              <w:top w:val="nil"/>
              <w:left w:val="nil"/>
              <w:bottom w:val="nil"/>
              <w:right w:val="nil"/>
            </w:tcBorders>
          </w:tcPr>
          <w:p w:rsidRPr="00D36C7F" w:rsidR="00781948" w:rsidP="00314292" w:rsidRDefault="00781948" w14:paraId="7319CDE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D36C7F">
              <w:rPr>
                <w:rFonts w:ascii="Times New Roman" w:hAnsi="Times New Roman" w:cs="Times New Roman"/>
                <w:color w:val="000000"/>
                <w:kern w:val="0"/>
                <w:sz w:val="20"/>
                <w:szCs w:val="20"/>
                <w14:numSpacing w14:val="default"/>
              </w:rPr>
              <w:t>6</w:t>
            </w:r>
          </w:p>
        </w:tc>
        <w:tc>
          <w:tcPr>
            <w:tcW w:w="4754" w:type="dxa"/>
            <w:tcBorders>
              <w:top w:val="nil"/>
              <w:left w:val="nil"/>
              <w:bottom w:val="nil"/>
              <w:right w:val="nil"/>
            </w:tcBorders>
          </w:tcPr>
          <w:p w:rsidRPr="00D36C7F" w:rsidR="00781948" w:rsidP="00314292" w:rsidRDefault="00781948" w14:paraId="7319CDE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D36C7F">
              <w:rPr>
                <w:rFonts w:ascii="Times New Roman" w:hAnsi="Times New Roman" w:cs="Times New Roman"/>
                <w:color w:val="000000"/>
                <w:kern w:val="0"/>
                <w:sz w:val="20"/>
                <w:szCs w:val="20"/>
                <w14:numSpacing w14:val="default"/>
              </w:rPr>
              <w:t>Lux</w:t>
            </w:r>
            <w:r w:rsidRPr="00D36C7F" w:rsidR="00B555AC">
              <w:rPr>
                <w:rFonts w:ascii="Times New Roman" w:hAnsi="Times New Roman" w:cs="Times New Roman"/>
                <w:color w:val="000000"/>
                <w:kern w:val="0"/>
                <w:sz w:val="20"/>
                <w:szCs w:val="20"/>
                <w14:numSpacing w14:val="default"/>
              </w:rPr>
              <w:t>emburg</w:t>
            </w:r>
          </w:p>
        </w:tc>
      </w:tr>
      <w:tr w:rsidRPr="00D36C7F" w:rsidR="00781948" w:rsidTr="00D82D74" w14:paraId="7319CDEE" w14:textId="77777777">
        <w:tc>
          <w:tcPr>
            <w:tcW w:w="1450" w:type="dxa"/>
            <w:tcBorders>
              <w:top w:val="nil"/>
              <w:left w:val="nil"/>
              <w:bottom w:val="nil"/>
              <w:right w:val="nil"/>
            </w:tcBorders>
          </w:tcPr>
          <w:p w:rsidRPr="00D36C7F" w:rsidR="00781948" w:rsidP="00314292" w:rsidRDefault="00781948" w14:paraId="7319CDE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D36C7F">
              <w:rPr>
                <w:rFonts w:ascii="Times New Roman" w:hAnsi="Times New Roman" w:cs="Times New Roman"/>
                <w:color w:val="000000"/>
                <w:kern w:val="0"/>
                <w:sz w:val="20"/>
                <w:szCs w:val="20"/>
                <w14:numSpacing w14:val="default"/>
              </w:rPr>
              <w:t>7</w:t>
            </w:r>
          </w:p>
        </w:tc>
        <w:tc>
          <w:tcPr>
            <w:tcW w:w="4754" w:type="dxa"/>
            <w:tcBorders>
              <w:top w:val="nil"/>
              <w:left w:val="nil"/>
              <w:bottom w:val="nil"/>
              <w:right w:val="nil"/>
            </w:tcBorders>
          </w:tcPr>
          <w:p w:rsidRPr="00D36C7F" w:rsidR="00781948" w:rsidP="00314292" w:rsidRDefault="00781948" w14:paraId="7319CDE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D36C7F">
              <w:rPr>
                <w:rFonts w:ascii="Times New Roman" w:hAnsi="Times New Roman" w:cs="Times New Roman"/>
                <w:color w:val="000000"/>
                <w:kern w:val="0"/>
                <w:sz w:val="20"/>
                <w:szCs w:val="20"/>
                <w14:numSpacing w14:val="default"/>
              </w:rPr>
              <w:t>Jersey</w:t>
            </w:r>
          </w:p>
        </w:tc>
      </w:tr>
      <w:tr w:rsidRPr="00D36C7F" w:rsidR="00781948" w:rsidTr="00D82D74" w14:paraId="7319CDF1" w14:textId="77777777">
        <w:tc>
          <w:tcPr>
            <w:tcW w:w="1450" w:type="dxa"/>
            <w:tcBorders>
              <w:top w:val="nil"/>
              <w:left w:val="nil"/>
              <w:bottom w:val="nil"/>
              <w:right w:val="nil"/>
            </w:tcBorders>
          </w:tcPr>
          <w:p w:rsidRPr="00D36C7F" w:rsidR="00781948" w:rsidP="00314292" w:rsidRDefault="00781948" w14:paraId="7319CDE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D36C7F">
              <w:rPr>
                <w:rFonts w:ascii="Times New Roman" w:hAnsi="Times New Roman" w:cs="Times New Roman"/>
                <w:color w:val="000000"/>
                <w:kern w:val="0"/>
                <w:sz w:val="20"/>
                <w:szCs w:val="20"/>
                <w14:numSpacing w14:val="default"/>
              </w:rPr>
              <w:t>8</w:t>
            </w:r>
          </w:p>
        </w:tc>
        <w:tc>
          <w:tcPr>
            <w:tcW w:w="4754" w:type="dxa"/>
            <w:tcBorders>
              <w:top w:val="nil"/>
              <w:left w:val="nil"/>
              <w:bottom w:val="nil"/>
              <w:right w:val="nil"/>
            </w:tcBorders>
          </w:tcPr>
          <w:p w:rsidRPr="00D36C7F" w:rsidR="00781948" w:rsidP="00314292" w:rsidRDefault="00781948" w14:paraId="7319CDF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D36C7F">
              <w:rPr>
                <w:rFonts w:ascii="Times New Roman" w:hAnsi="Times New Roman" w:cs="Times New Roman"/>
                <w:color w:val="000000"/>
                <w:kern w:val="0"/>
                <w:sz w:val="20"/>
                <w:szCs w:val="20"/>
                <w14:numSpacing w14:val="default"/>
              </w:rPr>
              <w:t>Singapore</w:t>
            </w:r>
          </w:p>
        </w:tc>
      </w:tr>
      <w:tr w:rsidRPr="00D36C7F" w:rsidR="00781948" w:rsidTr="00D82D74" w14:paraId="7319CDF4" w14:textId="77777777">
        <w:tc>
          <w:tcPr>
            <w:tcW w:w="1450" w:type="dxa"/>
            <w:tcBorders>
              <w:top w:val="nil"/>
              <w:left w:val="nil"/>
              <w:bottom w:val="nil"/>
              <w:right w:val="nil"/>
            </w:tcBorders>
          </w:tcPr>
          <w:p w:rsidRPr="00D36C7F" w:rsidR="00781948" w:rsidP="00314292" w:rsidRDefault="00781948" w14:paraId="7319CDF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D36C7F">
              <w:rPr>
                <w:rFonts w:ascii="Times New Roman" w:hAnsi="Times New Roman" w:cs="Times New Roman"/>
                <w:color w:val="000000"/>
                <w:kern w:val="0"/>
                <w:sz w:val="20"/>
                <w:szCs w:val="20"/>
                <w14:numSpacing w14:val="default"/>
              </w:rPr>
              <w:t>9</w:t>
            </w:r>
          </w:p>
        </w:tc>
        <w:tc>
          <w:tcPr>
            <w:tcW w:w="4754" w:type="dxa"/>
            <w:tcBorders>
              <w:top w:val="nil"/>
              <w:left w:val="nil"/>
              <w:bottom w:val="nil"/>
              <w:right w:val="nil"/>
            </w:tcBorders>
          </w:tcPr>
          <w:p w:rsidRPr="00D36C7F" w:rsidR="00781948" w:rsidP="00314292" w:rsidRDefault="00781948" w14:paraId="7319CDF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D36C7F">
              <w:rPr>
                <w:rFonts w:ascii="Times New Roman" w:hAnsi="Times New Roman" w:cs="Times New Roman"/>
                <w:color w:val="000000"/>
                <w:kern w:val="0"/>
                <w:sz w:val="20"/>
                <w:szCs w:val="20"/>
                <w14:numSpacing w14:val="default"/>
              </w:rPr>
              <w:t>Bahamas</w:t>
            </w:r>
          </w:p>
        </w:tc>
      </w:tr>
      <w:tr w:rsidRPr="00D36C7F" w:rsidR="00781948" w:rsidTr="00D82D74" w14:paraId="7319CDF7" w14:textId="77777777">
        <w:tc>
          <w:tcPr>
            <w:tcW w:w="1450" w:type="dxa"/>
            <w:tcBorders>
              <w:top w:val="nil"/>
              <w:left w:val="nil"/>
              <w:bottom w:val="nil"/>
              <w:right w:val="nil"/>
            </w:tcBorders>
          </w:tcPr>
          <w:p w:rsidRPr="00D36C7F" w:rsidR="00781948" w:rsidP="00314292" w:rsidRDefault="00781948" w14:paraId="7319CDF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D36C7F">
              <w:rPr>
                <w:rFonts w:ascii="Times New Roman" w:hAnsi="Times New Roman" w:cs="Times New Roman"/>
                <w:color w:val="000000"/>
                <w:kern w:val="0"/>
                <w:sz w:val="20"/>
                <w:szCs w:val="20"/>
                <w14:numSpacing w14:val="default"/>
              </w:rPr>
              <w:t>10</w:t>
            </w:r>
          </w:p>
        </w:tc>
        <w:tc>
          <w:tcPr>
            <w:tcW w:w="4754" w:type="dxa"/>
            <w:tcBorders>
              <w:top w:val="nil"/>
              <w:left w:val="nil"/>
              <w:bottom w:val="nil"/>
              <w:right w:val="nil"/>
            </w:tcBorders>
          </w:tcPr>
          <w:p w:rsidRPr="00D36C7F" w:rsidR="00781948" w:rsidP="00314292" w:rsidRDefault="00781948" w14:paraId="7319CDF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D36C7F">
              <w:rPr>
                <w:rFonts w:ascii="Times New Roman" w:hAnsi="Times New Roman" w:cs="Times New Roman"/>
                <w:color w:val="000000"/>
                <w:kern w:val="0"/>
                <w:sz w:val="20"/>
                <w:szCs w:val="20"/>
                <w14:numSpacing w14:val="default"/>
              </w:rPr>
              <w:t>Hongkong</w:t>
            </w:r>
          </w:p>
        </w:tc>
      </w:tr>
      <w:tr w:rsidRPr="00D36C7F" w:rsidR="00781948" w:rsidTr="00D82D74" w14:paraId="7319CDFA" w14:textId="77777777">
        <w:tc>
          <w:tcPr>
            <w:tcW w:w="1450" w:type="dxa"/>
            <w:tcBorders>
              <w:top w:val="nil"/>
              <w:left w:val="nil"/>
              <w:bottom w:val="nil"/>
              <w:right w:val="nil"/>
            </w:tcBorders>
          </w:tcPr>
          <w:p w:rsidRPr="00D36C7F" w:rsidR="00781948" w:rsidP="00314292" w:rsidRDefault="00781948" w14:paraId="7319CDF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D36C7F">
              <w:rPr>
                <w:rFonts w:ascii="Times New Roman" w:hAnsi="Times New Roman" w:cs="Times New Roman"/>
                <w:color w:val="000000"/>
                <w:kern w:val="0"/>
                <w:sz w:val="20"/>
                <w:szCs w:val="20"/>
                <w14:numSpacing w14:val="default"/>
              </w:rPr>
              <w:t>11</w:t>
            </w:r>
          </w:p>
        </w:tc>
        <w:tc>
          <w:tcPr>
            <w:tcW w:w="4754" w:type="dxa"/>
            <w:tcBorders>
              <w:top w:val="nil"/>
              <w:left w:val="nil"/>
              <w:bottom w:val="nil"/>
              <w:right w:val="nil"/>
            </w:tcBorders>
          </w:tcPr>
          <w:p w:rsidRPr="00D36C7F" w:rsidR="00781948" w:rsidP="00314292" w:rsidRDefault="00781948" w14:paraId="7319CDF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D36C7F">
              <w:rPr>
                <w:rFonts w:ascii="Times New Roman" w:hAnsi="Times New Roman" w:cs="Times New Roman"/>
                <w:color w:val="000000"/>
                <w:kern w:val="0"/>
                <w:sz w:val="20"/>
                <w:szCs w:val="20"/>
                <w14:numSpacing w14:val="default"/>
              </w:rPr>
              <w:t>Irland</w:t>
            </w:r>
          </w:p>
        </w:tc>
      </w:tr>
      <w:tr w:rsidRPr="00D36C7F" w:rsidR="00781948" w:rsidTr="00D82D74" w14:paraId="7319CDFD" w14:textId="77777777">
        <w:tc>
          <w:tcPr>
            <w:tcW w:w="1450" w:type="dxa"/>
            <w:tcBorders>
              <w:top w:val="nil"/>
              <w:left w:val="nil"/>
              <w:bottom w:val="nil"/>
              <w:right w:val="nil"/>
            </w:tcBorders>
          </w:tcPr>
          <w:p w:rsidRPr="00D36C7F" w:rsidR="00781948" w:rsidP="00314292" w:rsidRDefault="00781948" w14:paraId="7319CDF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D36C7F">
              <w:rPr>
                <w:rFonts w:ascii="Times New Roman" w:hAnsi="Times New Roman" w:cs="Times New Roman"/>
                <w:color w:val="000000"/>
                <w:kern w:val="0"/>
                <w:sz w:val="20"/>
                <w:szCs w:val="20"/>
                <w14:numSpacing w14:val="default"/>
              </w:rPr>
              <w:t>12</w:t>
            </w:r>
          </w:p>
        </w:tc>
        <w:tc>
          <w:tcPr>
            <w:tcW w:w="4754" w:type="dxa"/>
            <w:tcBorders>
              <w:top w:val="nil"/>
              <w:left w:val="nil"/>
              <w:bottom w:val="nil"/>
              <w:right w:val="nil"/>
            </w:tcBorders>
          </w:tcPr>
          <w:p w:rsidRPr="00D36C7F" w:rsidR="00781948" w:rsidP="00314292" w:rsidRDefault="00781948" w14:paraId="7319CDF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D36C7F">
              <w:rPr>
                <w:rFonts w:ascii="Times New Roman" w:hAnsi="Times New Roman" w:cs="Times New Roman"/>
                <w:color w:val="000000"/>
                <w:kern w:val="0"/>
                <w:sz w:val="20"/>
                <w:szCs w:val="20"/>
                <w14:numSpacing w14:val="default"/>
              </w:rPr>
              <w:t>Förenade Arabemiraten</w:t>
            </w:r>
          </w:p>
        </w:tc>
      </w:tr>
      <w:tr w:rsidRPr="00D36C7F" w:rsidR="00781948" w:rsidTr="00D82D74" w14:paraId="7319CE00" w14:textId="77777777">
        <w:tc>
          <w:tcPr>
            <w:tcW w:w="1450" w:type="dxa"/>
            <w:tcBorders>
              <w:top w:val="nil"/>
              <w:left w:val="nil"/>
              <w:bottom w:val="nil"/>
              <w:right w:val="nil"/>
            </w:tcBorders>
          </w:tcPr>
          <w:p w:rsidRPr="00D36C7F" w:rsidR="00781948" w:rsidP="00314292" w:rsidRDefault="00781948" w14:paraId="7319CDF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D36C7F">
              <w:rPr>
                <w:rFonts w:ascii="Times New Roman" w:hAnsi="Times New Roman" w:cs="Times New Roman"/>
                <w:color w:val="000000"/>
                <w:kern w:val="0"/>
                <w:sz w:val="20"/>
                <w:szCs w:val="20"/>
                <w14:numSpacing w14:val="default"/>
              </w:rPr>
              <w:t>13</w:t>
            </w:r>
          </w:p>
        </w:tc>
        <w:tc>
          <w:tcPr>
            <w:tcW w:w="4754" w:type="dxa"/>
            <w:tcBorders>
              <w:top w:val="nil"/>
              <w:left w:val="nil"/>
              <w:bottom w:val="nil"/>
              <w:right w:val="nil"/>
            </w:tcBorders>
          </w:tcPr>
          <w:p w:rsidRPr="00D36C7F" w:rsidR="00781948" w:rsidP="00314292" w:rsidRDefault="00781948" w14:paraId="7319CDF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D36C7F">
              <w:rPr>
                <w:rFonts w:ascii="Times New Roman" w:hAnsi="Times New Roman" w:cs="Times New Roman"/>
                <w:color w:val="000000"/>
                <w:kern w:val="0"/>
                <w:sz w:val="20"/>
                <w:szCs w:val="20"/>
                <w14:numSpacing w14:val="default"/>
              </w:rPr>
              <w:t>Storbritannien</w:t>
            </w:r>
          </w:p>
        </w:tc>
      </w:tr>
      <w:tr w:rsidRPr="00D36C7F" w:rsidR="00781948" w:rsidTr="00D82D74" w14:paraId="7319CE03" w14:textId="77777777">
        <w:tc>
          <w:tcPr>
            <w:tcW w:w="1450" w:type="dxa"/>
            <w:tcBorders>
              <w:top w:val="nil"/>
              <w:left w:val="nil"/>
              <w:right w:val="nil"/>
            </w:tcBorders>
          </w:tcPr>
          <w:p w:rsidRPr="00D36C7F" w:rsidR="00781948" w:rsidP="00314292" w:rsidRDefault="00781948" w14:paraId="7319CE0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D36C7F">
              <w:rPr>
                <w:rFonts w:ascii="Times New Roman" w:hAnsi="Times New Roman" w:cs="Times New Roman"/>
                <w:color w:val="000000"/>
                <w:kern w:val="0"/>
                <w:sz w:val="20"/>
                <w:szCs w:val="20"/>
                <w14:numSpacing w14:val="default"/>
              </w:rPr>
              <w:t>14</w:t>
            </w:r>
          </w:p>
        </w:tc>
        <w:tc>
          <w:tcPr>
            <w:tcW w:w="4754" w:type="dxa"/>
            <w:tcBorders>
              <w:top w:val="nil"/>
              <w:left w:val="nil"/>
              <w:right w:val="nil"/>
            </w:tcBorders>
          </w:tcPr>
          <w:p w:rsidRPr="00D36C7F" w:rsidR="00781948" w:rsidP="00314292" w:rsidRDefault="00781948" w14:paraId="7319CE0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D36C7F">
              <w:rPr>
                <w:rFonts w:ascii="Times New Roman" w:hAnsi="Times New Roman" w:cs="Times New Roman"/>
                <w:color w:val="000000"/>
                <w:kern w:val="0"/>
                <w:sz w:val="20"/>
                <w:szCs w:val="20"/>
                <w14:numSpacing w14:val="default"/>
              </w:rPr>
              <w:t>Mauritius</w:t>
            </w:r>
          </w:p>
        </w:tc>
      </w:tr>
      <w:tr w:rsidRPr="00D36C7F" w:rsidR="00781948" w:rsidTr="00D82D74" w14:paraId="7319CE06" w14:textId="77777777">
        <w:tc>
          <w:tcPr>
            <w:tcW w:w="1450" w:type="dxa"/>
            <w:tcBorders>
              <w:top w:val="nil"/>
              <w:left w:val="nil"/>
              <w:bottom w:val="single" w:color="auto" w:sz="4" w:space="0"/>
              <w:right w:val="nil"/>
            </w:tcBorders>
          </w:tcPr>
          <w:p w:rsidRPr="00D36C7F" w:rsidR="00781948" w:rsidP="00314292" w:rsidRDefault="00781948" w14:paraId="7319CE0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D36C7F">
              <w:rPr>
                <w:rFonts w:ascii="Times New Roman" w:hAnsi="Times New Roman" w:cs="Times New Roman"/>
                <w:color w:val="000000"/>
                <w:kern w:val="0"/>
                <w:sz w:val="20"/>
                <w:szCs w:val="20"/>
                <w14:numSpacing w14:val="default"/>
              </w:rPr>
              <w:t>15</w:t>
            </w:r>
          </w:p>
        </w:tc>
        <w:tc>
          <w:tcPr>
            <w:tcW w:w="4754" w:type="dxa"/>
            <w:tcBorders>
              <w:top w:val="nil"/>
              <w:left w:val="nil"/>
              <w:bottom w:val="single" w:color="auto" w:sz="4" w:space="0"/>
              <w:right w:val="nil"/>
            </w:tcBorders>
          </w:tcPr>
          <w:p w:rsidRPr="00D36C7F" w:rsidR="00781948" w:rsidP="00314292" w:rsidRDefault="00781948" w14:paraId="7319CE0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D36C7F">
              <w:rPr>
                <w:rFonts w:ascii="Times New Roman" w:hAnsi="Times New Roman" w:cs="Times New Roman"/>
                <w:color w:val="000000"/>
                <w:kern w:val="0"/>
                <w:sz w:val="20"/>
                <w:szCs w:val="20"/>
                <w14:numSpacing w14:val="default"/>
              </w:rPr>
              <w:t>Guernsey</w:t>
            </w:r>
          </w:p>
        </w:tc>
      </w:tr>
    </w:tbl>
    <w:p w:rsidRPr="00314292" w:rsidR="00781948" w:rsidP="00314292" w:rsidRDefault="00D54A53" w14:paraId="7319CE07" w14:textId="77777777">
      <w:pPr>
        <w:pStyle w:val="Klla"/>
      </w:pPr>
      <w:r w:rsidRPr="00314292">
        <w:t xml:space="preserve">Källa: Tax </w:t>
      </w:r>
      <w:proofErr w:type="spellStart"/>
      <w:r w:rsidRPr="00314292">
        <w:t>Justice</w:t>
      </w:r>
      <w:proofErr w:type="spellEnd"/>
      <w:r w:rsidRPr="00314292">
        <w:t xml:space="preserve"> </w:t>
      </w:r>
      <w:proofErr w:type="spellStart"/>
      <w:r w:rsidRPr="00314292">
        <w:t>Network</w:t>
      </w:r>
      <w:proofErr w:type="spellEnd"/>
      <w:r w:rsidRPr="00314292">
        <w:t xml:space="preserve"> (2020), ”The State </w:t>
      </w:r>
      <w:proofErr w:type="spellStart"/>
      <w:r w:rsidRPr="00314292">
        <w:t>of</w:t>
      </w:r>
      <w:proofErr w:type="spellEnd"/>
      <w:r w:rsidRPr="00314292">
        <w:t xml:space="preserve"> Tax </w:t>
      </w:r>
      <w:proofErr w:type="spellStart"/>
      <w:r w:rsidRPr="00314292">
        <w:t>Justice</w:t>
      </w:r>
      <w:proofErr w:type="spellEnd"/>
      <w:r w:rsidRPr="00314292">
        <w:t xml:space="preserve"> 2020”.</w:t>
      </w:r>
    </w:p>
    <w:p w:rsidRPr="00914A2E" w:rsidR="009D2360" w:rsidP="009E60A9" w:rsidRDefault="009D2360" w14:paraId="7319CE09" w14:textId="46799250">
      <w:pPr>
        <w:pStyle w:val="Normalutanindragellerluft"/>
        <w:spacing w:before="150"/>
      </w:pPr>
      <w:r w:rsidRPr="00914A2E">
        <w:t xml:space="preserve">Som framgår av tabellen ligger Storbritannien högt på listan, och med på listan finns också flera tidigare brittiska områden. Storbritannien, tillsammans med forna och nuvarande brittiska jurisdiktioner i andra områden, benämns i detta sammanhang </w:t>
      </w:r>
      <w:r w:rsidR="00D36C7F">
        <w:t>som</w:t>
      </w:r>
      <w:r w:rsidRPr="00914A2E">
        <w:t xml:space="preserve"> ”The UK </w:t>
      </w:r>
      <w:proofErr w:type="spellStart"/>
      <w:r w:rsidRPr="00914A2E">
        <w:t>spider</w:t>
      </w:r>
      <w:r w:rsidR="00D36C7F">
        <w:t>’</w:t>
      </w:r>
      <w:r w:rsidRPr="00914A2E">
        <w:t>s</w:t>
      </w:r>
      <w:proofErr w:type="spellEnd"/>
      <w:r w:rsidRPr="00914A2E">
        <w:t xml:space="preserve"> web”. Med London som bas fungerar d</w:t>
      </w:r>
      <w:r w:rsidRPr="00914A2E" w:rsidR="002949CD">
        <w:t xml:space="preserve">essa som ett nätverk som underlättar skatteflykt och skatteundandragande. Tax </w:t>
      </w:r>
      <w:proofErr w:type="spellStart"/>
      <w:r w:rsidRPr="00914A2E" w:rsidR="002949CD">
        <w:t>Justice</w:t>
      </w:r>
      <w:proofErr w:type="spellEnd"/>
      <w:r w:rsidRPr="00914A2E" w:rsidR="002949CD">
        <w:t xml:space="preserve"> </w:t>
      </w:r>
      <w:proofErr w:type="spellStart"/>
      <w:r w:rsidRPr="00914A2E" w:rsidR="002949CD">
        <w:t>Network</w:t>
      </w:r>
      <w:proofErr w:type="spellEnd"/>
      <w:r w:rsidRPr="00914A2E" w:rsidR="002949CD">
        <w:t xml:space="preserve"> beräknar att detta nätverk står för ca 30 procent av det globala skattebortfallet till följd av överföringar av bolagsvinster</w:t>
      </w:r>
      <w:r w:rsidRPr="00914A2E" w:rsidR="008C7729">
        <w:t xml:space="preserve">. Sverige, med </w:t>
      </w:r>
      <w:r w:rsidRPr="00914A2E" w:rsidR="00AA5A08">
        <w:t xml:space="preserve">sin </w:t>
      </w:r>
      <w:r w:rsidRPr="00914A2E" w:rsidR="008C7729">
        <w:t>låga bolagsskatt och generösa avdragstidsmöjligheter, kommer på en föga smickrande 29:e plats.</w:t>
      </w:r>
      <w:r w:rsidRPr="00914A2E" w:rsidR="008C7729">
        <w:rPr>
          <w:rStyle w:val="Fotnotsreferens"/>
        </w:rPr>
        <w:footnoteReference w:id="6"/>
      </w:r>
    </w:p>
    <w:p w:rsidRPr="00914A2E" w:rsidR="008C7729" w:rsidP="009E60A9" w:rsidRDefault="008C7729" w14:paraId="7319CE0A" w14:textId="77777777">
      <w:pPr>
        <w:pStyle w:val="Rubrik2numrerat"/>
      </w:pPr>
      <w:bookmarkStart w:name="_Toc115877763" w:id="7"/>
      <w:r w:rsidRPr="00914A2E">
        <w:t>Privat skatteflykt utomlands</w:t>
      </w:r>
      <w:bookmarkEnd w:id="7"/>
    </w:p>
    <w:p w:rsidR="005B7AF0" w:rsidP="00720364" w:rsidRDefault="002737AD" w14:paraId="7319CE0B" w14:textId="110A3A92">
      <w:pPr>
        <w:spacing w:after="300"/>
        <w:ind w:firstLine="0"/>
      </w:pPr>
      <w:r w:rsidRPr="00914A2E">
        <w:t xml:space="preserve">Tax </w:t>
      </w:r>
      <w:proofErr w:type="spellStart"/>
      <w:r w:rsidRPr="00914A2E">
        <w:t>Justice</w:t>
      </w:r>
      <w:proofErr w:type="spellEnd"/>
      <w:r w:rsidRPr="00914A2E">
        <w:t xml:space="preserve"> </w:t>
      </w:r>
      <w:proofErr w:type="spellStart"/>
      <w:r w:rsidRPr="00914A2E">
        <w:t>Network</w:t>
      </w:r>
      <w:proofErr w:type="spellEnd"/>
      <w:r w:rsidRPr="00914A2E">
        <w:t xml:space="preserve"> har också skapat ett ”</w:t>
      </w:r>
      <w:proofErr w:type="spellStart"/>
      <w:r w:rsidRPr="00914A2E">
        <w:rPr>
          <w:rFonts w:cstheme="minorHAnsi"/>
          <w:bCs/>
          <w:color w:val="000000"/>
          <w:kern w:val="0"/>
          <w14:numSpacing w14:val="default"/>
        </w:rPr>
        <w:t>Financial</w:t>
      </w:r>
      <w:proofErr w:type="spellEnd"/>
      <w:r w:rsidRPr="00914A2E">
        <w:rPr>
          <w:rFonts w:cstheme="minorHAnsi"/>
          <w:bCs/>
          <w:color w:val="000000"/>
          <w:kern w:val="0"/>
          <w14:numSpacing w14:val="default"/>
        </w:rPr>
        <w:t xml:space="preserve"> </w:t>
      </w:r>
      <w:proofErr w:type="spellStart"/>
      <w:r w:rsidRPr="00914A2E">
        <w:rPr>
          <w:rFonts w:cstheme="minorHAnsi"/>
          <w:bCs/>
          <w:color w:val="000000"/>
          <w:kern w:val="0"/>
          <w14:numSpacing w14:val="default"/>
        </w:rPr>
        <w:t>Secrecy</w:t>
      </w:r>
      <w:proofErr w:type="spellEnd"/>
      <w:r w:rsidRPr="00914A2E">
        <w:rPr>
          <w:rFonts w:cstheme="minorHAnsi"/>
          <w:bCs/>
          <w:color w:val="000000"/>
          <w:kern w:val="0"/>
          <w14:numSpacing w14:val="default"/>
        </w:rPr>
        <w:t xml:space="preserve"> Index”. </w:t>
      </w:r>
      <w:r w:rsidRPr="00914A2E" w:rsidR="003455F4">
        <w:rPr>
          <w:rFonts w:cstheme="minorHAnsi"/>
          <w:bCs/>
          <w:color w:val="000000"/>
          <w:kern w:val="0"/>
          <w14:numSpacing w14:val="default"/>
        </w:rPr>
        <w:t xml:space="preserve">Som namnet antyder tar indexet fasta på i vilken utsträckning ländernas lagstiftning på området är transparent. Indexet är uppbyggt enligt samma modell som deras </w:t>
      </w:r>
      <w:r w:rsidRPr="00914A2E" w:rsidR="003455F4">
        <w:t xml:space="preserve">”Corporate Tax </w:t>
      </w:r>
      <w:proofErr w:type="spellStart"/>
      <w:r w:rsidRPr="00914A2E" w:rsidR="003455F4">
        <w:t>Heaven</w:t>
      </w:r>
      <w:proofErr w:type="spellEnd"/>
      <w:r w:rsidRPr="00914A2E" w:rsidR="003455F4">
        <w:t xml:space="preserve"> Index”, dvs. det består av två komponenter där den ena komponenten mäter själva lagstiftningen och där den andra komponenten mäter i vilken utsträckning lag</w:t>
      </w:r>
      <w:r w:rsidR="00885723">
        <w:softHyphen/>
      </w:r>
      <w:r w:rsidRPr="00914A2E" w:rsidR="003455F4">
        <w:t xml:space="preserve">stiftningen utnyttjas för att komma undan skatt. </w:t>
      </w:r>
      <w:r w:rsidRPr="00914A2E" w:rsidR="003455F4">
        <w:rPr>
          <w:rFonts w:cstheme="minorHAnsi"/>
          <w:bCs/>
          <w:color w:val="000000"/>
          <w:kern w:val="0"/>
          <w14:numSpacing w14:val="default"/>
        </w:rPr>
        <w:t>Exempel på lagstiftning som påverkar rankingen är om länder tillåter anonyma skalbolag. Ett annat exempel är</w:t>
      </w:r>
      <w:r w:rsidRPr="00914A2E" w:rsidR="00D13223">
        <w:rPr>
          <w:rFonts w:cstheme="minorHAnsi"/>
          <w:bCs/>
          <w:color w:val="000000"/>
          <w:kern w:val="0"/>
          <w14:numSpacing w14:val="default"/>
        </w:rPr>
        <w:t xml:space="preserve"> g</w:t>
      </w:r>
      <w:r w:rsidRPr="00914A2E" w:rsidR="00E97F7F">
        <w:rPr>
          <w:rFonts w:cstheme="minorHAnsi"/>
          <w:bCs/>
          <w:kern w:val="0"/>
          <w14:numSpacing w14:val="default"/>
        </w:rPr>
        <w:t>ra</w:t>
      </w:r>
      <w:r w:rsidRPr="00914A2E" w:rsidR="00D13223">
        <w:rPr>
          <w:rFonts w:cstheme="minorHAnsi"/>
          <w:bCs/>
          <w:color w:val="000000"/>
          <w:kern w:val="0"/>
          <w14:numSpacing w14:val="default"/>
        </w:rPr>
        <w:t>den av banksekretess.</w:t>
      </w:r>
      <w:r w:rsidRPr="00914A2E">
        <w:rPr>
          <w:rFonts w:cstheme="minorHAnsi"/>
          <w:bCs/>
          <w:color w:val="000000"/>
          <w:kern w:val="0"/>
          <w14:numSpacing w14:val="default"/>
        </w:rPr>
        <w:t xml:space="preserve"> </w:t>
      </w:r>
      <w:r w:rsidRPr="00914A2E" w:rsidR="000339BF">
        <w:t xml:space="preserve">I tabellen nedan visas topp 15 över de länder </w:t>
      </w:r>
      <w:r w:rsidRPr="00914A2E" w:rsidR="00AE3BE3">
        <w:t xml:space="preserve">som har </w:t>
      </w:r>
      <w:r w:rsidRPr="00914A2E" w:rsidR="000339BF">
        <w:t>de högsta värdena, dvs. länder</w:t>
      </w:r>
      <w:r w:rsidRPr="00914A2E" w:rsidR="00AE3BE3">
        <w:t>na</w:t>
      </w:r>
      <w:r w:rsidRPr="00914A2E" w:rsidR="000339BF">
        <w:t xml:space="preserve"> med sämst lagstiftning vad gäller transparens avseende </w:t>
      </w:r>
      <w:r w:rsidRPr="00914A2E" w:rsidR="00C21E28">
        <w:t xml:space="preserve">främst </w:t>
      </w:r>
      <w:r w:rsidRPr="00914A2E" w:rsidR="000339BF">
        <w:t>privat</w:t>
      </w:r>
      <w:r w:rsidR="00885723">
        <w:softHyphen/>
      </w:r>
      <w:r w:rsidRPr="00914A2E" w:rsidR="000339BF">
        <w:t>personers</w:t>
      </w:r>
      <w:r w:rsidRPr="00914A2E" w:rsidR="00C21E28">
        <w:t xml:space="preserve"> finansiella placeringar.</w:t>
      </w:r>
      <w:r w:rsidRPr="00914A2E" w:rsidR="007A07C4">
        <w:t xml:space="preserve"> </w:t>
      </w:r>
    </w:p>
    <w:p w:rsidR="005B7AF0" w:rsidRDefault="005B7AF0" w14:paraId="5075BFE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tbl>
      <w:tblPr>
        <w:tblW w:w="5897" w:type="dxa"/>
        <w:tblLayout w:type="fixed"/>
        <w:tblCellMar>
          <w:left w:w="70" w:type="dxa"/>
          <w:right w:w="70" w:type="dxa"/>
        </w:tblCellMar>
        <w:tblLook w:val="0000" w:firstRow="0" w:lastRow="0" w:firstColumn="0" w:lastColumn="0" w:noHBand="0" w:noVBand="0"/>
      </w:tblPr>
      <w:tblGrid>
        <w:gridCol w:w="1354"/>
        <w:gridCol w:w="4543"/>
      </w:tblGrid>
      <w:tr w:rsidRPr="00D36C7F" w:rsidR="001B5D6F" w:rsidTr="002C4FD7" w14:paraId="7319CE0E" w14:textId="77777777">
        <w:trPr>
          <w:trHeight w:val="305"/>
        </w:trPr>
        <w:tc>
          <w:tcPr>
            <w:tcW w:w="7253" w:type="dxa"/>
            <w:gridSpan w:val="2"/>
            <w:tcBorders>
              <w:left w:val="nil"/>
              <w:right w:val="nil"/>
            </w:tcBorders>
            <w:vAlign w:val="bottom"/>
          </w:tcPr>
          <w:p w:rsidRPr="00D36C7F" w:rsidR="001B5D6F" w:rsidP="002C4FD7" w:rsidRDefault="001B5D6F" w14:paraId="7319CE0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rPr>
                <w:rFonts w:ascii="Times New Roman" w:hAnsi="Times New Roman" w:cs="Times New Roman"/>
                <w:b/>
                <w:bCs/>
                <w:color w:val="000000"/>
                <w:kern w:val="0"/>
                <w:sz w:val="20"/>
                <w:szCs w:val="20"/>
                <w14:numSpacing w14:val="default"/>
              </w:rPr>
            </w:pPr>
            <w:r w:rsidRPr="00D36C7F">
              <w:rPr>
                <w:rFonts w:ascii="Times New Roman" w:hAnsi="Times New Roman" w:cs="Times New Roman"/>
                <w:b/>
                <w:bCs/>
                <w:color w:val="000000"/>
                <w:kern w:val="0"/>
                <w:sz w:val="20"/>
                <w:szCs w:val="20"/>
                <w14:numSpacing w14:val="default"/>
              </w:rPr>
              <w:lastRenderedPageBreak/>
              <w:t xml:space="preserve">Tabell 2 </w:t>
            </w:r>
            <w:proofErr w:type="spellStart"/>
            <w:r w:rsidRPr="00D36C7F">
              <w:rPr>
                <w:rFonts w:ascii="Times New Roman" w:hAnsi="Times New Roman" w:cs="Times New Roman"/>
                <w:b/>
                <w:bCs/>
                <w:color w:val="000000"/>
                <w:kern w:val="0"/>
                <w:sz w:val="20"/>
                <w:szCs w:val="20"/>
                <w14:numSpacing w14:val="default"/>
              </w:rPr>
              <w:t>Financial</w:t>
            </w:r>
            <w:proofErr w:type="spellEnd"/>
            <w:r w:rsidRPr="00D36C7F">
              <w:rPr>
                <w:rFonts w:ascii="Times New Roman" w:hAnsi="Times New Roman" w:cs="Times New Roman"/>
                <w:b/>
                <w:bCs/>
                <w:color w:val="000000"/>
                <w:kern w:val="0"/>
                <w:sz w:val="20"/>
                <w:szCs w:val="20"/>
                <w14:numSpacing w14:val="default"/>
              </w:rPr>
              <w:t xml:space="preserve"> </w:t>
            </w:r>
            <w:proofErr w:type="spellStart"/>
            <w:r w:rsidRPr="00D36C7F">
              <w:rPr>
                <w:rFonts w:ascii="Times New Roman" w:hAnsi="Times New Roman" w:cs="Times New Roman"/>
                <w:b/>
                <w:bCs/>
                <w:color w:val="000000"/>
                <w:kern w:val="0"/>
                <w:sz w:val="20"/>
                <w:szCs w:val="20"/>
                <w14:numSpacing w14:val="default"/>
              </w:rPr>
              <w:t>Secrecy</w:t>
            </w:r>
            <w:proofErr w:type="spellEnd"/>
            <w:r w:rsidRPr="00D36C7F">
              <w:rPr>
                <w:rFonts w:ascii="Times New Roman" w:hAnsi="Times New Roman" w:cs="Times New Roman"/>
                <w:b/>
                <w:bCs/>
                <w:color w:val="000000"/>
                <w:kern w:val="0"/>
                <w:sz w:val="20"/>
                <w:szCs w:val="20"/>
                <w14:numSpacing w14:val="default"/>
              </w:rPr>
              <w:t xml:space="preserve"> Index 2020 ranking</w:t>
            </w:r>
          </w:p>
        </w:tc>
      </w:tr>
      <w:tr w:rsidRPr="00D36C7F" w:rsidR="001B5D6F" w:rsidTr="00D82D74" w14:paraId="7319CE11" w14:textId="77777777">
        <w:trPr>
          <w:trHeight w:val="319"/>
        </w:trPr>
        <w:tc>
          <w:tcPr>
            <w:tcW w:w="1644" w:type="dxa"/>
            <w:tcBorders>
              <w:left w:val="nil"/>
              <w:bottom w:val="single" w:color="auto" w:sz="4" w:space="0"/>
              <w:right w:val="nil"/>
            </w:tcBorders>
          </w:tcPr>
          <w:p w:rsidRPr="00D36C7F" w:rsidR="001B5D6F" w:rsidP="00314292" w:rsidRDefault="001B5D6F" w14:paraId="7319CE0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i/>
                <w:iCs/>
                <w:color w:val="000000"/>
                <w:kern w:val="0"/>
                <w:sz w:val="20"/>
                <w:szCs w:val="20"/>
                <w14:numSpacing w14:val="default"/>
              </w:rPr>
            </w:pPr>
            <w:r w:rsidRPr="00D36C7F">
              <w:rPr>
                <w:rFonts w:ascii="Times New Roman" w:hAnsi="Times New Roman" w:cs="Times New Roman"/>
                <w:i/>
                <w:iCs/>
                <w:color w:val="000000"/>
                <w:kern w:val="0"/>
                <w:sz w:val="20"/>
                <w:szCs w:val="20"/>
                <w14:numSpacing w14:val="default"/>
              </w:rPr>
              <w:t>Ranking</w:t>
            </w:r>
          </w:p>
        </w:tc>
        <w:tc>
          <w:tcPr>
            <w:tcW w:w="5609" w:type="dxa"/>
            <w:tcBorders>
              <w:left w:val="nil"/>
              <w:bottom w:val="single" w:color="auto" w:sz="4" w:space="0"/>
              <w:right w:val="nil"/>
            </w:tcBorders>
          </w:tcPr>
          <w:p w:rsidRPr="00D36C7F" w:rsidR="001B5D6F" w:rsidP="00314292" w:rsidRDefault="001B5D6F" w14:paraId="7319CE1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i/>
                <w:iCs/>
                <w:color w:val="000000"/>
                <w:kern w:val="0"/>
                <w:sz w:val="20"/>
                <w:szCs w:val="20"/>
                <w14:numSpacing w14:val="default"/>
              </w:rPr>
            </w:pPr>
            <w:r w:rsidRPr="00D36C7F">
              <w:rPr>
                <w:rFonts w:ascii="Times New Roman" w:hAnsi="Times New Roman" w:cs="Times New Roman"/>
                <w:i/>
                <w:iCs/>
                <w:color w:val="000000"/>
                <w:kern w:val="0"/>
                <w:sz w:val="20"/>
                <w:szCs w:val="20"/>
                <w14:numSpacing w14:val="default"/>
              </w:rPr>
              <w:t>Land/</w:t>
            </w:r>
            <w:proofErr w:type="spellStart"/>
            <w:r w:rsidRPr="00D36C7F">
              <w:rPr>
                <w:rFonts w:ascii="Times New Roman" w:hAnsi="Times New Roman" w:cs="Times New Roman"/>
                <w:i/>
                <w:iCs/>
                <w:color w:val="000000"/>
                <w:kern w:val="0"/>
                <w:sz w:val="20"/>
                <w:szCs w:val="20"/>
                <w14:numSpacing w14:val="default"/>
              </w:rPr>
              <w:t>Jurisdiction</w:t>
            </w:r>
            <w:proofErr w:type="spellEnd"/>
          </w:p>
        </w:tc>
      </w:tr>
      <w:tr w:rsidRPr="00D36C7F" w:rsidR="001B5D6F" w:rsidTr="00D82D74" w14:paraId="7319CE14" w14:textId="77777777">
        <w:trPr>
          <w:trHeight w:val="290"/>
        </w:trPr>
        <w:tc>
          <w:tcPr>
            <w:tcW w:w="1644" w:type="dxa"/>
            <w:tcBorders>
              <w:top w:val="single" w:color="auto" w:sz="4" w:space="0"/>
              <w:left w:val="nil"/>
              <w:bottom w:val="nil"/>
              <w:right w:val="nil"/>
            </w:tcBorders>
          </w:tcPr>
          <w:p w:rsidRPr="00D36C7F" w:rsidR="001B5D6F" w:rsidP="00314292" w:rsidRDefault="001B5D6F" w14:paraId="7319CE1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D36C7F">
              <w:rPr>
                <w:rFonts w:ascii="Times New Roman" w:hAnsi="Times New Roman" w:cs="Times New Roman"/>
                <w:color w:val="000000"/>
                <w:kern w:val="0"/>
                <w:sz w:val="20"/>
                <w:szCs w:val="20"/>
                <w14:numSpacing w14:val="default"/>
              </w:rPr>
              <w:t>1</w:t>
            </w:r>
          </w:p>
        </w:tc>
        <w:tc>
          <w:tcPr>
            <w:tcW w:w="5609" w:type="dxa"/>
            <w:tcBorders>
              <w:top w:val="single" w:color="auto" w:sz="4" w:space="0"/>
              <w:left w:val="nil"/>
              <w:bottom w:val="nil"/>
              <w:right w:val="nil"/>
            </w:tcBorders>
          </w:tcPr>
          <w:p w:rsidRPr="00D36C7F" w:rsidR="001B5D6F" w:rsidP="00314292" w:rsidRDefault="001B5D6F" w14:paraId="7319CE1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D36C7F">
              <w:rPr>
                <w:rFonts w:ascii="Times New Roman" w:hAnsi="Times New Roman" w:cs="Times New Roman"/>
                <w:color w:val="000000"/>
                <w:kern w:val="0"/>
                <w:sz w:val="20"/>
                <w:szCs w:val="20"/>
                <w14:numSpacing w14:val="default"/>
              </w:rPr>
              <w:t>Caymanöarna</w:t>
            </w:r>
          </w:p>
        </w:tc>
      </w:tr>
      <w:tr w:rsidRPr="00D36C7F" w:rsidR="001B5D6F" w:rsidTr="00D82D74" w14:paraId="7319CE17" w14:textId="77777777">
        <w:trPr>
          <w:trHeight w:val="290"/>
        </w:trPr>
        <w:tc>
          <w:tcPr>
            <w:tcW w:w="1644" w:type="dxa"/>
            <w:tcBorders>
              <w:top w:val="nil"/>
              <w:left w:val="nil"/>
              <w:bottom w:val="nil"/>
              <w:right w:val="nil"/>
            </w:tcBorders>
          </w:tcPr>
          <w:p w:rsidRPr="00D36C7F" w:rsidR="001B5D6F" w:rsidP="00314292" w:rsidRDefault="001B5D6F" w14:paraId="7319CE1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D36C7F">
              <w:rPr>
                <w:rFonts w:ascii="Times New Roman" w:hAnsi="Times New Roman" w:cs="Times New Roman"/>
                <w:color w:val="000000"/>
                <w:kern w:val="0"/>
                <w:sz w:val="20"/>
                <w:szCs w:val="20"/>
                <w14:numSpacing w14:val="default"/>
              </w:rPr>
              <w:t>2</w:t>
            </w:r>
          </w:p>
        </w:tc>
        <w:tc>
          <w:tcPr>
            <w:tcW w:w="5609" w:type="dxa"/>
            <w:tcBorders>
              <w:top w:val="nil"/>
              <w:left w:val="nil"/>
              <w:bottom w:val="nil"/>
              <w:right w:val="nil"/>
            </w:tcBorders>
          </w:tcPr>
          <w:p w:rsidRPr="00D36C7F" w:rsidR="001B5D6F" w:rsidP="00314292" w:rsidRDefault="001B5D6F" w14:paraId="7319CE1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2"/>
                <w:szCs w:val="22"/>
                <w14:numSpacing w14:val="default"/>
              </w:rPr>
            </w:pPr>
            <w:r w:rsidRPr="00D36C7F">
              <w:rPr>
                <w:rFonts w:ascii="Times New Roman" w:hAnsi="Times New Roman" w:cs="Times New Roman"/>
                <w:color w:val="000000"/>
                <w:kern w:val="0"/>
                <w:sz w:val="22"/>
                <w:szCs w:val="22"/>
                <w14:numSpacing w14:val="default"/>
              </w:rPr>
              <w:t>USA</w:t>
            </w:r>
          </w:p>
        </w:tc>
      </w:tr>
      <w:tr w:rsidRPr="00D36C7F" w:rsidR="001B5D6F" w:rsidTr="00D82D74" w14:paraId="7319CE1A" w14:textId="77777777">
        <w:trPr>
          <w:trHeight w:val="290"/>
        </w:trPr>
        <w:tc>
          <w:tcPr>
            <w:tcW w:w="1644" w:type="dxa"/>
            <w:tcBorders>
              <w:top w:val="nil"/>
              <w:left w:val="nil"/>
              <w:bottom w:val="nil"/>
              <w:right w:val="nil"/>
            </w:tcBorders>
          </w:tcPr>
          <w:p w:rsidRPr="00D36C7F" w:rsidR="001B5D6F" w:rsidP="00314292" w:rsidRDefault="001B5D6F" w14:paraId="7319CE1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D36C7F">
              <w:rPr>
                <w:rFonts w:ascii="Times New Roman" w:hAnsi="Times New Roman" w:cs="Times New Roman"/>
                <w:color w:val="000000"/>
                <w:kern w:val="0"/>
                <w:sz w:val="20"/>
                <w:szCs w:val="20"/>
                <w14:numSpacing w14:val="default"/>
              </w:rPr>
              <w:t>3</w:t>
            </w:r>
          </w:p>
        </w:tc>
        <w:tc>
          <w:tcPr>
            <w:tcW w:w="5609" w:type="dxa"/>
            <w:tcBorders>
              <w:top w:val="nil"/>
              <w:left w:val="nil"/>
              <w:bottom w:val="nil"/>
              <w:right w:val="nil"/>
            </w:tcBorders>
          </w:tcPr>
          <w:p w:rsidRPr="00D36C7F" w:rsidR="001B5D6F" w:rsidP="00314292" w:rsidRDefault="001B5D6F" w14:paraId="7319CE1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D36C7F">
              <w:rPr>
                <w:rFonts w:ascii="Times New Roman" w:hAnsi="Times New Roman" w:cs="Times New Roman"/>
                <w:color w:val="000000"/>
                <w:kern w:val="0"/>
                <w:sz w:val="20"/>
                <w:szCs w:val="20"/>
                <w14:numSpacing w14:val="default"/>
              </w:rPr>
              <w:t>Schweiz</w:t>
            </w:r>
          </w:p>
        </w:tc>
      </w:tr>
      <w:tr w:rsidRPr="00D36C7F" w:rsidR="001B5D6F" w:rsidTr="00D82D74" w14:paraId="7319CE1D" w14:textId="77777777">
        <w:trPr>
          <w:trHeight w:val="290"/>
        </w:trPr>
        <w:tc>
          <w:tcPr>
            <w:tcW w:w="1644" w:type="dxa"/>
            <w:tcBorders>
              <w:top w:val="nil"/>
              <w:left w:val="nil"/>
              <w:bottom w:val="nil"/>
              <w:right w:val="nil"/>
            </w:tcBorders>
          </w:tcPr>
          <w:p w:rsidRPr="00D36C7F" w:rsidR="001B5D6F" w:rsidP="00314292" w:rsidRDefault="001B5D6F" w14:paraId="7319CE1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D36C7F">
              <w:rPr>
                <w:rFonts w:ascii="Times New Roman" w:hAnsi="Times New Roman" w:cs="Times New Roman"/>
                <w:color w:val="000000"/>
                <w:kern w:val="0"/>
                <w:sz w:val="20"/>
                <w:szCs w:val="20"/>
                <w14:numSpacing w14:val="default"/>
              </w:rPr>
              <w:t>4</w:t>
            </w:r>
          </w:p>
        </w:tc>
        <w:tc>
          <w:tcPr>
            <w:tcW w:w="5609" w:type="dxa"/>
            <w:tcBorders>
              <w:top w:val="nil"/>
              <w:left w:val="nil"/>
              <w:bottom w:val="nil"/>
              <w:right w:val="nil"/>
            </w:tcBorders>
          </w:tcPr>
          <w:p w:rsidRPr="00D36C7F" w:rsidR="001B5D6F" w:rsidP="00314292" w:rsidRDefault="001B5D6F" w14:paraId="7319CE1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D36C7F">
              <w:rPr>
                <w:rFonts w:ascii="Times New Roman" w:hAnsi="Times New Roman" w:cs="Times New Roman"/>
                <w:color w:val="000000"/>
                <w:kern w:val="0"/>
                <w:sz w:val="20"/>
                <w:szCs w:val="20"/>
                <w14:numSpacing w14:val="default"/>
              </w:rPr>
              <w:t>Hongkong</w:t>
            </w:r>
          </w:p>
        </w:tc>
      </w:tr>
      <w:tr w:rsidRPr="00D36C7F" w:rsidR="001B5D6F" w:rsidTr="00D82D74" w14:paraId="7319CE20" w14:textId="77777777">
        <w:trPr>
          <w:trHeight w:val="290"/>
        </w:trPr>
        <w:tc>
          <w:tcPr>
            <w:tcW w:w="1644" w:type="dxa"/>
            <w:tcBorders>
              <w:top w:val="nil"/>
              <w:left w:val="nil"/>
              <w:bottom w:val="nil"/>
              <w:right w:val="nil"/>
            </w:tcBorders>
          </w:tcPr>
          <w:p w:rsidRPr="00D36C7F" w:rsidR="001B5D6F" w:rsidP="00314292" w:rsidRDefault="001B5D6F" w14:paraId="7319CE1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D36C7F">
              <w:rPr>
                <w:rFonts w:ascii="Times New Roman" w:hAnsi="Times New Roman" w:cs="Times New Roman"/>
                <w:color w:val="000000"/>
                <w:kern w:val="0"/>
                <w:sz w:val="20"/>
                <w:szCs w:val="20"/>
                <w14:numSpacing w14:val="default"/>
              </w:rPr>
              <w:t>5</w:t>
            </w:r>
          </w:p>
        </w:tc>
        <w:tc>
          <w:tcPr>
            <w:tcW w:w="5609" w:type="dxa"/>
            <w:tcBorders>
              <w:top w:val="nil"/>
              <w:left w:val="nil"/>
              <w:bottom w:val="nil"/>
              <w:right w:val="nil"/>
            </w:tcBorders>
          </w:tcPr>
          <w:p w:rsidRPr="00D36C7F" w:rsidR="001B5D6F" w:rsidP="00314292" w:rsidRDefault="001B5D6F" w14:paraId="7319CE1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D36C7F">
              <w:rPr>
                <w:rFonts w:ascii="Times New Roman" w:hAnsi="Times New Roman" w:cs="Times New Roman"/>
                <w:color w:val="000000"/>
                <w:kern w:val="0"/>
                <w:sz w:val="20"/>
                <w:szCs w:val="20"/>
                <w14:numSpacing w14:val="default"/>
              </w:rPr>
              <w:t>Singapore</w:t>
            </w:r>
          </w:p>
        </w:tc>
      </w:tr>
      <w:tr w:rsidRPr="00D36C7F" w:rsidR="001B5D6F" w:rsidTr="00D82D74" w14:paraId="7319CE23" w14:textId="77777777">
        <w:trPr>
          <w:trHeight w:val="290"/>
        </w:trPr>
        <w:tc>
          <w:tcPr>
            <w:tcW w:w="1644" w:type="dxa"/>
            <w:tcBorders>
              <w:top w:val="nil"/>
              <w:left w:val="nil"/>
              <w:bottom w:val="nil"/>
              <w:right w:val="nil"/>
            </w:tcBorders>
          </w:tcPr>
          <w:p w:rsidRPr="00D36C7F" w:rsidR="001B5D6F" w:rsidP="00314292" w:rsidRDefault="001B5D6F" w14:paraId="7319CE2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D36C7F">
              <w:rPr>
                <w:rFonts w:ascii="Times New Roman" w:hAnsi="Times New Roman" w:cs="Times New Roman"/>
                <w:color w:val="000000"/>
                <w:kern w:val="0"/>
                <w:sz w:val="20"/>
                <w:szCs w:val="20"/>
                <w14:numSpacing w14:val="default"/>
              </w:rPr>
              <w:t>6</w:t>
            </w:r>
          </w:p>
        </w:tc>
        <w:tc>
          <w:tcPr>
            <w:tcW w:w="5609" w:type="dxa"/>
            <w:tcBorders>
              <w:top w:val="nil"/>
              <w:left w:val="nil"/>
              <w:bottom w:val="nil"/>
              <w:right w:val="nil"/>
            </w:tcBorders>
          </w:tcPr>
          <w:p w:rsidRPr="00D36C7F" w:rsidR="001B5D6F" w:rsidP="00314292" w:rsidRDefault="001B5D6F" w14:paraId="7319CE2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D36C7F">
              <w:rPr>
                <w:rFonts w:ascii="Times New Roman" w:hAnsi="Times New Roman" w:cs="Times New Roman"/>
                <w:color w:val="000000"/>
                <w:kern w:val="0"/>
                <w:sz w:val="20"/>
                <w:szCs w:val="20"/>
                <w14:numSpacing w14:val="default"/>
              </w:rPr>
              <w:t>Luxe</w:t>
            </w:r>
            <w:r w:rsidRPr="00D36C7F" w:rsidR="00B555AC">
              <w:rPr>
                <w:rFonts w:ascii="Times New Roman" w:hAnsi="Times New Roman" w:cs="Times New Roman"/>
                <w:color w:val="000000"/>
                <w:kern w:val="0"/>
                <w:sz w:val="20"/>
                <w:szCs w:val="20"/>
                <w14:numSpacing w14:val="default"/>
              </w:rPr>
              <w:t>mburg</w:t>
            </w:r>
          </w:p>
        </w:tc>
      </w:tr>
      <w:tr w:rsidRPr="00D36C7F" w:rsidR="001B5D6F" w:rsidTr="00D82D74" w14:paraId="7319CE26" w14:textId="77777777">
        <w:trPr>
          <w:trHeight w:val="290"/>
        </w:trPr>
        <w:tc>
          <w:tcPr>
            <w:tcW w:w="1644" w:type="dxa"/>
            <w:tcBorders>
              <w:top w:val="nil"/>
              <w:left w:val="nil"/>
              <w:bottom w:val="nil"/>
              <w:right w:val="nil"/>
            </w:tcBorders>
          </w:tcPr>
          <w:p w:rsidRPr="00D36C7F" w:rsidR="001B5D6F" w:rsidP="00314292" w:rsidRDefault="001B5D6F" w14:paraId="7319CE2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D36C7F">
              <w:rPr>
                <w:rFonts w:ascii="Times New Roman" w:hAnsi="Times New Roman" w:cs="Times New Roman"/>
                <w:color w:val="000000"/>
                <w:kern w:val="0"/>
                <w:sz w:val="20"/>
                <w:szCs w:val="20"/>
                <w14:numSpacing w14:val="default"/>
              </w:rPr>
              <w:t>7</w:t>
            </w:r>
          </w:p>
        </w:tc>
        <w:tc>
          <w:tcPr>
            <w:tcW w:w="5609" w:type="dxa"/>
            <w:tcBorders>
              <w:top w:val="nil"/>
              <w:left w:val="nil"/>
              <w:bottom w:val="nil"/>
              <w:right w:val="nil"/>
            </w:tcBorders>
          </w:tcPr>
          <w:p w:rsidRPr="00D36C7F" w:rsidR="001B5D6F" w:rsidP="00314292" w:rsidRDefault="001B5D6F" w14:paraId="7319CE2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D36C7F">
              <w:rPr>
                <w:rFonts w:ascii="Times New Roman" w:hAnsi="Times New Roman" w:cs="Times New Roman"/>
                <w:color w:val="000000"/>
                <w:kern w:val="0"/>
                <w:sz w:val="20"/>
                <w:szCs w:val="20"/>
                <w14:numSpacing w14:val="default"/>
              </w:rPr>
              <w:t>Japan</w:t>
            </w:r>
          </w:p>
        </w:tc>
      </w:tr>
      <w:tr w:rsidRPr="00D36C7F" w:rsidR="001B5D6F" w:rsidTr="00D82D74" w14:paraId="7319CE29" w14:textId="77777777">
        <w:trPr>
          <w:trHeight w:val="290"/>
        </w:trPr>
        <w:tc>
          <w:tcPr>
            <w:tcW w:w="1644" w:type="dxa"/>
            <w:tcBorders>
              <w:top w:val="nil"/>
              <w:left w:val="nil"/>
              <w:bottom w:val="nil"/>
              <w:right w:val="nil"/>
            </w:tcBorders>
          </w:tcPr>
          <w:p w:rsidRPr="00D36C7F" w:rsidR="001B5D6F" w:rsidP="00314292" w:rsidRDefault="001B5D6F" w14:paraId="7319CE2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D36C7F">
              <w:rPr>
                <w:rFonts w:ascii="Times New Roman" w:hAnsi="Times New Roman" w:cs="Times New Roman"/>
                <w:color w:val="000000"/>
                <w:kern w:val="0"/>
                <w:sz w:val="20"/>
                <w:szCs w:val="20"/>
                <w14:numSpacing w14:val="default"/>
              </w:rPr>
              <w:t>8</w:t>
            </w:r>
          </w:p>
        </w:tc>
        <w:tc>
          <w:tcPr>
            <w:tcW w:w="5609" w:type="dxa"/>
            <w:tcBorders>
              <w:top w:val="nil"/>
              <w:left w:val="nil"/>
              <w:bottom w:val="nil"/>
              <w:right w:val="nil"/>
            </w:tcBorders>
          </w:tcPr>
          <w:p w:rsidRPr="00D36C7F" w:rsidR="001B5D6F" w:rsidP="00314292" w:rsidRDefault="001B5D6F" w14:paraId="7319CE2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D36C7F">
              <w:rPr>
                <w:rFonts w:ascii="Times New Roman" w:hAnsi="Times New Roman" w:cs="Times New Roman"/>
                <w:color w:val="000000"/>
                <w:kern w:val="0"/>
                <w:sz w:val="20"/>
                <w:szCs w:val="20"/>
                <w14:numSpacing w14:val="default"/>
              </w:rPr>
              <w:t>Nederländerna</w:t>
            </w:r>
          </w:p>
        </w:tc>
      </w:tr>
      <w:tr w:rsidRPr="00D36C7F" w:rsidR="001B5D6F" w:rsidTr="00D82D74" w14:paraId="7319CE2C" w14:textId="77777777">
        <w:trPr>
          <w:trHeight w:val="290"/>
        </w:trPr>
        <w:tc>
          <w:tcPr>
            <w:tcW w:w="1644" w:type="dxa"/>
            <w:tcBorders>
              <w:top w:val="nil"/>
              <w:left w:val="nil"/>
              <w:bottom w:val="nil"/>
              <w:right w:val="nil"/>
            </w:tcBorders>
          </w:tcPr>
          <w:p w:rsidRPr="00D36C7F" w:rsidR="001B5D6F" w:rsidP="00314292" w:rsidRDefault="001B5D6F" w14:paraId="7319CE2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D36C7F">
              <w:rPr>
                <w:rFonts w:ascii="Times New Roman" w:hAnsi="Times New Roman" w:cs="Times New Roman"/>
                <w:color w:val="000000"/>
                <w:kern w:val="0"/>
                <w:sz w:val="20"/>
                <w:szCs w:val="20"/>
                <w14:numSpacing w14:val="default"/>
              </w:rPr>
              <w:t>9</w:t>
            </w:r>
          </w:p>
        </w:tc>
        <w:tc>
          <w:tcPr>
            <w:tcW w:w="5609" w:type="dxa"/>
            <w:tcBorders>
              <w:top w:val="nil"/>
              <w:left w:val="nil"/>
              <w:bottom w:val="nil"/>
              <w:right w:val="nil"/>
            </w:tcBorders>
          </w:tcPr>
          <w:p w:rsidRPr="00D36C7F" w:rsidR="001B5D6F" w:rsidP="00314292" w:rsidRDefault="001B5D6F" w14:paraId="7319CE2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D36C7F">
              <w:rPr>
                <w:rFonts w:ascii="Times New Roman" w:hAnsi="Times New Roman" w:cs="Times New Roman"/>
                <w:color w:val="000000"/>
                <w:kern w:val="0"/>
                <w:sz w:val="20"/>
                <w:szCs w:val="20"/>
                <w14:numSpacing w14:val="default"/>
              </w:rPr>
              <w:t>Brittiska Jungfruöarna</w:t>
            </w:r>
          </w:p>
        </w:tc>
      </w:tr>
      <w:tr w:rsidRPr="00D36C7F" w:rsidR="001B5D6F" w:rsidTr="00D82D74" w14:paraId="7319CE2F" w14:textId="77777777">
        <w:trPr>
          <w:trHeight w:val="290"/>
        </w:trPr>
        <w:tc>
          <w:tcPr>
            <w:tcW w:w="1644" w:type="dxa"/>
            <w:tcBorders>
              <w:top w:val="nil"/>
              <w:left w:val="nil"/>
              <w:bottom w:val="nil"/>
              <w:right w:val="nil"/>
            </w:tcBorders>
          </w:tcPr>
          <w:p w:rsidRPr="00D36C7F" w:rsidR="001B5D6F" w:rsidP="00314292" w:rsidRDefault="001B5D6F" w14:paraId="7319CE2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D36C7F">
              <w:rPr>
                <w:rFonts w:ascii="Times New Roman" w:hAnsi="Times New Roman" w:cs="Times New Roman"/>
                <w:color w:val="000000"/>
                <w:kern w:val="0"/>
                <w:sz w:val="20"/>
                <w:szCs w:val="20"/>
                <w14:numSpacing w14:val="default"/>
              </w:rPr>
              <w:t>10</w:t>
            </w:r>
          </w:p>
        </w:tc>
        <w:tc>
          <w:tcPr>
            <w:tcW w:w="5609" w:type="dxa"/>
            <w:tcBorders>
              <w:top w:val="nil"/>
              <w:left w:val="nil"/>
              <w:bottom w:val="nil"/>
              <w:right w:val="nil"/>
            </w:tcBorders>
          </w:tcPr>
          <w:p w:rsidRPr="00D36C7F" w:rsidR="001B5D6F" w:rsidP="00314292" w:rsidRDefault="001B5D6F" w14:paraId="7319CE2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D36C7F">
              <w:rPr>
                <w:rFonts w:ascii="Times New Roman" w:hAnsi="Times New Roman" w:cs="Times New Roman"/>
                <w:color w:val="000000"/>
                <w:kern w:val="0"/>
                <w:sz w:val="20"/>
                <w:szCs w:val="20"/>
                <w14:numSpacing w14:val="default"/>
              </w:rPr>
              <w:t>Förenade Arabemiraten</w:t>
            </w:r>
          </w:p>
        </w:tc>
      </w:tr>
      <w:tr w:rsidRPr="00D36C7F" w:rsidR="001B5D6F" w:rsidTr="00D82D74" w14:paraId="7319CE32" w14:textId="77777777">
        <w:trPr>
          <w:trHeight w:val="290"/>
        </w:trPr>
        <w:tc>
          <w:tcPr>
            <w:tcW w:w="1644" w:type="dxa"/>
            <w:tcBorders>
              <w:top w:val="nil"/>
              <w:left w:val="nil"/>
              <w:bottom w:val="nil"/>
              <w:right w:val="nil"/>
            </w:tcBorders>
          </w:tcPr>
          <w:p w:rsidRPr="00D36C7F" w:rsidR="001B5D6F" w:rsidP="00314292" w:rsidRDefault="001B5D6F" w14:paraId="7319CE3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D36C7F">
              <w:rPr>
                <w:rFonts w:ascii="Times New Roman" w:hAnsi="Times New Roman" w:cs="Times New Roman"/>
                <w:color w:val="000000"/>
                <w:kern w:val="0"/>
                <w:sz w:val="20"/>
                <w:szCs w:val="20"/>
                <w14:numSpacing w14:val="default"/>
              </w:rPr>
              <w:t>11</w:t>
            </w:r>
          </w:p>
        </w:tc>
        <w:tc>
          <w:tcPr>
            <w:tcW w:w="5609" w:type="dxa"/>
            <w:tcBorders>
              <w:top w:val="nil"/>
              <w:left w:val="nil"/>
              <w:bottom w:val="nil"/>
              <w:right w:val="nil"/>
            </w:tcBorders>
          </w:tcPr>
          <w:p w:rsidRPr="00D36C7F" w:rsidR="001B5D6F" w:rsidP="00314292" w:rsidRDefault="001B5D6F" w14:paraId="7319CE3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D36C7F">
              <w:rPr>
                <w:rFonts w:ascii="Times New Roman" w:hAnsi="Times New Roman" w:cs="Times New Roman"/>
                <w:color w:val="000000"/>
                <w:kern w:val="0"/>
                <w:sz w:val="20"/>
                <w:szCs w:val="20"/>
                <w14:numSpacing w14:val="default"/>
              </w:rPr>
              <w:t>Guernsey</w:t>
            </w:r>
          </w:p>
        </w:tc>
      </w:tr>
      <w:tr w:rsidRPr="00D36C7F" w:rsidR="001B5D6F" w:rsidTr="00D82D74" w14:paraId="7319CE35" w14:textId="77777777">
        <w:trPr>
          <w:trHeight w:val="290"/>
        </w:trPr>
        <w:tc>
          <w:tcPr>
            <w:tcW w:w="1644" w:type="dxa"/>
            <w:tcBorders>
              <w:top w:val="nil"/>
              <w:left w:val="nil"/>
              <w:bottom w:val="nil"/>
              <w:right w:val="nil"/>
            </w:tcBorders>
          </w:tcPr>
          <w:p w:rsidRPr="00D36C7F" w:rsidR="001B5D6F" w:rsidP="00314292" w:rsidRDefault="001B5D6F" w14:paraId="7319CE3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D36C7F">
              <w:rPr>
                <w:rFonts w:ascii="Times New Roman" w:hAnsi="Times New Roman" w:cs="Times New Roman"/>
                <w:color w:val="000000"/>
                <w:kern w:val="0"/>
                <w:sz w:val="20"/>
                <w:szCs w:val="20"/>
                <w14:numSpacing w14:val="default"/>
              </w:rPr>
              <w:t>12</w:t>
            </w:r>
          </w:p>
        </w:tc>
        <w:tc>
          <w:tcPr>
            <w:tcW w:w="5609" w:type="dxa"/>
            <w:tcBorders>
              <w:top w:val="nil"/>
              <w:left w:val="nil"/>
              <w:bottom w:val="nil"/>
              <w:right w:val="nil"/>
            </w:tcBorders>
          </w:tcPr>
          <w:p w:rsidRPr="00D36C7F" w:rsidR="001B5D6F" w:rsidP="00314292" w:rsidRDefault="001B5D6F" w14:paraId="7319CE3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D36C7F">
              <w:rPr>
                <w:rFonts w:ascii="Times New Roman" w:hAnsi="Times New Roman" w:cs="Times New Roman"/>
                <w:color w:val="000000"/>
                <w:kern w:val="0"/>
                <w:sz w:val="20"/>
                <w:szCs w:val="20"/>
                <w14:numSpacing w14:val="default"/>
              </w:rPr>
              <w:t>Storbritannien</w:t>
            </w:r>
          </w:p>
        </w:tc>
      </w:tr>
      <w:tr w:rsidRPr="00D36C7F" w:rsidR="001B5D6F" w:rsidTr="00D82D74" w14:paraId="7319CE38" w14:textId="77777777">
        <w:trPr>
          <w:trHeight w:val="290"/>
        </w:trPr>
        <w:tc>
          <w:tcPr>
            <w:tcW w:w="1644" w:type="dxa"/>
            <w:tcBorders>
              <w:top w:val="nil"/>
              <w:left w:val="nil"/>
              <w:bottom w:val="nil"/>
              <w:right w:val="nil"/>
            </w:tcBorders>
          </w:tcPr>
          <w:p w:rsidRPr="00D36C7F" w:rsidR="001B5D6F" w:rsidP="00314292" w:rsidRDefault="001B5D6F" w14:paraId="7319CE3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D36C7F">
              <w:rPr>
                <w:rFonts w:ascii="Times New Roman" w:hAnsi="Times New Roman" w:cs="Times New Roman"/>
                <w:color w:val="000000"/>
                <w:kern w:val="0"/>
                <w:sz w:val="20"/>
                <w:szCs w:val="20"/>
                <w14:numSpacing w14:val="default"/>
              </w:rPr>
              <w:t>13</w:t>
            </w:r>
          </w:p>
        </w:tc>
        <w:tc>
          <w:tcPr>
            <w:tcW w:w="5609" w:type="dxa"/>
            <w:tcBorders>
              <w:top w:val="nil"/>
              <w:left w:val="nil"/>
              <w:bottom w:val="nil"/>
              <w:right w:val="nil"/>
            </w:tcBorders>
          </w:tcPr>
          <w:p w:rsidRPr="00D36C7F" w:rsidR="001B5D6F" w:rsidP="00314292" w:rsidRDefault="001B5D6F" w14:paraId="7319CE3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D36C7F">
              <w:rPr>
                <w:rFonts w:ascii="Times New Roman" w:hAnsi="Times New Roman" w:cs="Times New Roman"/>
                <w:color w:val="000000"/>
                <w:kern w:val="0"/>
                <w:sz w:val="20"/>
                <w:szCs w:val="20"/>
                <w14:numSpacing w14:val="default"/>
              </w:rPr>
              <w:t>Taiwan</w:t>
            </w:r>
          </w:p>
        </w:tc>
      </w:tr>
      <w:tr w:rsidRPr="00D36C7F" w:rsidR="001B5D6F" w:rsidTr="00D82D74" w14:paraId="7319CE3B" w14:textId="77777777">
        <w:trPr>
          <w:trHeight w:val="290"/>
        </w:trPr>
        <w:tc>
          <w:tcPr>
            <w:tcW w:w="1644" w:type="dxa"/>
            <w:tcBorders>
              <w:top w:val="nil"/>
              <w:left w:val="nil"/>
              <w:right w:val="nil"/>
            </w:tcBorders>
          </w:tcPr>
          <w:p w:rsidRPr="00D36C7F" w:rsidR="001B5D6F" w:rsidP="00314292" w:rsidRDefault="001B5D6F" w14:paraId="7319CE3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D36C7F">
              <w:rPr>
                <w:rFonts w:ascii="Times New Roman" w:hAnsi="Times New Roman" w:cs="Times New Roman"/>
                <w:color w:val="000000"/>
                <w:kern w:val="0"/>
                <w:sz w:val="20"/>
                <w:szCs w:val="20"/>
                <w14:numSpacing w14:val="default"/>
              </w:rPr>
              <w:t>14</w:t>
            </w:r>
          </w:p>
        </w:tc>
        <w:tc>
          <w:tcPr>
            <w:tcW w:w="5609" w:type="dxa"/>
            <w:tcBorders>
              <w:top w:val="nil"/>
              <w:left w:val="nil"/>
              <w:right w:val="nil"/>
            </w:tcBorders>
          </w:tcPr>
          <w:p w:rsidRPr="00D36C7F" w:rsidR="001B5D6F" w:rsidP="00314292" w:rsidRDefault="001B5D6F" w14:paraId="7319CE3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D36C7F">
              <w:rPr>
                <w:rFonts w:ascii="Times New Roman" w:hAnsi="Times New Roman" w:cs="Times New Roman"/>
                <w:color w:val="000000"/>
                <w:kern w:val="0"/>
                <w:sz w:val="20"/>
                <w:szCs w:val="20"/>
                <w14:numSpacing w14:val="default"/>
              </w:rPr>
              <w:t>Tyskland</w:t>
            </w:r>
          </w:p>
        </w:tc>
      </w:tr>
      <w:tr w:rsidRPr="00D36C7F" w:rsidR="001B5D6F" w:rsidTr="00D82D74" w14:paraId="7319CE3E" w14:textId="77777777">
        <w:trPr>
          <w:trHeight w:val="305"/>
        </w:trPr>
        <w:tc>
          <w:tcPr>
            <w:tcW w:w="1644" w:type="dxa"/>
            <w:tcBorders>
              <w:top w:val="nil"/>
              <w:left w:val="nil"/>
              <w:bottom w:val="single" w:color="auto" w:sz="4" w:space="0"/>
              <w:right w:val="nil"/>
            </w:tcBorders>
          </w:tcPr>
          <w:p w:rsidRPr="00D36C7F" w:rsidR="001B5D6F" w:rsidP="00314292" w:rsidRDefault="001B5D6F" w14:paraId="7319CE3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D36C7F">
              <w:rPr>
                <w:rFonts w:ascii="Times New Roman" w:hAnsi="Times New Roman" w:cs="Times New Roman"/>
                <w:color w:val="000000"/>
                <w:kern w:val="0"/>
                <w:sz w:val="20"/>
                <w:szCs w:val="20"/>
                <w14:numSpacing w14:val="default"/>
              </w:rPr>
              <w:t>15</w:t>
            </w:r>
          </w:p>
        </w:tc>
        <w:tc>
          <w:tcPr>
            <w:tcW w:w="5609" w:type="dxa"/>
            <w:tcBorders>
              <w:top w:val="nil"/>
              <w:left w:val="nil"/>
              <w:bottom w:val="single" w:color="auto" w:sz="4" w:space="0"/>
              <w:right w:val="nil"/>
            </w:tcBorders>
          </w:tcPr>
          <w:p w:rsidRPr="00D36C7F" w:rsidR="001B5D6F" w:rsidP="00314292" w:rsidRDefault="001B5D6F" w14:paraId="7319CE3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D36C7F">
              <w:rPr>
                <w:rFonts w:ascii="Times New Roman" w:hAnsi="Times New Roman" w:cs="Times New Roman"/>
                <w:color w:val="000000"/>
                <w:kern w:val="0"/>
                <w:sz w:val="20"/>
                <w:szCs w:val="20"/>
                <w14:numSpacing w14:val="default"/>
              </w:rPr>
              <w:t>Panama</w:t>
            </w:r>
          </w:p>
        </w:tc>
      </w:tr>
    </w:tbl>
    <w:p w:rsidRPr="00314292" w:rsidR="001B5D6F" w:rsidP="00314292" w:rsidRDefault="00314292" w14:paraId="7319CE41" w14:textId="52EF9A32">
      <w:pPr>
        <w:pStyle w:val="Klla"/>
      </w:pPr>
      <w:r w:rsidRPr="00314292">
        <w:t xml:space="preserve">Källa: Tax </w:t>
      </w:r>
      <w:proofErr w:type="spellStart"/>
      <w:r w:rsidRPr="00314292">
        <w:t>Justice</w:t>
      </w:r>
      <w:proofErr w:type="spellEnd"/>
      <w:r w:rsidRPr="00314292">
        <w:t xml:space="preserve"> </w:t>
      </w:r>
      <w:proofErr w:type="spellStart"/>
      <w:r w:rsidRPr="00314292">
        <w:t>Network</w:t>
      </w:r>
      <w:proofErr w:type="spellEnd"/>
      <w:r w:rsidRPr="00314292">
        <w:t xml:space="preserve"> (2020), ”The State </w:t>
      </w:r>
      <w:proofErr w:type="spellStart"/>
      <w:r w:rsidRPr="00314292">
        <w:t>of</w:t>
      </w:r>
      <w:proofErr w:type="spellEnd"/>
      <w:r w:rsidRPr="00314292">
        <w:t xml:space="preserve"> Tax </w:t>
      </w:r>
      <w:proofErr w:type="spellStart"/>
      <w:r w:rsidRPr="00314292">
        <w:t>Justice</w:t>
      </w:r>
      <w:proofErr w:type="spellEnd"/>
      <w:r w:rsidRPr="00314292">
        <w:t xml:space="preserve"> 2020”.</w:t>
      </w:r>
    </w:p>
    <w:p w:rsidRPr="00914A2E" w:rsidR="007A07C4" w:rsidP="009E60A9" w:rsidRDefault="007A07C4" w14:paraId="7319CE42" w14:textId="77777777">
      <w:pPr>
        <w:pStyle w:val="Normalutanindragellerluft"/>
        <w:spacing w:before="150"/>
      </w:pPr>
      <w:r w:rsidRPr="00914A2E">
        <w:t xml:space="preserve">Flera länder som låg högt i Corporate Tax </w:t>
      </w:r>
      <w:proofErr w:type="spellStart"/>
      <w:r w:rsidRPr="00914A2E">
        <w:t>Heaven</w:t>
      </w:r>
      <w:proofErr w:type="spellEnd"/>
      <w:r w:rsidRPr="00914A2E">
        <w:t xml:space="preserve"> Index ligger även högt i detta index. Det som sticker ut är att flera stora OECD-länder som USA, Japan och Tyskland hamnar högt upp. Tax </w:t>
      </w:r>
      <w:proofErr w:type="spellStart"/>
      <w:r w:rsidRPr="00914A2E">
        <w:t>Justice</w:t>
      </w:r>
      <w:proofErr w:type="spellEnd"/>
      <w:r w:rsidRPr="00914A2E">
        <w:t xml:space="preserve"> </w:t>
      </w:r>
      <w:proofErr w:type="spellStart"/>
      <w:r w:rsidRPr="00914A2E">
        <w:t>Network</w:t>
      </w:r>
      <w:proofErr w:type="spellEnd"/>
      <w:r w:rsidRPr="00914A2E">
        <w:t xml:space="preserve"> beräknar att OECD-länderna sammantaget står för 59 procent av det privata ”utländska” skattebortfallet (private </w:t>
      </w:r>
      <w:proofErr w:type="gramStart"/>
      <w:r w:rsidRPr="00914A2E">
        <w:t>offshore tax</w:t>
      </w:r>
      <w:proofErr w:type="gramEnd"/>
      <w:r w:rsidRPr="00914A2E">
        <w:t xml:space="preserve"> </w:t>
      </w:r>
      <w:proofErr w:type="spellStart"/>
      <w:r w:rsidRPr="00914A2E">
        <w:t>evasion</w:t>
      </w:r>
      <w:proofErr w:type="spellEnd"/>
      <w:r w:rsidRPr="00914A2E">
        <w:t xml:space="preserve">). </w:t>
      </w:r>
      <w:r w:rsidRPr="00914A2E" w:rsidR="00E614C9">
        <w:t>Den svenska lagstiftningen på området förefaller vara förhållandevis transparent; Sverige hamnar på plats 64 i denna ranking.</w:t>
      </w:r>
      <w:r w:rsidRPr="00914A2E" w:rsidR="00802FBF">
        <w:rPr>
          <w:rStyle w:val="Fotnotsreferens"/>
        </w:rPr>
        <w:footnoteReference w:id="7"/>
      </w:r>
      <w:r w:rsidRPr="00914A2E" w:rsidR="00E614C9">
        <w:t xml:space="preserve"> </w:t>
      </w:r>
    </w:p>
    <w:p w:rsidRPr="00914A2E" w:rsidR="00E92485" w:rsidP="009E60A9" w:rsidRDefault="00E92485" w14:paraId="7319CE43" w14:textId="77777777">
      <w:pPr>
        <w:pStyle w:val="Rubrik2numrerat"/>
      </w:pPr>
      <w:bookmarkStart w:name="_Toc115877764" w:id="8"/>
      <w:r w:rsidRPr="00914A2E">
        <w:t>Det svenska skatteundandragandet</w:t>
      </w:r>
      <w:bookmarkEnd w:id="8"/>
    </w:p>
    <w:p w:rsidRPr="00914A2E" w:rsidR="00802FBF" w:rsidP="009E60A9" w:rsidRDefault="00802FBF" w14:paraId="7319CE44" w14:textId="316A4061">
      <w:pPr>
        <w:pStyle w:val="Normalutanindragellerluft"/>
      </w:pPr>
      <w:r w:rsidRPr="00914A2E">
        <w:t xml:space="preserve">Tax </w:t>
      </w:r>
      <w:proofErr w:type="spellStart"/>
      <w:r w:rsidRPr="00914A2E">
        <w:t>Justice</w:t>
      </w:r>
      <w:proofErr w:type="spellEnd"/>
      <w:r w:rsidRPr="00914A2E">
        <w:t xml:space="preserve"> </w:t>
      </w:r>
      <w:proofErr w:type="spellStart"/>
      <w:r w:rsidRPr="00914A2E">
        <w:t>Network</w:t>
      </w:r>
      <w:proofErr w:type="spellEnd"/>
      <w:r w:rsidRPr="00914A2E">
        <w:t xml:space="preserve"> beräknar att Sverige går miste om $</w:t>
      </w:r>
      <w:r w:rsidR="00D36C7F">
        <w:t> </w:t>
      </w:r>
      <w:r w:rsidRPr="00914A2E">
        <w:t>1,1 miljarder i skatteintäkter till följd av missbruk avseende företagsskatterna.</w:t>
      </w:r>
      <w:r w:rsidRPr="00914A2E" w:rsidR="005A3829">
        <w:t xml:space="preserve"> De bedömer samtidigt att den svenska lagstiftning</w:t>
      </w:r>
      <w:r w:rsidRPr="00914A2E" w:rsidR="00AD059D">
        <w:t>en</w:t>
      </w:r>
      <w:r w:rsidRPr="00914A2E" w:rsidR="005A3829">
        <w:t xml:space="preserve"> på företagsskatteområdet leder till ett skattebortfall på </w:t>
      </w:r>
      <w:r w:rsidRPr="00914A2E" w:rsidR="000014D3">
        <w:t xml:space="preserve">hela </w:t>
      </w:r>
      <w:r w:rsidRPr="00914A2E" w:rsidR="005A3829">
        <w:t>$</w:t>
      </w:r>
      <w:r w:rsidR="00D36C7F">
        <w:t> </w:t>
      </w:r>
      <w:r w:rsidRPr="00914A2E" w:rsidR="005A3829">
        <w:t>3,9 miljarder för andra länder</w:t>
      </w:r>
      <w:r w:rsidRPr="00914A2E" w:rsidR="000014D3">
        <w:t xml:space="preserve">, jmf Sveriges dåliga ranking i ”Corporate Tax </w:t>
      </w:r>
      <w:proofErr w:type="spellStart"/>
      <w:r w:rsidRPr="00914A2E" w:rsidR="000014D3">
        <w:t>Heaven</w:t>
      </w:r>
      <w:proofErr w:type="spellEnd"/>
      <w:r w:rsidRPr="00914A2E" w:rsidR="000014D3">
        <w:t xml:space="preserve"> Index”.</w:t>
      </w:r>
    </w:p>
    <w:p w:rsidRPr="00914A2E" w:rsidR="00221B12" w:rsidP="00E1249F" w:rsidRDefault="000014D3" w14:paraId="7319CE45" w14:textId="497317FB">
      <w:r w:rsidRPr="00885723">
        <w:rPr>
          <w:spacing w:val="-2"/>
        </w:rPr>
        <w:t xml:space="preserve">Vad gäller den andra kategorin, ”Offshore tax </w:t>
      </w:r>
      <w:proofErr w:type="spellStart"/>
      <w:r w:rsidRPr="00885723">
        <w:rPr>
          <w:spacing w:val="-2"/>
        </w:rPr>
        <w:t>evasion</w:t>
      </w:r>
      <w:proofErr w:type="spellEnd"/>
      <w:r w:rsidRPr="00885723">
        <w:rPr>
          <w:spacing w:val="-2"/>
        </w:rPr>
        <w:t xml:space="preserve">”, beräknar Tax </w:t>
      </w:r>
      <w:proofErr w:type="spellStart"/>
      <w:r w:rsidRPr="00885723">
        <w:rPr>
          <w:spacing w:val="-2"/>
        </w:rPr>
        <w:t>Justice</w:t>
      </w:r>
      <w:proofErr w:type="spellEnd"/>
      <w:r w:rsidRPr="00885723">
        <w:rPr>
          <w:spacing w:val="-2"/>
        </w:rPr>
        <w:t xml:space="preserve"> </w:t>
      </w:r>
      <w:proofErr w:type="spellStart"/>
      <w:r w:rsidRPr="00885723">
        <w:rPr>
          <w:spacing w:val="-2"/>
        </w:rPr>
        <w:t>Network</w:t>
      </w:r>
      <w:proofErr w:type="spellEnd"/>
      <w:r w:rsidRPr="00914A2E">
        <w:t xml:space="preserve"> det svenska skattebortfallet till $</w:t>
      </w:r>
      <w:r w:rsidR="00D36C7F">
        <w:t> </w:t>
      </w:r>
      <w:r w:rsidRPr="00914A2E">
        <w:t>1,55 miljarder. Vidare bedömer de att Sverige orsakar förlorade skatteinkomster för andra länder på $</w:t>
      </w:r>
      <w:r w:rsidR="00D36C7F">
        <w:t> </w:t>
      </w:r>
      <w:r w:rsidRPr="00914A2E">
        <w:t>641 miljoner</w:t>
      </w:r>
      <w:r w:rsidRPr="00914A2E" w:rsidR="00221B12">
        <w:t>, vilket alltså är klart lägre än på företagsskatteområdet. Det är ju också kons</w:t>
      </w:r>
      <w:r w:rsidR="00D36C7F">
        <w:t>ekvent</w:t>
      </w:r>
      <w:r w:rsidRPr="00914A2E" w:rsidR="00221B12">
        <w:t xml:space="preserve"> med vår bättre ranking i ”</w:t>
      </w:r>
      <w:proofErr w:type="spellStart"/>
      <w:r w:rsidRPr="00914A2E" w:rsidR="00221B12">
        <w:t>Financial</w:t>
      </w:r>
      <w:proofErr w:type="spellEnd"/>
      <w:r w:rsidRPr="00914A2E" w:rsidR="00221B12">
        <w:t xml:space="preserve"> </w:t>
      </w:r>
      <w:proofErr w:type="spellStart"/>
      <w:r w:rsidRPr="00914A2E" w:rsidR="00221B12">
        <w:t>Secrecy</w:t>
      </w:r>
      <w:proofErr w:type="spellEnd"/>
      <w:r w:rsidRPr="00914A2E" w:rsidR="00221B12">
        <w:t xml:space="preserve"> Index”.</w:t>
      </w:r>
    </w:p>
    <w:p w:rsidRPr="005B7AF0" w:rsidR="000014D3" w:rsidP="00E1249F" w:rsidRDefault="005E46B4" w14:paraId="7319CE46" w14:textId="7864403E">
      <w:pPr>
        <w:rPr>
          <w:spacing w:val="-2"/>
        </w:rPr>
      </w:pPr>
      <w:r w:rsidRPr="005B7AF0">
        <w:rPr>
          <w:spacing w:val="-2"/>
        </w:rPr>
        <w:t xml:space="preserve">Omräknat till svenska kronor </w:t>
      </w:r>
      <w:r w:rsidRPr="005B7AF0" w:rsidR="00221B12">
        <w:rPr>
          <w:spacing w:val="-2"/>
        </w:rPr>
        <w:t xml:space="preserve">beräknar alltså Tax </w:t>
      </w:r>
      <w:proofErr w:type="spellStart"/>
      <w:r w:rsidRPr="005B7AF0" w:rsidR="00221B12">
        <w:rPr>
          <w:spacing w:val="-2"/>
        </w:rPr>
        <w:t>Justice</w:t>
      </w:r>
      <w:proofErr w:type="spellEnd"/>
      <w:r w:rsidRPr="005B7AF0" w:rsidR="00221B12">
        <w:rPr>
          <w:spacing w:val="-2"/>
        </w:rPr>
        <w:t xml:space="preserve"> </w:t>
      </w:r>
      <w:proofErr w:type="spellStart"/>
      <w:r w:rsidRPr="005B7AF0" w:rsidR="00221B12">
        <w:rPr>
          <w:spacing w:val="-2"/>
        </w:rPr>
        <w:t>Network</w:t>
      </w:r>
      <w:proofErr w:type="spellEnd"/>
      <w:r w:rsidRPr="005B7AF0" w:rsidR="00221B12">
        <w:rPr>
          <w:spacing w:val="-2"/>
        </w:rPr>
        <w:t xml:space="preserve"> att Sverige </w:t>
      </w:r>
      <w:r w:rsidRPr="005B7AF0">
        <w:rPr>
          <w:spacing w:val="-2"/>
        </w:rPr>
        <w:t xml:space="preserve">sammantaget </w:t>
      </w:r>
      <w:r w:rsidRPr="005B7AF0" w:rsidR="00221B12">
        <w:rPr>
          <w:spacing w:val="-2"/>
        </w:rPr>
        <w:t xml:space="preserve">går miste om </w:t>
      </w:r>
      <w:r w:rsidRPr="005B7AF0" w:rsidR="00570644">
        <w:rPr>
          <w:spacing w:val="-2"/>
        </w:rPr>
        <w:t>ca</w:t>
      </w:r>
      <w:r w:rsidRPr="005B7AF0" w:rsidR="00D36C7F">
        <w:rPr>
          <w:spacing w:val="-2"/>
        </w:rPr>
        <w:t> </w:t>
      </w:r>
      <w:r w:rsidRPr="005B7AF0" w:rsidR="00570644">
        <w:rPr>
          <w:spacing w:val="-2"/>
        </w:rPr>
        <w:t>22 miljarder kronor</w:t>
      </w:r>
      <w:r w:rsidRPr="005B7AF0">
        <w:rPr>
          <w:spacing w:val="-2"/>
        </w:rPr>
        <w:t xml:space="preserve"> i skatteinkomste</w:t>
      </w:r>
      <w:r w:rsidRPr="005B7AF0" w:rsidR="00840D93">
        <w:rPr>
          <w:spacing w:val="-2"/>
        </w:rPr>
        <w:t>r (för de två kategorier de undersöker)</w:t>
      </w:r>
      <w:r w:rsidRPr="005B7AF0">
        <w:rPr>
          <w:spacing w:val="-2"/>
        </w:rPr>
        <w:t xml:space="preserve"> </w:t>
      </w:r>
      <w:r w:rsidRPr="005B7AF0" w:rsidR="00570644">
        <w:rPr>
          <w:spacing w:val="-2"/>
        </w:rPr>
        <w:t>samt att Sverige orsak</w:t>
      </w:r>
      <w:r w:rsidRPr="005B7AF0" w:rsidR="00D36C7F">
        <w:rPr>
          <w:spacing w:val="-2"/>
        </w:rPr>
        <w:t>a</w:t>
      </w:r>
      <w:r w:rsidRPr="005B7AF0" w:rsidR="00570644">
        <w:rPr>
          <w:spacing w:val="-2"/>
        </w:rPr>
        <w:t>r ett skattebortfall på ca 38 miljarder kronor för andra länder.</w:t>
      </w:r>
    </w:p>
    <w:p w:rsidRPr="00914A2E" w:rsidR="005E46B4" w:rsidP="00720364" w:rsidRDefault="006B0A6F" w14:paraId="7319CE47" w14:textId="44973AF4">
      <w:pPr>
        <w:spacing w:after="300"/>
      </w:pPr>
      <w:r w:rsidRPr="00914A2E">
        <w:t>Även Skatteverket har försökt att bedöma storleken på skattebortfallet p.g.a. skatte</w:t>
      </w:r>
      <w:r w:rsidR="00885723">
        <w:softHyphen/>
      </w:r>
      <w:r w:rsidRPr="00914A2E">
        <w:t>flykt m.m. Skatteverket använder termen ”skattefelet”, som definieras som skillnaden mellan de faktiska och de teoretiskt riktiga skattebeloppen.</w:t>
      </w:r>
      <w:r w:rsidRPr="00914A2E" w:rsidR="00806BAE">
        <w:t xml:space="preserve"> Skatteverket menar att skattefelet kan delas in i tre delar</w:t>
      </w:r>
      <w:r w:rsidR="00D36C7F">
        <w:t>:</w:t>
      </w:r>
      <w:r w:rsidRPr="00914A2E" w:rsidR="00806BAE">
        <w:t xml:space="preserve"> För det första det som är kontrollerbart med tillgäng</w:t>
      </w:r>
      <w:r w:rsidR="00885723">
        <w:softHyphen/>
      </w:r>
      <w:r w:rsidRPr="00914A2E" w:rsidR="00806BAE">
        <w:lastRenderedPageBreak/>
        <w:t>liga metoder</w:t>
      </w:r>
      <w:r w:rsidR="00D36C7F">
        <w:t>, f</w:t>
      </w:r>
      <w:r w:rsidRPr="00914A2E" w:rsidR="00806BAE">
        <w:t xml:space="preserve">ör det andra det </w:t>
      </w:r>
      <w:proofErr w:type="spellStart"/>
      <w:r w:rsidRPr="00914A2E" w:rsidR="00806BAE">
        <w:t>skattefel</w:t>
      </w:r>
      <w:proofErr w:type="spellEnd"/>
      <w:r w:rsidRPr="00914A2E" w:rsidR="00806BAE">
        <w:t xml:space="preserve"> som inte hittas av de kontrollmetoder som används men som skulle kunna hittas om andra metoder valdes eller fanns tillgängliga</w:t>
      </w:r>
      <w:r w:rsidRPr="00914A2E" w:rsidR="00931D0E">
        <w:t xml:space="preserve"> samt för det tredje, dolt </w:t>
      </w:r>
      <w:proofErr w:type="spellStart"/>
      <w:r w:rsidRPr="00914A2E" w:rsidR="00931D0E">
        <w:t>skattefel</w:t>
      </w:r>
      <w:proofErr w:type="spellEnd"/>
      <w:r w:rsidRPr="00914A2E" w:rsidR="00931D0E">
        <w:t xml:space="preserve">. Det sistnämnda är sådant </w:t>
      </w:r>
      <w:proofErr w:type="spellStart"/>
      <w:r w:rsidRPr="00914A2E" w:rsidR="00931D0E">
        <w:t>skattefel</w:t>
      </w:r>
      <w:proofErr w:type="spellEnd"/>
      <w:r w:rsidRPr="00914A2E" w:rsidR="00931D0E">
        <w:t xml:space="preserve"> som svårligen kan hittas vid kontroller. Det handlar framför allt om verksamheter och transaktioner som inte lämnar några eller otydliga spår efter sig.</w:t>
      </w:r>
      <w:r w:rsidRPr="00914A2E" w:rsidR="00931D0E">
        <w:rPr>
          <w:vertAlign w:val="superscript"/>
        </w:rPr>
        <w:footnoteReference w:id="8"/>
      </w:r>
      <w:r w:rsidRPr="00914A2E" w:rsidR="00931D0E">
        <w:t xml:space="preserve"> Skatteverket anger att de</w:t>
      </w:r>
      <w:r w:rsidRPr="00914A2E" w:rsidR="00AD059D">
        <w:t>ss</w:t>
      </w:r>
      <w:r w:rsidRPr="00914A2E" w:rsidR="00931D0E">
        <w:t xml:space="preserve"> arbete med att bedöma det totala skattefelet är under uppbyggnad</w:t>
      </w:r>
      <w:r w:rsidRPr="00914A2E" w:rsidR="005C10E1">
        <w:t xml:space="preserve">. </w:t>
      </w:r>
      <w:r w:rsidRPr="00914A2E" w:rsidR="00535967">
        <w:t>I tabellen nedan visas Skatteverkets beräkningar av skattefelet i Sverige, fördelat på de olika skatteslagen. Bedömningarna avser i huvudsak det kontrollerbara skattefelet och är uttryckt som det genomsnittliga årliga skattebortfallet.</w:t>
      </w:r>
    </w:p>
    <w:tbl>
      <w:tblPr>
        <w:tblW w:w="5897" w:type="dxa"/>
        <w:tblLayout w:type="fixed"/>
        <w:tblCellMar>
          <w:left w:w="70" w:type="dxa"/>
          <w:right w:w="70" w:type="dxa"/>
        </w:tblCellMar>
        <w:tblLook w:val="0000" w:firstRow="0" w:lastRow="0" w:firstColumn="0" w:lastColumn="0" w:noHBand="0" w:noVBand="0"/>
      </w:tblPr>
      <w:tblGrid>
        <w:gridCol w:w="4253"/>
        <w:gridCol w:w="1644"/>
      </w:tblGrid>
      <w:tr w:rsidRPr="00AA559D" w:rsidR="005E46B4" w:rsidTr="002C4FD7" w14:paraId="7319CE4B" w14:textId="77777777">
        <w:trPr>
          <w:trHeight w:val="305"/>
        </w:trPr>
        <w:tc>
          <w:tcPr>
            <w:tcW w:w="4253" w:type="dxa"/>
            <w:tcBorders>
              <w:left w:val="nil"/>
              <w:bottom w:val="single" w:color="auto" w:sz="4" w:space="0"/>
              <w:right w:val="nil"/>
            </w:tcBorders>
            <w:vAlign w:val="bottom"/>
          </w:tcPr>
          <w:p w:rsidRPr="00AA559D" w:rsidR="005E46B4" w:rsidP="002C4FD7" w:rsidRDefault="005E46B4" w14:paraId="7319CE4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rPr>
                <w:rFonts w:ascii="Times New Roman" w:hAnsi="Times New Roman" w:cs="Times New Roman"/>
                <w:b/>
                <w:bCs/>
                <w:color w:val="000000"/>
                <w:kern w:val="0"/>
                <w:sz w:val="20"/>
                <w:szCs w:val="20"/>
                <w14:numSpacing w14:val="default"/>
              </w:rPr>
            </w:pPr>
            <w:r w:rsidRPr="00AA559D">
              <w:rPr>
                <w:rFonts w:ascii="Times New Roman" w:hAnsi="Times New Roman" w:cs="Times New Roman"/>
                <w:b/>
                <w:bCs/>
                <w:color w:val="000000"/>
                <w:kern w:val="0"/>
                <w:sz w:val="20"/>
                <w:szCs w:val="20"/>
                <w14:numSpacing w14:val="default"/>
              </w:rPr>
              <w:t>Tabell 3 Skattefelet i Sverige, årligt, mdkr</w:t>
            </w:r>
          </w:p>
        </w:tc>
        <w:tc>
          <w:tcPr>
            <w:tcW w:w="1644" w:type="dxa"/>
            <w:tcBorders>
              <w:left w:val="nil"/>
              <w:bottom w:val="single" w:color="auto" w:sz="4" w:space="0"/>
              <w:right w:val="nil"/>
            </w:tcBorders>
          </w:tcPr>
          <w:p w:rsidRPr="00AA559D" w:rsidR="005E46B4" w:rsidRDefault="005E46B4" w14:paraId="7319CE4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b/>
                <w:bCs/>
                <w:color w:val="000000"/>
                <w:kern w:val="0"/>
                <w:sz w:val="20"/>
                <w:szCs w:val="20"/>
                <w14:numSpacing w14:val="default"/>
              </w:rPr>
            </w:pPr>
          </w:p>
        </w:tc>
      </w:tr>
      <w:tr w:rsidRPr="00AA559D" w:rsidR="005E46B4" w:rsidTr="00D82D74" w14:paraId="7319CE4E" w14:textId="77777777">
        <w:trPr>
          <w:trHeight w:val="290"/>
        </w:trPr>
        <w:tc>
          <w:tcPr>
            <w:tcW w:w="4253" w:type="dxa"/>
            <w:tcBorders>
              <w:top w:val="single" w:color="auto" w:sz="4" w:space="0"/>
              <w:left w:val="nil"/>
              <w:bottom w:val="nil"/>
              <w:right w:val="nil"/>
            </w:tcBorders>
          </w:tcPr>
          <w:p w:rsidRPr="00AA559D" w:rsidR="005E46B4" w:rsidP="00F625AA" w:rsidRDefault="005E46B4" w14:paraId="7319CE4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AA559D">
              <w:rPr>
                <w:rFonts w:ascii="Times New Roman" w:hAnsi="Times New Roman" w:cs="Times New Roman"/>
                <w:color w:val="000000"/>
                <w:kern w:val="0"/>
                <w:sz w:val="20"/>
                <w:szCs w:val="20"/>
                <w14:numSpacing w14:val="default"/>
              </w:rPr>
              <w:t>Bolagsskatt</w:t>
            </w:r>
          </w:p>
        </w:tc>
        <w:tc>
          <w:tcPr>
            <w:tcW w:w="1644" w:type="dxa"/>
            <w:tcBorders>
              <w:top w:val="single" w:color="auto" w:sz="4" w:space="0"/>
              <w:left w:val="nil"/>
              <w:bottom w:val="nil"/>
              <w:right w:val="nil"/>
            </w:tcBorders>
          </w:tcPr>
          <w:p w:rsidRPr="00AA559D" w:rsidR="005E46B4" w:rsidP="00F625AA" w:rsidRDefault="005E46B4" w14:paraId="7319CE4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AA559D">
              <w:rPr>
                <w:rFonts w:ascii="Times New Roman" w:hAnsi="Times New Roman" w:cs="Times New Roman"/>
                <w:color w:val="000000"/>
                <w:kern w:val="0"/>
                <w:sz w:val="20"/>
                <w:szCs w:val="20"/>
                <w14:numSpacing w14:val="default"/>
              </w:rPr>
              <w:t>3</w:t>
            </w:r>
          </w:p>
        </w:tc>
      </w:tr>
      <w:tr w:rsidRPr="00AA559D" w:rsidR="005E46B4" w:rsidTr="00D82D74" w14:paraId="7319CE51" w14:textId="77777777">
        <w:trPr>
          <w:trHeight w:val="290"/>
        </w:trPr>
        <w:tc>
          <w:tcPr>
            <w:tcW w:w="4253" w:type="dxa"/>
            <w:tcBorders>
              <w:top w:val="nil"/>
              <w:left w:val="nil"/>
              <w:bottom w:val="nil"/>
              <w:right w:val="nil"/>
            </w:tcBorders>
          </w:tcPr>
          <w:p w:rsidRPr="00AA559D" w:rsidR="005E46B4" w:rsidP="00F625AA" w:rsidRDefault="005E46B4" w14:paraId="7319CE4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AA559D">
              <w:rPr>
                <w:rFonts w:ascii="Times New Roman" w:hAnsi="Times New Roman" w:cs="Times New Roman"/>
                <w:color w:val="000000"/>
                <w:kern w:val="0"/>
                <w:sz w:val="20"/>
                <w:szCs w:val="20"/>
                <w14:numSpacing w14:val="default"/>
              </w:rPr>
              <w:t>Arbetsgivaravgift och egenavgift</w:t>
            </w:r>
          </w:p>
        </w:tc>
        <w:tc>
          <w:tcPr>
            <w:tcW w:w="1644" w:type="dxa"/>
            <w:tcBorders>
              <w:top w:val="nil"/>
              <w:left w:val="nil"/>
              <w:bottom w:val="nil"/>
              <w:right w:val="nil"/>
            </w:tcBorders>
          </w:tcPr>
          <w:p w:rsidRPr="00AA559D" w:rsidR="005E46B4" w:rsidP="00F625AA" w:rsidRDefault="005E46B4" w14:paraId="7319CE5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AA559D">
              <w:rPr>
                <w:rFonts w:ascii="Times New Roman" w:hAnsi="Times New Roman" w:cs="Times New Roman"/>
                <w:color w:val="000000"/>
                <w:kern w:val="0"/>
                <w:sz w:val="20"/>
                <w:szCs w:val="20"/>
                <w14:numSpacing w14:val="default"/>
              </w:rPr>
              <w:t>6,1</w:t>
            </w:r>
          </w:p>
        </w:tc>
      </w:tr>
      <w:tr w:rsidRPr="00AA559D" w:rsidR="005E46B4" w:rsidTr="00D82D74" w14:paraId="7319CE54" w14:textId="77777777">
        <w:trPr>
          <w:trHeight w:val="290"/>
        </w:trPr>
        <w:tc>
          <w:tcPr>
            <w:tcW w:w="4253" w:type="dxa"/>
            <w:tcBorders>
              <w:top w:val="nil"/>
              <w:left w:val="nil"/>
              <w:bottom w:val="nil"/>
              <w:right w:val="nil"/>
            </w:tcBorders>
          </w:tcPr>
          <w:p w:rsidRPr="00AA559D" w:rsidR="005E46B4" w:rsidP="00F625AA" w:rsidRDefault="005E46B4" w14:paraId="7319CE5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AA559D">
              <w:rPr>
                <w:rFonts w:ascii="Times New Roman" w:hAnsi="Times New Roman" w:cs="Times New Roman"/>
                <w:color w:val="000000"/>
                <w:kern w:val="0"/>
                <w:sz w:val="20"/>
                <w:szCs w:val="20"/>
                <w14:numSpacing w14:val="default"/>
              </w:rPr>
              <w:t>Skatt på inkomst av tjänst och näringsverksamhet</w:t>
            </w:r>
          </w:p>
        </w:tc>
        <w:tc>
          <w:tcPr>
            <w:tcW w:w="1644" w:type="dxa"/>
            <w:tcBorders>
              <w:top w:val="nil"/>
              <w:left w:val="nil"/>
              <w:bottom w:val="nil"/>
              <w:right w:val="nil"/>
            </w:tcBorders>
          </w:tcPr>
          <w:p w:rsidRPr="00AA559D" w:rsidR="005E46B4" w:rsidP="00F625AA" w:rsidRDefault="005E46B4" w14:paraId="7319CE5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AA559D">
              <w:rPr>
                <w:rFonts w:ascii="Times New Roman" w:hAnsi="Times New Roman" w:cs="Times New Roman"/>
                <w:color w:val="000000"/>
                <w:kern w:val="0"/>
                <w:sz w:val="20"/>
                <w:szCs w:val="20"/>
                <w14:numSpacing w14:val="default"/>
              </w:rPr>
              <w:t>10,2</w:t>
            </w:r>
          </w:p>
        </w:tc>
      </w:tr>
      <w:tr w:rsidRPr="00AA559D" w:rsidR="005E46B4" w:rsidTr="00D82D74" w14:paraId="7319CE57" w14:textId="77777777">
        <w:trPr>
          <w:trHeight w:val="290"/>
        </w:trPr>
        <w:tc>
          <w:tcPr>
            <w:tcW w:w="4253" w:type="dxa"/>
            <w:tcBorders>
              <w:top w:val="nil"/>
              <w:left w:val="nil"/>
              <w:bottom w:val="nil"/>
              <w:right w:val="nil"/>
            </w:tcBorders>
          </w:tcPr>
          <w:p w:rsidRPr="00AA559D" w:rsidR="005E46B4" w:rsidP="00F625AA" w:rsidRDefault="005E46B4" w14:paraId="7319CE5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AA559D">
              <w:rPr>
                <w:rFonts w:ascii="Times New Roman" w:hAnsi="Times New Roman" w:cs="Times New Roman"/>
                <w:color w:val="000000"/>
                <w:kern w:val="0"/>
                <w:sz w:val="20"/>
                <w:szCs w:val="20"/>
                <w14:numSpacing w14:val="default"/>
              </w:rPr>
              <w:t>Kapitalinkomster</w:t>
            </w:r>
          </w:p>
        </w:tc>
        <w:tc>
          <w:tcPr>
            <w:tcW w:w="1644" w:type="dxa"/>
            <w:tcBorders>
              <w:top w:val="nil"/>
              <w:left w:val="nil"/>
              <w:bottom w:val="nil"/>
              <w:right w:val="nil"/>
            </w:tcBorders>
          </w:tcPr>
          <w:p w:rsidRPr="00AA559D" w:rsidR="005E46B4" w:rsidP="00F625AA" w:rsidRDefault="005E46B4" w14:paraId="7319CE5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AA559D">
              <w:rPr>
                <w:rFonts w:ascii="Times New Roman" w:hAnsi="Times New Roman" w:cs="Times New Roman"/>
                <w:color w:val="000000"/>
                <w:kern w:val="0"/>
                <w:sz w:val="20"/>
                <w:szCs w:val="20"/>
                <w14:numSpacing w14:val="default"/>
              </w:rPr>
              <w:t>8</w:t>
            </w:r>
          </w:p>
        </w:tc>
      </w:tr>
      <w:tr w:rsidRPr="00AA559D" w:rsidR="005E46B4" w:rsidTr="00D82D74" w14:paraId="7319CE5A" w14:textId="77777777">
        <w:trPr>
          <w:trHeight w:val="290"/>
        </w:trPr>
        <w:tc>
          <w:tcPr>
            <w:tcW w:w="4253" w:type="dxa"/>
            <w:tcBorders>
              <w:top w:val="nil"/>
              <w:left w:val="nil"/>
              <w:bottom w:val="nil"/>
              <w:right w:val="nil"/>
            </w:tcBorders>
          </w:tcPr>
          <w:p w:rsidRPr="00AA559D" w:rsidR="005E46B4" w:rsidP="00F625AA" w:rsidRDefault="005E46B4" w14:paraId="7319CE5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AA559D">
              <w:rPr>
                <w:rFonts w:ascii="Times New Roman" w:hAnsi="Times New Roman" w:cs="Times New Roman"/>
                <w:color w:val="000000"/>
                <w:kern w:val="0"/>
                <w:sz w:val="20"/>
                <w:szCs w:val="20"/>
                <w14:numSpacing w14:val="default"/>
              </w:rPr>
              <w:t>Moms</w:t>
            </w:r>
          </w:p>
        </w:tc>
        <w:tc>
          <w:tcPr>
            <w:tcW w:w="1644" w:type="dxa"/>
            <w:tcBorders>
              <w:top w:val="nil"/>
              <w:left w:val="nil"/>
              <w:bottom w:val="nil"/>
              <w:right w:val="nil"/>
            </w:tcBorders>
          </w:tcPr>
          <w:p w:rsidRPr="00AA559D" w:rsidR="005E46B4" w:rsidP="00F625AA" w:rsidRDefault="005E46B4" w14:paraId="7319CE5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AA559D">
              <w:rPr>
                <w:rFonts w:ascii="Times New Roman" w:hAnsi="Times New Roman" w:cs="Times New Roman"/>
                <w:color w:val="000000"/>
                <w:kern w:val="0"/>
                <w:sz w:val="20"/>
                <w:szCs w:val="20"/>
                <w14:numSpacing w14:val="default"/>
              </w:rPr>
              <w:t>15,1</w:t>
            </w:r>
          </w:p>
        </w:tc>
      </w:tr>
      <w:tr w:rsidRPr="00AA559D" w:rsidR="005E46B4" w:rsidTr="00D82D74" w14:paraId="7319CE5D" w14:textId="77777777">
        <w:trPr>
          <w:trHeight w:val="290"/>
        </w:trPr>
        <w:tc>
          <w:tcPr>
            <w:tcW w:w="4253" w:type="dxa"/>
            <w:tcBorders>
              <w:top w:val="nil"/>
              <w:left w:val="nil"/>
              <w:right w:val="nil"/>
            </w:tcBorders>
          </w:tcPr>
          <w:p w:rsidRPr="00AA559D" w:rsidR="005E46B4" w:rsidP="00F625AA" w:rsidRDefault="005E46B4" w14:paraId="7319CE5B" w14:textId="1F80A8CD">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AA559D">
              <w:rPr>
                <w:rFonts w:ascii="Times New Roman" w:hAnsi="Times New Roman" w:cs="Times New Roman"/>
                <w:color w:val="000000"/>
                <w:kern w:val="0"/>
                <w:sz w:val="20"/>
                <w:szCs w:val="20"/>
                <w14:numSpacing w14:val="default"/>
              </w:rPr>
              <w:t>Punktskatter</w:t>
            </w:r>
          </w:p>
        </w:tc>
        <w:tc>
          <w:tcPr>
            <w:tcW w:w="1644" w:type="dxa"/>
            <w:tcBorders>
              <w:top w:val="nil"/>
              <w:left w:val="nil"/>
              <w:right w:val="nil"/>
            </w:tcBorders>
          </w:tcPr>
          <w:p w:rsidRPr="00AA559D" w:rsidR="005E46B4" w:rsidP="00F625AA" w:rsidRDefault="005E46B4" w14:paraId="7319CE5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AA559D">
              <w:rPr>
                <w:rFonts w:ascii="Times New Roman" w:hAnsi="Times New Roman" w:cs="Times New Roman"/>
                <w:color w:val="000000"/>
                <w:kern w:val="0"/>
                <w:sz w:val="20"/>
                <w:szCs w:val="20"/>
                <w14:numSpacing w14:val="default"/>
              </w:rPr>
              <w:t>1,9</w:t>
            </w:r>
          </w:p>
        </w:tc>
      </w:tr>
      <w:tr w:rsidRPr="00AA559D" w:rsidR="005E46B4" w:rsidTr="00D82D74" w14:paraId="7319CE60" w14:textId="77777777">
        <w:trPr>
          <w:trHeight w:val="305"/>
        </w:trPr>
        <w:tc>
          <w:tcPr>
            <w:tcW w:w="4253" w:type="dxa"/>
            <w:tcBorders>
              <w:left w:val="nil"/>
              <w:bottom w:val="single" w:color="auto" w:sz="4" w:space="0"/>
              <w:right w:val="nil"/>
            </w:tcBorders>
          </w:tcPr>
          <w:p w:rsidRPr="00AA559D" w:rsidR="005E46B4" w:rsidP="00F625AA" w:rsidRDefault="005E46B4" w14:paraId="7319CE5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b/>
                <w:bCs/>
                <w:color w:val="000000"/>
                <w:kern w:val="0"/>
                <w:sz w:val="20"/>
                <w:szCs w:val="20"/>
                <w14:numSpacing w14:val="default"/>
              </w:rPr>
            </w:pPr>
            <w:r w:rsidRPr="00AA559D">
              <w:rPr>
                <w:rFonts w:ascii="Times New Roman" w:hAnsi="Times New Roman" w:cs="Times New Roman"/>
                <w:b/>
                <w:bCs/>
                <w:color w:val="000000"/>
                <w:kern w:val="0"/>
                <w:sz w:val="20"/>
                <w:szCs w:val="20"/>
                <w14:numSpacing w14:val="default"/>
              </w:rPr>
              <w:t>Summa</w:t>
            </w:r>
          </w:p>
        </w:tc>
        <w:tc>
          <w:tcPr>
            <w:tcW w:w="1644" w:type="dxa"/>
            <w:tcBorders>
              <w:left w:val="nil"/>
              <w:bottom w:val="single" w:color="auto" w:sz="4" w:space="0"/>
              <w:right w:val="nil"/>
            </w:tcBorders>
          </w:tcPr>
          <w:p w:rsidRPr="00AA559D" w:rsidR="005E46B4" w:rsidP="00F625AA" w:rsidRDefault="005E46B4" w14:paraId="7319CE5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sidRPr="00AA559D">
              <w:rPr>
                <w:rFonts w:ascii="Times New Roman" w:hAnsi="Times New Roman" w:cs="Times New Roman"/>
                <w:b/>
                <w:bCs/>
                <w:color w:val="000000"/>
                <w:kern w:val="0"/>
                <w:sz w:val="20"/>
                <w:szCs w:val="20"/>
                <w14:numSpacing w14:val="default"/>
              </w:rPr>
              <w:t>44,3</w:t>
            </w:r>
          </w:p>
        </w:tc>
      </w:tr>
    </w:tbl>
    <w:p w:rsidRPr="00F625AA" w:rsidR="005E46B4" w:rsidP="00F625AA" w:rsidRDefault="005E46B4" w14:paraId="7319CE61" w14:textId="77777777">
      <w:pPr>
        <w:pStyle w:val="Klla"/>
      </w:pPr>
      <w:r w:rsidRPr="00F625AA">
        <w:t>Källa: Skatteverkets</w:t>
      </w:r>
      <w:r w:rsidRPr="00F625AA" w:rsidR="00535967">
        <w:t xml:space="preserve"> årsredovisning 2020.</w:t>
      </w:r>
    </w:p>
    <w:p w:rsidRPr="00914A2E" w:rsidR="00535967" w:rsidP="00720364" w:rsidRDefault="00463B1D" w14:paraId="7319CE63" w14:textId="77777777">
      <w:pPr>
        <w:pStyle w:val="Normalutanindragellerluft"/>
        <w:spacing w:after="300"/>
      </w:pPr>
      <w:r w:rsidRPr="00914A2E">
        <w:t>Skatteverket</w:t>
      </w:r>
      <w:r w:rsidRPr="00914A2E" w:rsidR="00064672">
        <w:t xml:space="preserve"> beräknar alltså att Sverige går miste om 44 miljarder kronor varje år till följd av skatteflykt och aggressiva </w:t>
      </w:r>
      <w:proofErr w:type="spellStart"/>
      <w:r w:rsidRPr="00914A2E" w:rsidR="00064672">
        <w:t>skatteupplägg</w:t>
      </w:r>
      <w:proofErr w:type="spellEnd"/>
      <w:r w:rsidRPr="00914A2E" w:rsidR="00064672">
        <w:t>. Bedömningen är också förmodligen i underkant, då beräkningen främst avser det kontrollerbara skattefelet.</w:t>
      </w:r>
      <w:r w:rsidRPr="00914A2E" w:rsidR="00243594">
        <w:t xml:space="preserve"> Skattebortfallet motsvarar t.ex. totala lönekostnader för 49 000 läkare. I tabellen nedan visas vad man mer kan använda 44 miljarder kronor till.</w:t>
      </w:r>
    </w:p>
    <w:tbl>
      <w:tblPr>
        <w:tblW w:w="5897" w:type="dxa"/>
        <w:tblLayout w:type="fixed"/>
        <w:tblCellMar>
          <w:left w:w="70" w:type="dxa"/>
          <w:right w:w="70" w:type="dxa"/>
        </w:tblCellMar>
        <w:tblLook w:val="0000" w:firstRow="0" w:lastRow="0" w:firstColumn="0" w:lastColumn="0" w:noHBand="0" w:noVBand="0"/>
      </w:tblPr>
      <w:tblGrid>
        <w:gridCol w:w="4253"/>
        <w:gridCol w:w="1644"/>
      </w:tblGrid>
      <w:tr w:rsidRPr="00AA559D" w:rsidR="00243594" w:rsidTr="002C4FD7" w14:paraId="7319CE66" w14:textId="77777777">
        <w:trPr>
          <w:trHeight w:val="290"/>
        </w:trPr>
        <w:tc>
          <w:tcPr>
            <w:tcW w:w="5897" w:type="dxa"/>
            <w:gridSpan w:val="2"/>
            <w:tcBorders>
              <w:top w:val="nil"/>
              <w:left w:val="nil"/>
              <w:right w:val="nil"/>
            </w:tcBorders>
            <w:vAlign w:val="center"/>
          </w:tcPr>
          <w:p w:rsidRPr="00AA559D" w:rsidR="00243594" w:rsidP="002C4FD7" w:rsidRDefault="00243594" w14:paraId="7319CE6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rPr>
                <w:rFonts w:ascii="Times New Roman" w:hAnsi="Times New Roman" w:cs="Times New Roman"/>
                <w:b/>
                <w:bCs/>
                <w:color w:val="000000"/>
                <w:kern w:val="0"/>
                <w:sz w:val="20"/>
                <w:szCs w:val="20"/>
                <w14:numSpacing w14:val="default"/>
              </w:rPr>
            </w:pPr>
            <w:r w:rsidRPr="00AA559D">
              <w:rPr>
                <w:rFonts w:ascii="Times New Roman" w:hAnsi="Times New Roman" w:cs="Times New Roman"/>
                <w:b/>
                <w:bCs/>
                <w:color w:val="000000"/>
                <w:kern w:val="0"/>
                <w:sz w:val="20"/>
                <w:szCs w:val="20"/>
                <w14:numSpacing w14:val="default"/>
              </w:rPr>
              <w:t>Tabell 4 Vad får man för pengarna (44 miljarder)</w:t>
            </w:r>
          </w:p>
        </w:tc>
      </w:tr>
      <w:tr w:rsidRPr="00AA559D" w:rsidR="00243594" w:rsidTr="002C4FD7" w14:paraId="7319CE69" w14:textId="77777777">
        <w:trPr>
          <w:trHeight w:val="230"/>
        </w:trPr>
        <w:tc>
          <w:tcPr>
            <w:tcW w:w="4253" w:type="dxa"/>
            <w:tcBorders>
              <w:top w:val="nil"/>
              <w:left w:val="nil"/>
              <w:bottom w:val="single" w:color="auto" w:sz="4" w:space="0"/>
              <w:right w:val="nil"/>
            </w:tcBorders>
          </w:tcPr>
          <w:p w:rsidRPr="00AA559D" w:rsidR="00243594" w:rsidRDefault="00243594" w14:paraId="7319CE6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cs="Times New Roman"/>
                <w:i/>
                <w:iCs/>
                <w:color w:val="000000"/>
                <w:kern w:val="0"/>
                <w:sz w:val="20"/>
                <w:szCs w:val="20"/>
                <w14:numSpacing w14:val="default"/>
              </w:rPr>
            </w:pPr>
            <w:r w:rsidRPr="00AA559D">
              <w:rPr>
                <w:rFonts w:ascii="Times New Roman" w:hAnsi="Times New Roman" w:cs="Times New Roman"/>
                <w:i/>
                <w:iCs/>
                <w:color w:val="000000"/>
                <w:kern w:val="0"/>
                <w:sz w:val="20"/>
                <w:szCs w:val="20"/>
                <w14:numSpacing w14:val="default"/>
              </w:rPr>
              <w:t>Antal heltidsanställda, totala lönekostnader</w:t>
            </w:r>
          </w:p>
        </w:tc>
        <w:tc>
          <w:tcPr>
            <w:tcW w:w="1644" w:type="dxa"/>
            <w:tcBorders>
              <w:top w:val="nil"/>
              <w:left w:val="nil"/>
              <w:bottom w:val="single" w:color="auto" w:sz="4" w:space="0"/>
              <w:right w:val="nil"/>
            </w:tcBorders>
          </w:tcPr>
          <w:p w:rsidRPr="00AA559D" w:rsidR="00243594" w:rsidRDefault="00243594" w14:paraId="7319CE6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i/>
                <w:iCs/>
                <w:color w:val="000000"/>
                <w:kern w:val="0"/>
                <w:sz w:val="20"/>
                <w:szCs w:val="20"/>
                <w14:numSpacing w14:val="default"/>
              </w:rPr>
            </w:pPr>
          </w:p>
        </w:tc>
      </w:tr>
      <w:tr w:rsidRPr="00AA559D" w:rsidR="00243594" w:rsidTr="002C4FD7" w14:paraId="7319CE6C" w14:textId="77777777">
        <w:trPr>
          <w:trHeight w:val="290"/>
        </w:trPr>
        <w:tc>
          <w:tcPr>
            <w:tcW w:w="4253" w:type="dxa"/>
            <w:tcBorders>
              <w:top w:val="single" w:color="auto" w:sz="4" w:space="0"/>
              <w:left w:val="nil"/>
              <w:right w:val="nil"/>
            </w:tcBorders>
          </w:tcPr>
          <w:p w:rsidRPr="00F625AA" w:rsidR="00243594" w:rsidRDefault="00243594" w14:paraId="7319CE6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cs="Times New Roman"/>
                <w:b/>
                <w:bCs/>
                <w:color w:val="000000"/>
                <w:kern w:val="0"/>
                <w:sz w:val="20"/>
                <w:szCs w:val="20"/>
                <w14:numSpacing w14:val="default"/>
              </w:rPr>
            </w:pPr>
            <w:r w:rsidRPr="00F625AA">
              <w:rPr>
                <w:rFonts w:ascii="Times New Roman" w:hAnsi="Times New Roman" w:cs="Times New Roman"/>
                <w:b/>
                <w:bCs/>
                <w:color w:val="000000"/>
                <w:kern w:val="0"/>
                <w:sz w:val="20"/>
                <w:szCs w:val="20"/>
                <w14:numSpacing w14:val="default"/>
              </w:rPr>
              <w:t>Yrke</w:t>
            </w:r>
          </w:p>
        </w:tc>
        <w:tc>
          <w:tcPr>
            <w:tcW w:w="1644" w:type="dxa"/>
            <w:tcBorders>
              <w:top w:val="single" w:color="auto" w:sz="4" w:space="0"/>
              <w:left w:val="nil"/>
              <w:right w:val="nil"/>
            </w:tcBorders>
          </w:tcPr>
          <w:p w:rsidRPr="00F625AA" w:rsidR="00243594" w:rsidRDefault="00243594" w14:paraId="7319CE6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b/>
                <w:bCs/>
                <w:color w:val="000000"/>
                <w:kern w:val="0"/>
                <w:sz w:val="20"/>
                <w:szCs w:val="20"/>
                <w14:numSpacing w14:val="default"/>
              </w:rPr>
            </w:pPr>
            <w:r w:rsidRPr="00F625AA">
              <w:rPr>
                <w:rFonts w:ascii="Times New Roman" w:hAnsi="Times New Roman" w:cs="Times New Roman"/>
                <w:b/>
                <w:bCs/>
                <w:color w:val="000000"/>
                <w:kern w:val="0"/>
                <w:sz w:val="20"/>
                <w:szCs w:val="20"/>
                <w14:numSpacing w14:val="default"/>
              </w:rPr>
              <w:t>Antal</w:t>
            </w:r>
          </w:p>
        </w:tc>
      </w:tr>
      <w:tr w:rsidRPr="00AA559D" w:rsidR="00243594" w:rsidTr="002C4FD7" w14:paraId="7319CE6F" w14:textId="77777777">
        <w:trPr>
          <w:trHeight w:val="290"/>
        </w:trPr>
        <w:tc>
          <w:tcPr>
            <w:tcW w:w="4253" w:type="dxa"/>
            <w:tcBorders>
              <w:left w:val="nil"/>
              <w:bottom w:val="nil"/>
              <w:right w:val="nil"/>
            </w:tcBorders>
          </w:tcPr>
          <w:p w:rsidRPr="00AA559D" w:rsidR="00243594" w:rsidRDefault="00243594" w14:paraId="7319CE6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cs="Times New Roman"/>
                <w:color w:val="000000"/>
                <w:kern w:val="0"/>
                <w:sz w:val="20"/>
                <w:szCs w:val="20"/>
                <w14:numSpacing w14:val="default"/>
              </w:rPr>
            </w:pPr>
            <w:r w:rsidRPr="00AA559D">
              <w:rPr>
                <w:rFonts w:ascii="Times New Roman" w:hAnsi="Times New Roman" w:cs="Times New Roman"/>
                <w:color w:val="000000"/>
                <w:kern w:val="0"/>
                <w:sz w:val="20"/>
                <w:szCs w:val="20"/>
                <w14:numSpacing w14:val="default"/>
              </w:rPr>
              <w:t>ST-läkare</w:t>
            </w:r>
          </w:p>
        </w:tc>
        <w:tc>
          <w:tcPr>
            <w:tcW w:w="1644" w:type="dxa"/>
            <w:tcBorders>
              <w:left w:val="nil"/>
              <w:bottom w:val="nil"/>
              <w:right w:val="nil"/>
            </w:tcBorders>
          </w:tcPr>
          <w:p w:rsidRPr="00AA559D" w:rsidR="00243594" w:rsidRDefault="00243594" w14:paraId="7319CE6E" w14:textId="6D082CEF">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20"/>
                <w:szCs w:val="20"/>
                <w14:numSpacing w14:val="default"/>
              </w:rPr>
            </w:pPr>
            <w:r w:rsidRPr="00AA559D">
              <w:rPr>
                <w:rFonts w:ascii="Times New Roman" w:hAnsi="Times New Roman" w:cs="Times New Roman"/>
                <w:color w:val="000000"/>
                <w:kern w:val="0"/>
                <w:sz w:val="20"/>
                <w:szCs w:val="20"/>
                <w14:numSpacing w14:val="default"/>
              </w:rPr>
              <w:t>49</w:t>
            </w:r>
            <w:r w:rsidR="00F625AA">
              <w:rPr>
                <w:rFonts w:ascii="Times New Roman" w:hAnsi="Times New Roman" w:cs="Times New Roman"/>
                <w:color w:val="000000"/>
                <w:kern w:val="0"/>
                <w:sz w:val="20"/>
                <w:szCs w:val="20"/>
                <w14:numSpacing w14:val="default"/>
              </w:rPr>
              <w:t> </w:t>
            </w:r>
            <w:r w:rsidRPr="00AA559D">
              <w:rPr>
                <w:rFonts w:ascii="Times New Roman" w:hAnsi="Times New Roman" w:cs="Times New Roman"/>
                <w:color w:val="000000"/>
                <w:kern w:val="0"/>
                <w:sz w:val="20"/>
                <w:szCs w:val="20"/>
                <w14:numSpacing w14:val="default"/>
              </w:rPr>
              <w:t>000</w:t>
            </w:r>
          </w:p>
        </w:tc>
      </w:tr>
      <w:tr w:rsidRPr="00AA559D" w:rsidR="00243594" w:rsidTr="002C4FD7" w14:paraId="7319CE72" w14:textId="77777777">
        <w:trPr>
          <w:trHeight w:val="290"/>
        </w:trPr>
        <w:tc>
          <w:tcPr>
            <w:tcW w:w="4253" w:type="dxa"/>
            <w:tcBorders>
              <w:top w:val="nil"/>
              <w:left w:val="nil"/>
              <w:bottom w:val="nil"/>
              <w:right w:val="nil"/>
            </w:tcBorders>
          </w:tcPr>
          <w:p w:rsidRPr="00AA559D" w:rsidR="00243594" w:rsidRDefault="00243594" w14:paraId="7319CE7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cs="Times New Roman"/>
                <w:color w:val="000000"/>
                <w:kern w:val="0"/>
                <w:sz w:val="20"/>
                <w:szCs w:val="20"/>
                <w14:numSpacing w14:val="default"/>
              </w:rPr>
            </w:pPr>
            <w:r w:rsidRPr="00AA559D">
              <w:rPr>
                <w:rFonts w:ascii="Times New Roman" w:hAnsi="Times New Roman" w:cs="Times New Roman"/>
                <w:color w:val="000000"/>
                <w:kern w:val="0"/>
                <w:sz w:val="20"/>
                <w:szCs w:val="20"/>
                <w14:numSpacing w14:val="default"/>
              </w:rPr>
              <w:t>Sjuksköterskor</w:t>
            </w:r>
          </w:p>
        </w:tc>
        <w:tc>
          <w:tcPr>
            <w:tcW w:w="1644" w:type="dxa"/>
            <w:tcBorders>
              <w:top w:val="nil"/>
              <w:left w:val="nil"/>
              <w:bottom w:val="nil"/>
              <w:right w:val="nil"/>
            </w:tcBorders>
          </w:tcPr>
          <w:p w:rsidRPr="00AA559D" w:rsidR="00243594" w:rsidRDefault="00243594" w14:paraId="7319CE71" w14:textId="2F2FBFE6">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20"/>
                <w:szCs w:val="20"/>
                <w14:numSpacing w14:val="default"/>
              </w:rPr>
            </w:pPr>
            <w:r w:rsidRPr="00AA559D">
              <w:rPr>
                <w:rFonts w:ascii="Times New Roman" w:hAnsi="Times New Roman" w:cs="Times New Roman"/>
                <w:color w:val="000000"/>
                <w:kern w:val="0"/>
                <w:sz w:val="20"/>
                <w:szCs w:val="20"/>
                <w14:numSpacing w14:val="default"/>
              </w:rPr>
              <w:t>64</w:t>
            </w:r>
            <w:r w:rsidR="00F625AA">
              <w:rPr>
                <w:rFonts w:ascii="Times New Roman" w:hAnsi="Times New Roman" w:cs="Times New Roman"/>
                <w:color w:val="000000"/>
                <w:kern w:val="0"/>
                <w:sz w:val="20"/>
                <w:szCs w:val="20"/>
                <w14:numSpacing w14:val="default"/>
              </w:rPr>
              <w:t> </w:t>
            </w:r>
            <w:r w:rsidRPr="00AA559D">
              <w:rPr>
                <w:rFonts w:ascii="Times New Roman" w:hAnsi="Times New Roman" w:cs="Times New Roman"/>
                <w:color w:val="000000"/>
                <w:kern w:val="0"/>
                <w:sz w:val="20"/>
                <w:szCs w:val="20"/>
                <w14:numSpacing w14:val="default"/>
              </w:rPr>
              <w:t>000</w:t>
            </w:r>
          </w:p>
        </w:tc>
      </w:tr>
      <w:tr w:rsidRPr="00AA559D" w:rsidR="00243594" w:rsidTr="002C4FD7" w14:paraId="7319CE75" w14:textId="77777777">
        <w:trPr>
          <w:trHeight w:val="290"/>
        </w:trPr>
        <w:tc>
          <w:tcPr>
            <w:tcW w:w="4253" w:type="dxa"/>
            <w:tcBorders>
              <w:top w:val="nil"/>
              <w:left w:val="nil"/>
              <w:right w:val="nil"/>
            </w:tcBorders>
          </w:tcPr>
          <w:p w:rsidRPr="00AA559D" w:rsidR="00243594" w:rsidRDefault="00243594" w14:paraId="7319CE7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cs="Times New Roman"/>
                <w:color w:val="000000"/>
                <w:kern w:val="0"/>
                <w:sz w:val="20"/>
                <w:szCs w:val="20"/>
                <w14:numSpacing w14:val="default"/>
              </w:rPr>
            </w:pPr>
            <w:r w:rsidRPr="00AA559D">
              <w:rPr>
                <w:rFonts w:ascii="Times New Roman" w:hAnsi="Times New Roman" w:cs="Times New Roman"/>
                <w:color w:val="000000"/>
                <w:kern w:val="0"/>
                <w:sz w:val="20"/>
                <w:szCs w:val="20"/>
                <w14:numSpacing w14:val="default"/>
              </w:rPr>
              <w:t>Poliser</w:t>
            </w:r>
          </w:p>
        </w:tc>
        <w:tc>
          <w:tcPr>
            <w:tcW w:w="1644" w:type="dxa"/>
            <w:tcBorders>
              <w:top w:val="nil"/>
              <w:left w:val="nil"/>
              <w:right w:val="nil"/>
            </w:tcBorders>
          </w:tcPr>
          <w:p w:rsidRPr="00AA559D" w:rsidR="00243594" w:rsidRDefault="00243594" w14:paraId="7319CE74" w14:textId="4E429ED4">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20"/>
                <w:szCs w:val="20"/>
                <w14:numSpacing w14:val="default"/>
              </w:rPr>
            </w:pPr>
            <w:r w:rsidRPr="00AA559D">
              <w:rPr>
                <w:rFonts w:ascii="Times New Roman" w:hAnsi="Times New Roman" w:cs="Times New Roman"/>
                <w:color w:val="000000"/>
                <w:kern w:val="0"/>
                <w:sz w:val="20"/>
                <w:szCs w:val="20"/>
                <w14:numSpacing w14:val="default"/>
              </w:rPr>
              <w:t>69</w:t>
            </w:r>
            <w:r w:rsidR="00F625AA">
              <w:rPr>
                <w:rFonts w:ascii="Times New Roman" w:hAnsi="Times New Roman" w:cs="Times New Roman"/>
                <w:color w:val="000000"/>
                <w:kern w:val="0"/>
                <w:sz w:val="20"/>
                <w:szCs w:val="20"/>
                <w14:numSpacing w14:val="default"/>
              </w:rPr>
              <w:t> </w:t>
            </w:r>
            <w:r w:rsidRPr="00AA559D">
              <w:rPr>
                <w:rFonts w:ascii="Times New Roman" w:hAnsi="Times New Roman" w:cs="Times New Roman"/>
                <w:color w:val="000000"/>
                <w:kern w:val="0"/>
                <w:sz w:val="20"/>
                <w:szCs w:val="20"/>
                <w14:numSpacing w14:val="default"/>
              </w:rPr>
              <w:t>000</w:t>
            </w:r>
          </w:p>
        </w:tc>
      </w:tr>
      <w:tr w:rsidRPr="00AA559D" w:rsidR="00243594" w:rsidTr="002C4FD7" w14:paraId="7319CE78" w14:textId="77777777">
        <w:trPr>
          <w:trHeight w:val="305"/>
        </w:trPr>
        <w:tc>
          <w:tcPr>
            <w:tcW w:w="4253" w:type="dxa"/>
            <w:tcBorders>
              <w:top w:val="nil"/>
              <w:left w:val="nil"/>
              <w:bottom w:val="single" w:color="auto" w:sz="4" w:space="0"/>
              <w:right w:val="nil"/>
            </w:tcBorders>
          </w:tcPr>
          <w:p w:rsidRPr="00AA559D" w:rsidR="00243594" w:rsidRDefault="00243594" w14:paraId="7319CE76" w14:textId="3F155DE1">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cs="Times New Roman"/>
                <w:color w:val="000000"/>
                <w:kern w:val="0"/>
                <w:sz w:val="20"/>
                <w:szCs w:val="20"/>
                <w14:numSpacing w14:val="default"/>
              </w:rPr>
            </w:pPr>
            <w:r w:rsidRPr="00AA559D">
              <w:rPr>
                <w:rFonts w:ascii="Times New Roman" w:hAnsi="Times New Roman" w:cs="Times New Roman"/>
                <w:color w:val="000000"/>
                <w:kern w:val="0"/>
                <w:sz w:val="20"/>
                <w:szCs w:val="20"/>
                <w14:numSpacing w14:val="default"/>
              </w:rPr>
              <w:t>Förskollärare</w:t>
            </w:r>
          </w:p>
        </w:tc>
        <w:tc>
          <w:tcPr>
            <w:tcW w:w="1644" w:type="dxa"/>
            <w:tcBorders>
              <w:top w:val="nil"/>
              <w:left w:val="nil"/>
              <w:bottom w:val="single" w:color="auto" w:sz="4" w:space="0"/>
              <w:right w:val="nil"/>
            </w:tcBorders>
          </w:tcPr>
          <w:p w:rsidRPr="00AA559D" w:rsidR="00243594" w:rsidRDefault="00243594" w14:paraId="7319CE77" w14:textId="1EDBFF70">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20"/>
                <w:szCs w:val="20"/>
                <w14:numSpacing w14:val="default"/>
              </w:rPr>
            </w:pPr>
            <w:r w:rsidRPr="00AA559D">
              <w:rPr>
                <w:rFonts w:ascii="Times New Roman" w:hAnsi="Times New Roman" w:cs="Times New Roman"/>
                <w:color w:val="000000"/>
                <w:kern w:val="0"/>
                <w:sz w:val="20"/>
                <w:szCs w:val="20"/>
                <w14:numSpacing w14:val="default"/>
              </w:rPr>
              <w:t>77</w:t>
            </w:r>
            <w:r w:rsidR="00F625AA">
              <w:rPr>
                <w:rFonts w:ascii="Times New Roman" w:hAnsi="Times New Roman" w:cs="Times New Roman"/>
                <w:color w:val="000000"/>
                <w:kern w:val="0"/>
                <w:sz w:val="20"/>
                <w:szCs w:val="20"/>
                <w14:numSpacing w14:val="default"/>
              </w:rPr>
              <w:t> </w:t>
            </w:r>
            <w:r w:rsidRPr="00AA559D">
              <w:rPr>
                <w:rFonts w:ascii="Times New Roman" w:hAnsi="Times New Roman" w:cs="Times New Roman"/>
                <w:color w:val="000000"/>
                <w:kern w:val="0"/>
                <w:sz w:val="20"/>
                <w:szCs w:val="20"/>
                <w14:numSpacing w14:val="default"/>
              </w:rPr>
              <w:t>000</w:t>
            </w:r>
          </w:p>
        </w:tc>
      </w:tr>
    </w:tbl>
    <w:p w:rsidRPr="00F625AA" w:rsidR="00F625AA" w:rsidP="00F625AA" w:rsidRDefault="00F625AA" w14:paraId="0E7CAE41" w14:textId="669A94BC">
      <w:pPr>
        <w:pStyle w:val="Klla"/>
      </w:pPr>
      <w:r w:rsidRPr="00F625AA">
        <w:t>Källa: SCB.</w:t>
      </w:r>
    </w:p>
    <w:p w:rsidRPr="00914A2E" w:rsidR="00DE1B91" w:rsidP="009E60A9" w:rsidRDefault="00DE1B91" w14:paraId="7319CE7D" w14:textId="51D90AB5">
      <w:pPr>
        <w:pStyle w:val="Rubrik1numrerat"/>
      </w:pPr>
      <w:bookmarkStart w:name="_Toc115877765" w:id="9"/>
      <w:r w:rsidRPr="00914A2E">
        <w:t>Kriminalisera skatteflykt</w:t>
      </w:r>
      <w:bookmarkEnd w:id="9"/>
    </w:p>
    <w:p w:rsidRPr="00914A2E" w:rsidR="000F5FF9" w:rsidP="009E60A9" w:rsidRDefault="00DE1B91" w14:paraId="7319CE7E" w14:textId="6FB61934">
      <w:pPr>
        <w:pStyle w:val="Normalutanindragellerluft"/>
      </w:pPr>
      <w:r w:rsidRPr="00914A2E">
        <w:t>Det finns ingen allmänt vedertagen definition av skatteflykt. En definition att hålla sig till är dock den som nämns i propositionen till den svenska skatteflyktslagen. Där anges att skatteflykt är när skattesubjektet ”</w:t>
      </w:r>
      <w:r w:rsidRPr="00AA559D" w:rsidR="00892A35">
        <w:rPr>
          <w:iCs/>
        </w:rPr>
        <w:t>visserligen på ett formellt fullt giltigt sätt utnyttjar skattereglerna men där skatteförmåner uppkommer som framstår som inte avsedda”.</w:t>
      </w:r>
      <w:r w:rsidRPr="00AA559D" w:rsidR="00892A35">
        <w:rPr>
          <w:rStyle w:val="Fotnotsreferens"/>
          <w:iCs/>
        </w:rPr>
        <w:footnoteReference w:id="9"/>
      </w:r>
      <w:r w:rsidRPr="00914A2E" w:rsidR="000F5FF9">
        <w:t xml:space="preserve"> På detta sätt avgränsas skatteflykt mot skattebrott genom att uppläggen och transaktionerna på ett formellt plan inte är olagliga men ändå strider mot syftet med lagstiftningen.</w:t>
      </w:r>
      <w:r w:rsidRPr="00914A2E" w:rsidR="000F5FF9">
        <w:rPr>
          <w:rStyle w:val="Fotnotsreferens"/>
        </w:rPr>
        <w:footnoteReference w:id="10"/>
      </w:r>
      <w:r w:rsidRPr="00914A2E" w:rsidR="000F5FF9">
        <w:t xml:space="preserve"> </w:t>
      </w:r>
    </w:p>
    <w:p w:rsidRPr="00914A2E" w:rsidR="00DE1B91" w:rsidP="009E60A9" w:rsidRDefault="000F5FF9" w14:paraId="7319CE7F" w14:textId="0E6BC8DE">
      <w:r w:rsidRPr="00914A2E">
        <w:lastRenderedPageBreak/>
        <w:t>Enligt 2</w:t>
      </w:r>
      <w:r w:rsidR="00AA559D">
        <w:t> </w:t>
      </w:r>
      <w:r w:rsidRPr="00914A2E">
        <w:t>§ i skatteflyktslagen ska den tillämpas när nedanstående fyra kriterier alla är uppfyllda</w:t>
      </w:r>
      <w:r w:rsidR="00AA559D">
        <w:t>:</w:t>
      </w:r>
    </w:p>
    <w:p w:rsidRPr="00914A2E" w:rsidR="000F5FF9" w:rsidP="009E60A9" w:rsidRDefault="000F5FF9" w14:paraId="7319CE80" w14:textId="77777777">
      <w:pPr>
        <w:pStyle w:val="ListaPunkt"/>
      </w:pPr>
      <w:r w:rsidRPr="00914A2E">
        <w:t>Rättshandlingen ska ingå i ett förfarande som medför en väsentlig skatteförmån för den skattskyldige.</w:t>
      </w:r>
    </w:p>
    <w:p w:rsidRPr="00914A2E" w:rsidR="000F5FF9" w:rsidP="009E60A9" w:rsidRDefault="000F5FF9" w14:paraId="7319CE81" w14:textId="77777777">
      <w:pPr>
        <w:pStyle w:val="ListaPunkt"/>
      </w:pPr>
      <w:r w:rsidRPr="00914A2E">
        <w:t>Den skattskyldige ska direkt eller indirekt ha medverkat i rättshandlingen eller rättshandlingarna.</w:t>
      </w:r>
    </w:p>
    <w:p w:rsidRPr="00914A2E" w:rsidR="000F5FF9" w:rsidP="009E60A9" w:rsidRDefault="000F5FF9" w14:paraId="7319CE82" w14:textId="77777777">
      <w:pPr>
        <w:pStyle w:val="ListaPunkt"/>
      </w:pPr>
      <w:r w:rsidRPr="00914A2E">
        <w:t>Skatteförmånen ska kunna antas ha utgjort det övervägande skälet för förfarandet.</w:t>
      </w:r>
    </w:p>
    <w:p w:rsidRPr="00914A2E" w:rsidR="000F5FF9" w:rsidP="009E60A9" w:rsidRDefault="000F5FF9" w14:paraId="7319CE83" w14:textId="77777777">
      <w:pPr>
        <w:pStyle w:val="ListaPunkt"/>
      </w:pPr>
      <w:r w:rsidRPr="00914A2E">
        <w:t>Ett fastställande av underlag för beskattning på grundval av förfarandet skulle strida mot lagstiftningens syfte, som det framgår av skattebestämmelsernas allmänna utformning och de bestämmelser som är direkt tillämpliga eller har kringgåtts genom förfarandet.</w:t>
      </w:r>
    </w:p>
    <w:p w:rsidRPr="00914A2E" w:rsidR="001A6CA4" w:rsidP="009E60A9" w:rsidRDefault="000F5FF9" w14:paraId="7319CE84" w14:textId="25D3AFD3">
      <w:pPr>
        <w:pStyle w:val="Normalutanindragellerluft"/>
        <w:spacing w:before="150"/>
      </w:pPr>
      <w:r w:rsidRPr="00914A2E">
        <w:t>Konsekvensen av att lagen tillämpas blir som huvudregel att beskattningsunderlaget ska fastställas som om rättshandlingen aldrig företagits. Meningen är således inte att åstadkomma ett hårdare beskattningsresultat än det som skulle ha följt av ett normalt handlande, varför ett beslut i enlighet med lagen inte kan betecknas som en påföljd i bemärkelsen bestraffning.</w:t>
      </w:r>
      <w:r w:rsidRPr="00914A2E">
        <w:rPr>
          <w:rStyle w:val="Fotnotsreferens"/>
        </w:rPr>
        <w:footnoteReference w:id="11"/>
      </w:r>
      <w:r w:rsidRPr="00914A2E" w:rsidR="002D6973">
        <w:t xml:space="preserve"> Vänsterpartiet anser att detta är orimligt och en viktig förklaring till </w:t>
      </w:r>
      <w:r w:rsidR="00AA559D">
        <w:t>att</w:t>
      </w:r>
      <w:r w:rsidRPr="00914A2E" w:rsidR="002D6973">
        <w:t xml:space="preserve"> det förefaller vara så svårt att komma åt skatteflykt.</w:t>
      </w:r>
    </w:p>
    <w:p w:rsidRPr="00914A2E" w:rsidR="000F5FF9" w:rsidP="001A6CA4" w:rsidRDefault="002D6973" w14:paraId="7319CE85" w14:textId="450CF5D6">
      <w:r w:rsidRPr="00914A2E">
        <w:t xml:space="preserve">Regeringen bör återkomma till riksdagen med förslag </w:t>
      </w:r>
      <w:r w:rsidRPr="00914A2E" w:rsidR="006E28E7">
        <w:t xml:space="preserve">om en kriminalisering av skatteflykt och medhjälp till skatteflykt </w:t>
      </w:r>
      <w:r w:rsidRPr="00914A2E">
        <w:t xml:space="preserve">som innebär </w:t>
      </w:r>
      <w:r w:rsidRPr="00914A2E" w:rsidR="00F55E33">
        <w:t xml:space="preserve">att dessa handlingar får </w:t>
      </w:r>
      <w:r w:rsidRPr="00914A2E" w:rsidR="006E28E7">
        <w:t>kännbara påföljder</w:t>
      </w:r>
      <w:r w:rsidRPr="00914A2E">
        <w:t xml:space="preserve">. </w:t>
      </w:r>
      <w:bookmarkStart w:name="_Hlk30072957" w:id="10"/>
      <w:r w:rsidRPr="00914A2E">
        <w:t>Detta bör riksdagen ställa sig bakom och ge regeringen till känna.</w:t>
      </w:r>
    </w:p>
    <w:p w:rsidRPr="00914A2E" w:rsidR="00EF5139" w:rsidP="009E60A9" w:rsidRDefault="00F2000F" w14:paraId="7319CE86" w14:textId="77777777">
      <w:pPr>
        <w:pStyle w:val="Rubrik1numrerat"/>
      </w:pPr>
      <w:bookmarkStart w:name="_Toc115877766" w:id="11"/>
      <w:r w:rsidRPr="00914A2E">
        <w:t>Offentlig land-för-land</w:t>
      </w:r>
      <w:r w:rsidRPr="00914A2E" w:rsidR="00D174B4">
        <w:t>-</w:t>
      </w:r>
      <w:r w:rsidRPr="00914A2E">
        <w:t>rapportering</w:t>
      </w:r>
      <w:bookmarkEnd w:id="11"/>
    </w:p>
    <w:p w:rsidRPr="00914A2E" w:rsidR="00030869" w:rsidP="009E60A9" w:rsidRDefault="00030869" w14:paraId="7319CE87" w14:textId="77777777">
      <w:pPr>
        <w:pStyle w:val="Normalutanindragellerluft"/>
      </w:pPr>
      <w:r w:rsidRPr="00914A2E">
        <w:t xml:space="preserve">OECD tog 2015 fram en handlingsplan för att bekämpa urholkning av skattebaser och överföring av vinster (BEPS). I detta arbete har en global standard för utbyte av land-för-land-rapporter tagits fram. Konkret innebär detta att land-för-land-rapporter ska kunna utbytas mellan skattemyndigheter i de länder som anslutit sig till samarbetet. </w:t>
      </w:r>
    </w:p>
    <w:p w:rsidRPr="00885723" w:rsidR="00B4790A" w:rsidP="009E60A9" w:rsidRDefault="00030869" w14:paraId="7319CE88" w14:textId="1AD33A77">
      <w:r w:rsidRPr="00885723">
        <w:t xml:space="preserve">I januari 2016 presenterade EU-kommissionen ett åtgärdspaket mot skatteflykt (Anti Tax </w:t>
      </w:r>
      <w:proofErr w:type="spellStart"/>
      <w:r w:rsidRPr="00885723">
        <w:t>Avoidance</w:t>
      </w:r>
      <w:proofErr w:type="spellEnd"/>
      <w:r w:rsidRPr="00885723">
        <w:t xml:space="preserve"> </w:t>
      </w:r>
      <w:proofErr w:type="spellStart"/>
      <w:r w:rsidRPr="00885723">
        <w:t>Package</w:t>
      </w:r>
      <w:proofErr w:type="spellEnd"/>
      <w:r w:rsidRPr="00885723">
        <w:t xml:space="preserve">). Enligt förslaget ska stora multinationella företag lämna land-för-land-rapporter till skattemyndigheterna. I detta förslag finns det inte något krav på att informationen ska offentliggöras. Under våren 2016 presenterade kommissionen ett kompletterande förslag, </w:t>
      </w:r>
      <w:proofErr w:type="gramStart"/>
      <w:r w:rsidRPr="00885723">
        <w:t>KOM(</w:t>
      </w:r>
      <w:proofErr w:type="gramEnd"/>
      <w:r w:rsidRPr="00885723">
        <w:t>2016) 198, om land-för-land-rapportering. Den stora, och positiva</w:t>
      </w:r>
      <w:r w:rsidRPr="00885723" w:rsidR="00AA559D">
        <w:t>,</w:t>
      </w:r>
      <w:r w:rsidRPr="00885723">
        <w:t xml:space="preserve"> förändringen är att direktivet innehåller krav på öppen land-för-land-rapportering. Öppen land-för-land-rapportering är centralt för att öka transparensen och på så sätt bidra till att företagens vinster beskattas där de skapats. Inte minst är öppenhet viktig i utvecklingsländerna, där ökad transparens är viktigt i kampen mot korruption. </w:t>
      </w:r>
    </w:p>
    <w:p w:rsidRPr="00914A2E" w:rsidR="00705794" w:rsidP="009E60A9" w:rsidRDefault="00C42BCA" w14:paraId="7319CE89" w14:textId="128ADE2F">
      <w:r w:rsidRPr="00914A2E">
        <w:t>Efter många turer enades till slut medlemsländerna i juni 2021 om ett förslag om öppen land-för-land-rapportering. Förslaget har dessvärre två stora brister. För det första omfattas endast multinationella företag som har en årlig omsättning som överstiger 750 miljoner euro. Detta innebär att 85</w:t>
      </w:r>
      <w:r w:rsidRPr="00914A2E" w:rsidR="00D174B4">
        <w:t>–</w:t>
      </w:r>
      <w:r w:rsidRPr="00914A2E">
        <w:t>95 procent av de multinationella företagen inte</w:t>
      </w:r>
      <w:r w:rsidRPr="00914A2E" w:rsidR="00654148">
        <w:t xml:space="preserve"> </w:t>
      </w:r>
      <w:r w:rsidRPr="00914A2E">
        <w:t>om</w:t>
      </w:r>
      <w:r w:rsidR="00885723">
        <w:softHyphen/>
      </w:r>
      <w:r w:rsidRPr="00914A2E">
        <w:t>fattas av regelverket</w:t>
      </w:r>
      <w:r w:rsidRPr="00914A2E" w:rsidR="00654148">
        <w:t>.</w:t>
      </w:r>
      <w:r w:rsidRPr="00914A2E" w:rsidR="00654148">
        <w:rPr>
          <w:vertAlign w:val="superscript"/>
        </w:rPr>
        <w:footnoteReference w:id="12"/>
      </w:r>
      <w:r w:rsidRPr="00914A2E" w:rsidR="00654148">
        <w:rPr>
          <w:vertAlign w:val="superscript"/>
        </w:rPr>
        <w:t xml:space="preserve"> </w:t>
      </w:r>
      <w:r w:rsidRPr="00914A2E" w:rsidR="00654148">
        <w:t xml:space="preserve">För det andra ska företagen endast offentliggöra sin verksamhet i EU-länderna samt om de har någon verksamhet i länder som är upptagna på EU:s svarta </w:t>
      </w:r>
      <w:r w:rsidRPr="00914A2E" w:rsidR="00654148">
        <w:lastRenderedPageBreak/>
        <w:t>eller gråa lista.</w:t>
      </w:r>
      <w:r w:rsidRPr="00914A2E" w:rsidR="00C56AD4">
        <w:t xml:space="preserve"> Detta innebär att verksamheter i många av de länder som mest utnyttjas för skatteflykt inte behöver offentliggöras – jmf nedan avsnitt om EU:s svarta lista.</w:t>
      </w:r>
      <w:r w:rsidRPr="00914A2E" w:rsidR="00705794">
        <w:t xml:space="preserve"> </w:t>
      </w:r>
    </w:p>
    <w:p w:rsidRPr="00914A2E" w:rsidR="00215304" w:rsidP="009E60A9" w:rsidRDefault="00705794" w14:paraId="7319CE8A" w14:textId="77777777">
      <w:r w:rsidRPr="00914A2E">
        <w:t>Regeringen bör inom EU driva på för att den offentliga</w:t>
      </w:r>
      <w:r w:rsidRPr="00914A2E" w:rsidR="00C1669B">
        <w:t xml:space="preserve"> </w:t>
      </w:r>
      <w:r w:rsidRPr="00914A2E">
        <w:t>land-för-land</w:t>
      </w:r>
      <w:r w:rsidRPr="00914A2E" w:rsidR="00C1669B">
        <w:t>-</w:t>
      </w:r>
      <w:r w:rsidRPr="00914A2E">
        <w:t>rapporteringen ska gälla i samtliga länder där företagen har verksamhet. Detta bör riksdagen ställa sig bakom och ge regeringen till känna.</w:t>
      </w:r>
    </w:p>
    <w:p w:rsidRPr="00914A2E" w:rsidR="00705794" w:rsidP="00E3716A" w:rsidRDefault="00705794" w14:paraId="7319CE8B" w14:textId="77777777">
      <w:r w:rsidRPr="00914A2E">
        <w:t>Regeringen bör också inom EU driva på för att</w:t>
      </w:r>
      <w:r w:rsidRPr="00914A2E" w:rsidR="00215304">
        <w:t xml:space="preserve"> </w:t>
      </w:r>
      <w:r w:rsidRPr="00914A2E">
        <w:t xml:space="preserve">alla multinationella företag vars omsättning överstiger 40 miljoner euro ska omfattas </w:t>
      </w:r>
      <w:r w:rsidRPr="00914A2E" w:rsidR="00215304">
        <w:t xml:space="preserve">av </w:t>
      </w:r>
      <w:r w:rsidRPr="00914A2E">
        <w:t>den offentliga</w:t>
      </w:r>
      <w:r w:rsidRPr="00914A2E" w:rsidR="00E3716A">
        <w:t xml:space="preserve"> </w:t>
      </w:r>
      <w:r w:rsidRPr="00914A2E">
        <w:t>land-för-land</w:t>
      </w:r>
      <w:r w:rsidRPr="00914A2E" w:rsidR="00A56A44">
        <w:t>-</w:t>
      </w:r>
      <w:r w:rsidRPr="00914A2E">
        <w:t>rapporteringen. Detta bör riksdagen ställa sig bakom och ge regeringen till känna.</w:t>
      </w:r>
    </w:p>
    <w:p w:rsidRPr="00914A2E" w:rsidR="00476663" w:rsidP="005B7AF0" w:rsidRDefault="00476663" w14:paraId="7319CE8C" w14:textId="77777777">
      <w:pPr>
        <w:pStyle w:val="Rubrik1numrerat"/>
        <w:spacing w:before="760"/>
      </w:pPr>
      <w:bookmarkStart w:name="_Toc115877767" w:id="12"/>
      <w:r w:rsidRPr="00914A2E">
        <w:t>EU:s svarta lista</w:t>
      </w:r>
      <w:bookmarkEnd w:id="12"/>
    </w:p>
    <w:p w:rsidRPr="00914A2E" w:rsidR="00D9067A" w:rsidP="009E60A9" w:rsidRDefault="00DE0C77" w14:paraId="7319CE8D" w14:textId="747A5DA8">
      <w:pPr>
        <w:pStyle w:val="Normalutanindragellerluft"/>
      </w:pPr>
      <w:r w:rsidRPr="00914A2E">
        <w:t xml:space="preserve">EU:s förteckning över icke samarbetsvilliga skattejurisdiktioner, EU:s </w:t>
      </w:r>
      <w:r w:rsidR="00AA559D">
        <w:t>”</w:t>
      </w:r>
      <w:r w:rsidRPr="00914A2E">
        <w:t>svarta lista</w:t>
      </w:r>
      <w:r w:rsidR="00AA559D">
        <w:t>”</w:t>
      </w:r>
      <w:r w:rsidRPr="00914A2E">
        <w:t xml:space="preserve">, redovisades första gången den 5 december år 2017. </w:t>
      </w:r>
      <w:r w:rsidRPr="00914A2E" w:rsidR="00BD0A61">
        <w:t>Förteckningen listar länder utanför EU som uppmuntrar otillbörliga skattemetoder som urholkar medlemsländernas bolags</w:t>
      </w:r>
      <w:r w:rsidR="00885723">
        <w:softHyphen/>
      </w:r>
      <w:r w:rsidRPr="00914A2E" w:rsidR="00BD0A61">
        <w:t xml:space="preserve">skatteintäkter. </w:t>
      </w:r>
      <w:r w:rsidRPr="00914A2E">
        <w:t xml:space="preserve">Europeiska kommissionen </w:t>
      </w:r>
      <w:r w:rsidRPr="00914A2E" w:rsidR="00BD0A61">
        <w:t>anger</w:t>
      </w:r>
      <w:r w:rsidRPr="00914A2E">
        <w:t xml:space="preserve"> att förteckningen är ett gemensamt verktyg för medlemsstaterna när det gäller att hantera externa risker för skattemissbruk och illojal skattekonkurrens.</w:t>
      </w:r>
      <w:r w:rsidRPr="00914A2E" w:rsidR="00614F93">
        <w:t xml:space="preserve"> Därtill har EU också en ”grå lista”</w:t>
      </w:r>
      <w:r w:rsidRPr="00914A2E" w:rsidR="00B37FD4">
        <w:t xml:space="preserve"> med länder som anses ha tagit på sig att uppfylla kriterierna inom en fastställd tidsfrist. </w:t>
      </w:r>
    </w:p>
    <w:p w:rsidRPr="00914A2E" w:rsidR="00E76AC9" w:rsidP="005B7AF0" w:rsidRDefault="00B37FD4" w14:paraId="7319CE8E" w14:textId="5C4C550F">
      <w:pPr>
        <w:spacing w:after="150"/>
      </w:pPr>
      <w:r w:rsidRPr="00914A2E">
        <w:t xml:space="preserve">Vid den senaste redovisningen i </w:t>
      </w:r>
      <w:r w:rsidRPr="00914A2E" w:rsidR="00E76AC9">
        <w:t>februari 202</w:t>
      </w:r>
      <w:r w:rsidRPr="00914A2E" w:rsidR="009E24D6">
        <w:t>1</w:t>
      </w:r>
      <w:r w:rsidRPr="00914A2E" w:rsidR="007E70CB">
        <w:t xml:space="preserve"> </w:t>
      </w:r>
      <w:r w:rsidRPr="00914A2E">
        <w:t xml:space="preserve">fanns följande </w:t>
      </w:r>
      <w:r w:rsidRPr="00914A2E" w:rsidR="00E76AC9">
        <w:t>12</w:t>
      </w:r>
      <w:r w:rsidRPr="00914A2E">
        <w:t xml:space="preserve"> länder/områden på den ”svarta listan”:</w:t>
      </w:r>
      <w:r w:rsidRPr="00914A2E" w:rsidR="00A05D74">
        <w:t xml:space="preserve"> </w:t>
      </w:r>
      <w:r w:rsidRPr="00914A2E">
        <w:t xml:space="preserve">Amerikanska Samoa, </w:t>
      </w:r>
      <w:r w:rsidRPr="00914A2E" w:rsidR="00750E38">
        <w:t>Anguil</w:t>
      </w:r>
      <w:r w:rsidR="00D1007F">
        <w:t>l</w:t>
      </w:r>
      <w:r w:rsidRPr="00914A2E" w:rsidR="00750E38">
        <w:t>a, Dominica</w:t>
      </w:r>
      <w:r w:rsidRPr="00914A2E" w:rsidR="00E76AC9">
        <w:t xml:space="preserve">, </w:t>
      </w:r>
      <w:r w:rsidRPr="00914A2E">
        <w:t>Fiji, Guam,</w:t>
      </w:r>
      <w:r w:rsidRPr="00914A2E" w:rsidR="00750E38">
        <w:t xml:space="preserve"> </w:t>
      </w:r>
      <w:r w:rsidRPr="00914A2E" w:rsidR="00E76AC9">
        <w:t xml:space="preserve">Palau, Panama, </w:t>
      </w:r>
      <w:r w:rsidRPr="00914A2E">
        <w:t>Samoa, Trinidad och Tobago, Vanuatu</w:t>
      </w:r>
      <w:r w:rsidRPr="00914A2E" w:rsidR="00750E38">
        <w:t xml:space="preserve">, Seychellerna </w:t>
      </w:r>
      <w:r w:rsidRPr="00914A2E">
        <w:t xml:space="preserve">och </w:t>
      </w:r>
      <w:proofErr w:type="gramStart"/>
      <w:r w:rsidRPr="00914A2E">
        <w:t>Amerikanska</w:t>
      </w:r>
      <w:proofErr w:type="gramEnd"/>
      <w:r w:rsidRPr="00914A2E">
        <w:t xml:space="preserve"> </w:t>
      </w:r>
      <w:r w:rsidRPr="00885723">
        <w:rPr>
          <w:spacing w:val="-2"/>
        </w:rPr>
        <w:t>Jungfruöarna.</w:t>
      </w:r>
      <w:r w:rsidRPr="00885723" w:rsidR="00E76AC9">
        <w:rPr>
          <w:rStyle w:val="Fotnotsreferens"/>
          <w:spacing w:val="-2"/>
        </w:rPr>
        <w:footnoteReference w:id="13"/>
      </w:r>
      <w:r w:rsidRPr="00885723">
        <w:rPr>
          <w:spacing w:val="-2"/>
        </w:rPr>
        <w:t xml:space="preserve"> </w:t>
      </w:r>
      <w:r w:rsidRPr="00885723" w:rsidR="00DA033B">
        <w:rPr>
          <w:spacing w:val="-2"/>
        </w:rPr>
        <w:t>EU:s svarta lista har fått stark kritik från grupper som arbetar mot interna</w:t>
      </w:r>
      <w:r w:rsidR="00885723">
        <w:rPr>
          <w:spacing w:val="-2"/>
        </w:rPr>
        <w:softHyphen/>
      </w:r>
      <w:r w:rsidRPr="00885723" w:rsidR="00DA033B">
        <w:rPr>
          <w:spacing w:val="-2"/>
        </w:rPr>
        <w:t>tionell skatteflykt. Kritiken handlar om att den missar många av de största länderna som bidrar mest till den internationella skatteflykten.</w:t>
      </w:r>
      <w:r w:rsidRPr="00914A2E" w:rsidR="00DA033B">
        <w:t xml:space="preserve"> I tabellen nedan listas de 15 länder som orsakar mest ”Corporate Tax Abuse”, dvs. skattebortfall </w:t>
      </w:r>
      <w:r w:rsidRPr="00914A2E" w:rsidR="004414ED">
        <w:t>via bolagsskatterna. Noterbart är att inget av topp</w:t>
      </w:r>
      <w:r w:rsidR="00AA559D">
        <w:t> </w:t>
      </w:r>
      <w:r w:rsidRPr="00914A2E" w:rsidR="004414ED">
        <w:t>15</w:t>
      </w:r>
      <w:r w:rsidRPr="00914A2E" w:rsidR="00F1210C">
        <w:t>-</w:t>
      </w:r>
      <w:r w:rsidRPr="00914A2E" w:rsidR="004414ED">
        <w:t>länderna återfinns på EU:s svarta lista.</w:t>
      </w:r>
    </w:p>
    <w:tbl>
      <w:tblPr>
        <w:tblW w:w="5897" w:type="dxa"/>
        <w:tblLayout w:type="fixed"/>
        <w:tblCellMar>
          <w:left w:w="70" w:type="dxa"/>
          <w:right w:w="70" w:type="dxa"/>
        </w:tblCellMar>
        <w:tblLook w:val="0000" w:firstRow="0" w:lastRow="0" w:firstColumn="0" w:lastColumn="0" w:noHBand="0" w:noVBand="0"/>
      </w:tblPr>
      <w:tblGrid>
        <w:gridCol w:w="2817"/>
        <w:gridCol w:w="3080"/>
      </w:tblGrid>
      <w:tr w:rsidRPr="00AA559D" w:rsidR="00F102EB" w:rsidTr="002C4FD7" w14:paraId="7319CE91" w14:textId="77777777">
        <w:trPr>
          <w:trHeight w:val="305"/>
        </w:trPr>
        <w:tc>
          <w:tcPr>
            <w:tcW w:w="7495" w:type="dxa"/>
            <w:gridSpan w:val="2"/>
            <w:tcBorders>
              <w:left w:val="nil"/>
              <w:right w:val="nil"/>
            </w:tcBorders>
            <w:vAlign w:val="bottom"/>
          </w:tcPr>
          <w:p w:rsidRPr="00AA559D" w:rsidR="00F102EB" w:rsidP="002C4FD7" w:rsidRDefault="00F102EB" w14:paraId="7319CE90" w14:textId="08912AF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rPr>
                <w:rFonts w:ascii="Times New Roman" w:hAnsi="Times New Roman" w:cs="Times New Roman"/>
                <w:b/>
                <w:bCs/>
                <w:color w:val="000000"/>
                <w:kern w:val="0"/>
                <w:sz w:val="20"/>
                <w:szCs w:val="20"/>
                <w14:numSpacing w14:val="default"/>
              </w:rPr>
            </w:pPr>
            <w:r w:rsidRPr="00AA559D">
              <w:rPr>
                <w:rFonts w:ascii="Times New Roman" w:hAnsi="Times New Roman" w:cs="Times New Roman"/>
                <w:b/>
                <w:bCs/>
                <w:color w:val="000000"/>
                <w:kern w:val="0"/>
                <w:sz w:val="20"/>
                <w:szCs w:val="20"/>
                <w14:numSpacing w14:val="default"/>
              </w:rPr>
              <w:t>Tabell 5 Topp 15</w:t>
            </w:r>
            <w:r w:rsidRPr="00AA559D" w:rsidR="00AA559D">
              <w:rPr>
                <w:rFonts w:ascii="Times New Roman" w:hAnsi="Times New Roman" w:cs="Times New Roman"/>
                <w:b/>
                <w:bCs/>
                <w:color w:val="000000"/>
                <w:kern w:val="0"/>
                <w:sz w:val="20"/>
                <w:szCs w:val="20"/>
                <w14:numSpacing w14:val="default"/>
              </w:rPr>
              <w:t>-</w:t>
            </w:r>
            <w:r w:rsidRPr="00AA559D">
              <w:rPr>
                <w:rFonts w:ascii="Times New Roman" w:hAnsi="Times New Roman" w:cs="Times New Roman"/>
                <w:b/>
                <w:bCs/>
                <w:color w:val="000000"/>
                <w:kern w:val="0"/>
                <w:sz w:val="20"/>
                <w:szCs w:val="20"/>
                <w14:numSpacing w14:val="default"/>
              </w:rPr>
              <w:t>länder som möjliggör Corporate Tax Abuse</w:t>
            </w:r>
          </w:p>
        </w:tc>
      </w:tr>
      <w:tr w:rsidRPr="00AA559D" w:rsidR="00F102EB" w:rsidTr="002C4FD7" w14:paraId="7319CE94" w14:textId="77777777">
        <w:trPr>
          <w:trHeight w:val="290"/>
        </w:trPr>
        <w:tc>
          <w:tcPr>
            <w:tcW w:w="3578" w:type="dxa"/>
            <w:tcBorders>
              <w:left w:val="nil"/>
              <w:bottom w:val="single" w:color="auto" w:sz="4" w:space="0"/>
              <w:right w:val="nil"/>
            </w:tcBorders>
          </w:tcPr>
          <w:p w:rsidRPr="00AA559D" w:rsidR="00F102EB" w:rsidP="00D60CF0" w:rsidRDefault="00F102EB" w14:paraId="7319CE9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i/>
                <w:iCs/>
                <w:color w:val="000000"/>
                <w:kern w:val="0"/>
                <w:sz w:val="20"/>
                <w:szCs w:val="20"/>
                <w14:numSpacing w14:val="default"/>
              </w:rPr>
            </w:pPr>
            <w:r w:rsidRPr="00AA559D">
              <w:rPr>
                <w:rFonts w:ascii="Times New Roman" w:hAnsi="Times New Roman" w:cs="Times New Roman"/>
                <w:i/>
                <w:iCs/>
                <w:color w:val="000000"/>
                <w:kern w:val="0"/>
                <w:sz w:val="20"/>
                <w:szCs w:val="20"/>
                <w14:numSpacing w14:val="default"/>
              </w:rPr>
              <w:t>Land/jurisdiktion</w:t>
            </w:r>
          </w:p>
        </w:tc>
        <w:tc>
          <w:tcPr>
            <w:tcW w:w="3917" w:type="dxa"/>
            <w:tcBorders>
              <w:left w:val="nil"/>
              <w:bottom w:val="single" w:color="auto" w:sz="4" w:space="0"/>
              <w:right w:val="nil"/>
            </w:tcBorders>
          </w:tcPr>
          <w:p w:rsidRPr="00AA559D" w:rsidR="00F102EB" w:rsidP="00D60CF0" w:rsidRDefault="00F102EB" w14:paraId="7319CE93" w14:textId="1A108F01">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i/>
                <w:iCs/>
                <w:color w:val="000000"/>
                <w:kern w:val="0"/>
                <w:sz w:val="20"/>
                <w:szCs w:val="20"/>
                <w14:numSpacing w14:val="default"/>
              </w:rPr>
            </w:pPr>
            <w:r w:rsidRPr="00AA559D">
              <w:rPr>
                <w:rFonts w:ascii="Times New Roman" w:hAnsi="Times New Roman" w:cs="Times New Roman"/>
                <w:i/>
                <w:iCs/>
                <w:color w:val="000000"/>
                <w:kern w:val="0"/>
                <w:sz w:val="20"/>
                <w:szCs w:val="20"/>
                <w14:numSpacing w14:val="default"/>
              </w:rPr>
              <w:t xml:space="preserve">Orsakat skattebortfall $ </w:t>
            </w:r>
            <w:r w:rsidRPr="00AA559D" w:rsidR="00AA559D">
              <w:rPr>
                <w:rFonts w:ascii="Times New Roman" w:hAnsi="Times New Roman" w:cs="Times New Roman"/>
                <w:i/>
                <w:iCs/>
                <w:color w:val="000000"/>
                <w:kern w:val="0"/>
                <w:sz w:val="20"/>
                <w:szCs w:val="20"/>
                <w14:numSpacing w14:val="default"/>
              </w:rPr>
              <w:t>m</w:t>
            </w:r>
            <w:r w:rsidRPr="00AA559D">
              <w:rPr>
                <w:rFonts w:ascii="Times New Roman" w:hAnsi="Times New Roman" w:cs="Times New Roman"/>
                <w:i/>
                <w:iCs/>
                <w:color w:val="000000"/>
                <w:kern w:val="0"/>
                <w:sz w:val="20"/>
                <w:szCs w:val="20"/>
                <w14:numSpacing w14:val="default"/>
              </w:rPr>
              <w:t>iljarder</w:t>
            </w:r>
          </w:p>
        </w:tc>
      </w:tr>
      <w:tr w:rsidRPr="00AA559D" w:rsidR="00F102EB" w:rsidTr="002C4FD7" w14:paraId="7319CE97" w14:textId="77777777">
        <w:trPr>
          <w:trHeight w:val="290"/>
        </w:trPr>
        <w:tc>
          <w:tcPr>
            <w:tcW w:w="3578" w:type="dxa"/>
            <w:tcBorders>
              <w:top w:val="single" w:color="auto" w:sz="4" w:space="0"/>
              <w:left w:val="nil"/>
              <w:bottom w:val="nil"/>
              <w:right w:val="nil"/>
            </w:tcBorders>
          </w:tcPr>
          <w:p w:rsidRPr="00AA559D" w:rsidR="00F102EB" w:rsidP="00D60CF0" w:rsidRDefault="00F102EB" w14:paraId="7319CE9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AA559D">
              <w:rPr>
                <w:rFonts w:ascii="Times New Roman" w:hAnsi="Times New Roman" w:cs="Times New Roman"/>
                <w:color w:val="000000"/>
                <w:kern w:val="0"/>
                <w:sz w:val="20"/>
                <w:szCs w:val="20"/>
                <w14:numSpacing w14:val="default"/>
              </w:rPr>
              <w:t>1. Nederländerna</w:t>
            </w:r>
          </w:p>
        </w:tc>
        <w:tc>
          <w:tcPr>
            <w:tcW w:w="3917" w:type="dxa"/>
            <w:tcBorders>
              <w:top w:val="single" w:color="auto" w:sz="4" w:space="0"/>
              <w:left w:val="nil"/>
              <w:bottom w:val="nil"/>
              <w:right w:val="nil"/>
            </w:tcBorders>
          </w:tcPr>
          <w:p w:rsidRPr="00AA559D" w:rsidR="00F102EB" w:rsidP="00D60CF0" w:rsidRDefault="00F102EB" w14:paraId="7319CE9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AA559D">
              <w:rPr>
                <w:rFonts w:ascii="Times New Roman" w:hAnsi="Times New Roman" w:cs="Times New Roman"/>
                <w:color w:val="000000"/>
                <w:kern w:val="0"/>
                <w:sz w:val="20"/>
                <w:szCs w:val="20"/>
                <w14:numSpacing w14:val="default"/>
              </w:rPr>
              <w:t>26,6</w:t>
            </w:r>
          </w:p>
        </w:tc>
      </w:tr>
      <w:tr w:rsidRPr="00AA559D" w:rsidR="00F102EB" w:rsidTr="002C4FD7" w14:paraId="7319CE9A" w14:textId="77777777">
        <w:trPr>
          <w:trHeight w:val="290"/>
        </w:trPr>
        <w:tc>
          <w:tcPr>
            <w:tcW w:w="3578" w:type="dxa"/>
            <w:tcBorders>
              <w:top w:val="nil"/>
              <w:left w:val="nil"/>
              <w:bottom w:val="nil"/>
              <w:right w:val="nil"/>
            </w:tcBorders>
          </w:tcPr>
          <w:p w:rsidRPr="00AA559D" w:rsidR="00F102EB" w:rsidP="00D60CF0" w:rsidRDefault="00F102EB" w14:paraId="7319CE9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AA559D">
              <w:rPr>
                <w:rFonts w:ascii="Times New Roman" w:hAnsi="Times New Roman" w:cs="Times New Roman"/>
                <w:color w:val="000000"/>
                <w:kern w:val="0"/>
                <w:sz w:val="20"/>
                <w:szCs w:val="20"/>
                <w14:numSpacing w14:val="default"/>
              </w:rPr>
              <w:t>2. Caymanöarna</w:t>
            </w:r>
          </w:p>
        </w:tc>
        <w:tc>
          <w:tcPr>
            <w:tcW w:w="3917" w:type="dxa"/>
            <w:tcBorders>
              <w:top w:val="nil"/>
              <w:left w:val="nil"/>
              <w:bottom w:val="nil"/>
              <w:right w:val="nil"/>
            </w:tcBorders>
          </w:tcPr>
          <w:p w:rsidRPr="00AA559D" w:rsidR="00F102EB" w:rsidP="00D60CF0" w:rsidRDefault="00F102EB" w14:paraId="7319CE9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AA559D">
              <w:rPr>
                <w:rFonts w:ascii="Times New Roman" w:hAnsi="Times New Roman" w:cs="Times New Roman"/>
                <w:color w:val="000000"/>
                <w:kern w:val="0"/>
                <w:sz w:val="20"/>
                <w:szCs w:val="20"/>
                <w14:numSpacing w14:val="default"/>
              </w:rPr>
              <w:t>22,8</w:t>
            </w:r>
          </w:p>
        </w:tc>
      </w:tr>
      <w:tr w:rsidRPr="00AA559D" w:rsidR="00F102EB" w:rsidTr="002C4FD7" w14:paraId="7319CE9D" w14:textId="77777777">
        <w:trPr>
          <w:trHeight w:val="290"/>
        </w:trPr>
        <w:tc>
          <w:tcPr>
            <w:tcW w:w="3578" w:type="dxa"/>
            <w:tcBorders>
              <w:top w:val="nil"/>
              <w:left w:val="nil"/>
              <w:bottom w:val="nil"/>
              <w:right w:val="nil"/>
            </w:tcBorders>
          </w:tcPr>
          <w:p w:rsidRPr="00AA559D" w:rsidR="00F102EB" w:rsidP="00D60CF0" w:rsidRDefault="00F102EB" w14:paraId="7319CE9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AA559D">
              <w:rPr>
                <w:rFonts w:ascii="Times New Roman" w:hAnsi="Times New Roman" w:cs="Times New Roman"/>
                <w:color w:val="000000"/>
                <w:kern w:val="0"/>
                <w:sz w:val="20"/>
                <w:szCs w:val="20"/>
                <w14:numSpacing w14:val="default"/>
              </w:rPr>
              <w:t>3. Kina</w:t>
            </w:r>
          </w:p>
        </w:tc>
        <w:tc>
          <w:tcPr>
            <w:tcW w:w="3917" w:type="dxa"/>
            <w:tcBorders>
              <w:top w:val="nil"/>
              <w:left w:val="nil"/>
              <w:bottom w:val="nil"/>
              <w:right w:val="nil"/>
            </w:tcBorders>
          </w:tcPr>
          <w:p w:rsidRPr="00AA559D" w:rsidR="00F102EB" w:rsidP="00D60CF0" w:rsidRDefault="00F102EB" w14:paraId="7319CE9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AA559D">
              <w:rPr>
                <w:rFonts w:ascii="Times New Roman" w:hAnsi="Times New Roman" w:cs="Times New Roman"/>
                <w:color w:val="000000"/>
                <w:kern w:val="0"/>
                <w:sz w:val="20"/>
                <w:szCs w:val="20"/>
                <w14:numSpacing w14:val="default"/>
              </w:rPr>
              <w:t>20</w:t>
            </w:r>
          </w:p>
        </w:tc>
      </w:tr>
      <w:tr w:rsidRPr="00AA559D" w:rsidR="00F102EB" w:rsidTr="002C4FD7" w14:paraId="7319CEA0" w14:textId="77777777">
        <w:trPr>
          <w:trHeight w:val="290"/>
        </w:trPr>
        <w:tc>
          <w:tcPr>
            <w:tcW w:w="3578" w:type="dxa"/>
            <w:tcBorders>
              <w:top w:val="nil"/>
              <w:left w:val="nil"/>
              <w:bottom w:val="nil"/>
              <w:right w:val="nil"/>
            </w:tcBorders>
          </w:tcPr>
          <w:p w:rsidRPr="00AA559D" w:rsidR="00F102EB" w:rsidP="00D60CF0" w:rsidRDefault="00F102EB" w14:paraId="7319CE9E" w14:textId="25D09F9E">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AA559D">
              <w:rPr>
                <w:rFonts w:ascii="Times New Roman" w:hAnsi="Times New Roman" w:cs="Times New Roman"/>
                <w:color w:val="000000"/>
                <w:kern w:val="0"/>
                <w:sz w:val="20"/>
                <w:szCs w:val="20"/>
                <w14:numSpacing w14:val="default"/>
              </w:rPr>
              <w:t>4. Hong</w:t>
            </w:r>
            <w:r w:rsidRPr="00AA559D" w:rsidR="00AA559D">
              <w:rPr>
                <w:rFonts w:ascii="Times New Roman" w:hAnsi="Times New Roman" w:cs="Times New Roman"/>
                <w:color w:val="000000"/>
                <w:kern w:val="0"/>
                <w:sz w:val="20"/>
                <w:szCs w:val="20"/>
                <w14:numSpacing w14:val="default"/>
              </w:rPr>
              <w:t>k</w:t>
            </w:r>
            <w:r w:rsidRPr="00AA559D">
              <w:rPr>
                <w:rFonts w:ascii="Times New Roman" w:hAnsi="Times New Roman" w:cs="Times New Roman"/>
                <w:color w:val="000000"/>
                <w:kern w:val="0"/>
                <w:sz w:val="20"/>
                <w:szCs w:val="20"/>
                <w14:numSpacing w14:val="default"/>
              </w:rPr>
              <w:t>ong</w:t>
            </w:r>
          </w:p>
        </w:tc>
        <w:tc>
          <w:tcPr>
            <w:tcW w:w="3917" w:type="dxa"/>
            <w:tcBorders>
              <w:top w:val="nil"/>
              <w:left w:val="nil"/>
              <w:bottom w:val="nil"/>
              <w:right w:val="nil"/>
            </w:tcBorders>
          </w:tcPr>
          <w:p w:rsidRPr="00AA559D" w:rsidR="00F102EB" w:rsidP="00D60CF0" w:rsidRDefault="00F102EB" w14:paraId="7319CE9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AA559D">
              <w:rPr>
                <w:rFonts w:ascii="Times New Roman" w:hAnsi="Times New Roman" w:cs="Times New Roman"/>
                <w:color w:val="000000"/>
                <w:kern w:val="0"/>
                <w:sz w:val="20"/>
                <w:szCs w:val="20"/>
                <w14:numSpacing w14:val="default"/>
              </w:rPr>
              <w:t>16,3</w:t>
            </w:r>
          </w:p>
        </w:tc>
      </w:tr>
      <w:tr w:rsidRPr="00AA559D" w:rsidR="00F102EB" w:rsidTr="002C4FD7" w14:paraId="7319CEA3" w14:textId="77777777">
        <w:trPr>
          <w:trHeight w:val="290"/>
        </w:trPr>
        <w:tc>
          <w:tcPr>
            <w:tcW w:w="3578" w:type="dxa"/>
            <w:tcBorders>
              <w:top w:val="nil"/>
              <w:left w:val="nil"/>
              <w:bottom w:val="nil"/>
              <w:right w:val="nil"/>
            </w:tcBorders>
          </w:tcPr>
          <w:p w:rsidRPr="00AA559D" w:rsidR="00F102EB" w:rsidP="00D60CF0" w:rsidRDefault="00F102EB" w14:paraId="7319CEA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AA559D">
              <w:rPr>
                <w:rFonts w:ascii="Times New Roman" w:hAnsi="Times New Roman" w:cs="Times New Roman"/>
                <w:color w:val="000000"/>
                <w:kern w:val="0"/>
                <w:sz w:val="20"/>
                <w:szCs w:val="20"/>
                <w14:numSpacing w14:val="default"/>
              </w:rPr>
              <w:t>5. Storbritannien</w:t>
            </w:r>
          </w:p>
        </w:tc>
        <w:tc>
          <w:tcPr>
            <w:tcW w:w="3917" w:type="dxa"/>
            <w:tcBorders>
              <w:top w:val="nil"/>
              <w:left w:val="nil"/>
              <w:bottom w:val="nil"/>
              <w:right w:val="nil"/>
            </w:tcBorders>
          </w:tcPr>
          <w:p w:rsidRPr="00AA559D" w:rsidR="00F102EB" w:rsidP="00D60CF0" w:rsidRDefault="00F102EB" w14:paraId="7319CEA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AA559D">
              <w:rPr>
                <w:rFonts w:ascii="Times New Roman" w:hAnsi="Times New Roman" w:cs="Times New Roman"/>
                <w:color w:val="000000"/>
                <w:kern w:val="0"/>
                <w:sz w:val="20"/>
                <w:szCs w:val="20"/>
                <w14:numSpacing w14:val="default"/>
              </w:rPr>
              <w:t>13,7</w:t>
            </w:r>
          </w:p>
        </w:tc>
      </w:tr>
      <w:tr w:rsidRPr="00AA559D" w:rsidR="00F102EB" w:rsidTr="002C4FD7" w14:paraId="7319CEA6" w14:textId="77777777">
        <w:trPr>
          <w:trHeight w:val="290"/>
        </w:trPr>
        <w:tc>
          <w:tcPr>
            <w:tcW w:w="3578" w:type="dxa"/>
            <w:tcBorders>
              <w:top w:val="nil"/>
              <w:left w:val="nil"/>
              <w:bottom w:val="nil"/>
              <w:right w:val="nil"/>
            </w:tcBorders>
          </w:tcPr>
          <w:p w:rsidRPr="00AA559D" w:rsidR="00F102EB" w:rsidP="00D60CF0" w:rsidRDefault="00F102EB" w14:paraId="7319CEA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AA559D">
              <w:rPr>
                <w:rFonts w:ascii="Times New Roman" w:hAnsi="Times New Roman" w:cs="Times New Roman"/>
                <w:color w:val="000000"/>
                <w:kern w:val="0"/>
                <w:sz w:val="20"/>
                <w:szCs w:val="20"/>
                <w14:numSpacing w14:val="default"/>
              </w:rPr>
              <w:t>6. Singapore</w:t>
            </w:r>
          </w:p>
        </w:tc>
        <w:tc>
          <w:tcPr>
            <w:tcW w:w="3917" w:type="dxa"/>
            <w:tcBorders>
              <w:top w:val="nil"/>
              <w:left w:val="nil"/>
              <w:bottom w:val="nil"/>
              <w:right w:val="nil"/>
            </w:tcBorders>
          </w:tcPr>
          <w:p w:rsidRPr="00AA559D" w:rsidR="00F102EB" w:rsidP="00D60CF0" w:rsidRDefault="00F102EB" w14:paraId="7319CEA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AA559D">
              <w:rPr>
                <w:rFonts w:ascii="Times New Roman" w:hAnsi="Times New Roman" w:cs="Times New Roman"/>
                <w:color w:val="000000"/>
                <w:kern w:val="0"/>
                <w:sz w:val="20"/>
                <w:szCs w:val="20"/>
                <w14:numSpacing w14:val="default"/>
              </w:rPr>
              <w:t>12,2</w:t>
            </w:r>
          </w:p>
        </w:tc>
      </w:tr>
      <w:tr w:rsidRPr="00D1007F" w:rsidR="00F102EB" w:rsidTr="002C4FD7" w14:paraId="7319CEA9" w14:textId="77777777">
        <w:trPr>
          <w:trHeight w:val="290"/>
        </w:trPr>
        <w:tc>
          <w:tcPr>
            <w:tcW w:w="3578" w:type="dxa"/>
            <w:tcBorders>
              <w:top w:val="nil"/>
              <w:left w:val="nil"/>
              <w:bottom w:val="nil"/>
              <w:right w:val="nil"/>
            </w:tcBorders>
          </w:tcPr>
          <w:p w:rsidRPr="00D1007F" w:rsidR="00F102EB" w:rsidP="00D60CF0" w:rsidRDefault="00F102EB" w14:paraId="7319CEA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D1007F">
              <w:rPr>
                <w:rFonts w:ascii="Times New Roman" w:hAnsi="Times New Roman" w:cs="Times New Roman"/>
                <w:color w:val="000000"/>
                <w:kern w:val="0"/>
                <w:sz w:val="20"/>
                <w:szCs w:val="20"/>
                <w14:numSpacing w14:val="default"/>
              </w:rPr>
              <w:t>7. Schweiz</w:t>
            </w:r>
          </w:p>
        </w:tc>
        <w:tc>
          <w:tcPr>
            <w:tcW w:w="3917" w:type="dxa"/>
            <w:tcBorders>
              <w:top w:val="nil"/>
              <w:left w:val="nil"/>
              <w:bottom w:val="nil"/>
              <w:right w:val="nil"/>
            </w:tcBorders>
          </w:tcPr>
          <w:p w:rsidRPr="00D1007F" w:rsidR="00F102EB" w:rsidP="00D60CF0" w:rsidRDefault="00F102EB" w14:paraId="7319CEA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D1007F">
              <w:rPr>
                <w:rFonts w:ascii="Times New Roman" w:hAnsi="Times New Roman" w:cs="Times New Roman"/>
                <w:color w:val="000000"/>
                <w:kern w:val="0"/>
                <w:sz w:val="20"/>
                <w:szCs w:val="20"/>
                <w14:numSpacing w14:val="default"/>
              </w:rPr>
              <w:t>10,9</w:t>
            </w:r>
          </w:p>
        </w:tc>
      </w:tr>
      <w:tr w:rsidRPr="00D1007F" w:rsidR="00F102EB" w:rsidTr="002C4FD7" w14:paraId="7319CEAC" w14:textId="77777777">
        <w:trPr>
          <w:trHeight w:val="290"/>
        </w:trPr>
        <w:tc>
          <w:tcPr>
            <w:tcW w:w="3578" w:type="dxa"/>
            <w:tcBorders>
              <w:top w:val="nil"/>
              <w:left w:val="nil"/>
              <w:bottom w:val="nil"/>
              <w:right w:val="nil"/>
            </w:tcBorders>
          </w:tcPr>
          <w:p w:rsidRPr="00D1007F" w:rsidR="00F102EB" w:rsidP="00D60CF0" w:rsidRDefault="00F102EB" w14:paraId="7319CEA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D1007F">
              <w:rPr>
                <w:rFonts w:ascii="Times New Roman" w:hAnsi="Times New Roman" w:cs="Times New Roman"/>
                <w:color w:val="000000"/>
                <w:kern w:val="0"/>
                <w:sz w:val="20"/>
                <w:szCs w:val="20"/>
                <w14:numSpacing w14:val="default"/>
              </w:rPr>
              <w:t>8. Bermuda</w:t>
            </w:r>
          </w:p>
        </w:tc>
        <w:tc>
          <w:tcPr>
            <w:tcW w:w="3917" w:type="dxa"/>
            <w:tcBorders>
              <w:top w:val="nil"/>
              <w:left w:val="nil"/>
              <w:bottom w:val="nil"/>
              <w:right w:val="nil"/>
            </w:tcBorders>
          </w:tcPr>
          <w:p w:rsidRPr="00D1007F" w:rsidR="00F102EB" w:rsidP="00D60CF0" w:rsidRDefault="00F102EB" w14:paraId="7319CEA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D1007F">
              <w:rPr>
                <w:rFonts w:ascii="Times New Roman" w:hAnsi="Times New Roman" w:cs="Times New Roman"/>
                <w:color w:val="000000"/>
                <w:kern w:val="0"/>
                <w:sz w:val="20"/>
                <w:szCs w:val="20"/>
                <w14:numSpacing w14:val="default"/>
              </w:rPr>
              <w:t>10,8</w:t>
            </w:r>
          </w:p>
        </w:tc>
      </w:tr>
      <w:tr w:rsidRPr="00D1007F" w:rsidR="00F102EB" w:rsidTr="002C4FD7" w14:paraId="7319CEAF" w14:textId="77777777">
        <w:trPr>
          <w:trHeight w:val="290"/>
        </w:trPr>
        <w:tc>
          <w:tcPr>
            <w:tcW w:w="3578" w:type="dxa"/>
            <w:tcBorders>
              <w:top w:val="nil"/>
              <w:left w:val="nil"/>
              <w:bottom w:val="nil"/>
              <w:right w:val="nil"/>
            </w:tcBorders>
          </w:tcPr>
          <w:p w:rsidRPr="00D1007F" w:rsidR="00F102EB" w:rsidP="00D60CF0" w:rsidRDefault="00F102EB" w14:paraId="7319CEA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D1007F">
              <w:rPr>
                <w:rFonts w:ascii="Times New Roman" w:hAnsi="Times New Roman" w:cs="Times New Roman"/>
                <w:color w:val="000000"/>
                <w:kern w:val="0"/>
                <w:sz w:val="20"/>
                <w:szCs w:val="20"/>
                <w14:numSpacing w14:val="default"/>
              </w:rPr>
              <w:t>9. Brittiska Jungfruöarna</w:t>
            </w:r>
          </w:p>
        </w:tc>
        <w:tc>
          <w:tcPr>
            <w:tcW w:w="3917" w:type="dxa"/>
            <w:tcBorders>
              <w:top w:val="nil"/>
              <w:left w:val="nil"/>
              <w:bottom w:val="nil"/>
              <w:right w:val="nil"/>
            </w:tcBorders>
          </w:tcPr>
          <w:p w:rsidRPr="00D1007F" w:rsidR="00F102EB" w:rsidP="00D60CF0" w:rsidRDefault="00F102EB" w14:paraId="7319CEA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D1007F">
              <w:rPr>
                <w:rFonts w:ascii="Times New Roman" w:hAnsi="Times New Roman" w:cs="Times New Roman"/>
                <w:color w:val="000000"/>
                <w:kern w:val="0"/>
                <w:sz w:val="20"/>
                <w:szCs w:val="20"/>
                <w14:numSpacing w14:val="default"/>
              </w:rPr>
              <w:t>10,4</w:t>
            </w:r>
          </w:p>
        </w:tc>
      </w:tr>
      <w:tr w:rsidRPr="00D1007F" w:rsidR="00F102EB" w:rsidTr="002C4FD7" w14:paraId="7319CEB2" w14:textId="77777777">
        <w:trPr>
          <w:trHeight w:val="290"/>
        </w:trPr>
        <w:tc>
          <w:tcPr>
            <w:tcW w:w="3578" w:type="dxa"/>
            <w:tcBorders>
              <w:top w:val="nil"/>
              <w:left w:val="nil"/>
              <w:bottom w:val="nil"/>
              <w:right w:val="nil"/>
            </w:tcBorders>
          </w:tcPr>
          <w:p w:rsidRPr="00D1007F" w:rsidR="00F102EB" w:rsidP="00D60CF0" w:rsidRDefault="00F102EB" w14:paraId="7319CEB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D1007F">
              <w:rPr>
                <w:rFonts w:ascii="Times New Roman" w:hAnsi="Times New Roman" w:cs="Times New Roman"/>
                <w:color w:val="000000"/>
                <w:kern w:val="0"/>
                <w:sz w:val="20"/>
                <w:szCs w:val="20"/>
                <w14:numSpacing w14:val="default"/>
              </w:rPr>
              <w:t>10. Luxemburg</w:t>
            </w:r>
          </w:p>
        </w:tc>
        <w:tc>
          <w:tcPr>
            <w:tcW w:w="3917" w:type="dxa"/>
            <w:tcBorders>
              <w:top w:val="nil"/>
              <w:left w:val="nil"/>
              <w:bottom w:val="nil"/>
              <w:right w:val="nil"/>
            </w:tcBorders>
          </w:tcPr>
          <w:p w:rsidRPr="00D1007F" w:rsidR="00F102EB" w:rsidP="00D60CF0" w:rsidRDefault="00F102EB" w14:paraId="7319CEB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D1007F">
              <w:rPr>
                <w:rFonts w:ascii="Times New Roman" w:hAnsi="Times New Roman" w:cs="Times New Roman"/>
                <w:color w:val="000000"/>
                <w:kern w:val="0"/>
                <w:sz w:val="20"/>
                <w:szCs w:val="20"/>
                <w14:numSpacing w14:val="default"/>
              </w:rPr>
              <w:t>9,3</w:t>
            </w:r>
          </w:p>
        </w:tc>
      </w:tr>
      <w:tr w:rsidRPr="00D1007F" w:rsidR="00F102EB" w:rsidTr="002C4FD7" w14:paraId="7319CEB5" w14:textId="77777777">
        <w:trPr>
          <w:trHeight w:val="290"/>
        </w:trPr>
        <w:tc>
          <w:tcPr>
            <w:tcW w:w="3578" w:type="dxa"/>
            <w:tcBorders>
              <w:top w:val="nil"/>
              <w:left w:val="nil"/>
              <w:bottom w:val="nil"/>
              <w:right w:val="nil"/>
            </w:tcBorders>
          </w:tcPr>
          <w:p w:rsidRPr="00D1007F" w:rsidR="00F102EB" w:rsidP="00D60CF0" w:rsidRDefault="00F102EB" w14:paraId="7319CEB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D1007F">
              <w:rPr>
                <w:rFonts w:ascii="Times New Roman" w:hAnsi="Times New Roman" w:cs="Times New Roman"/>
                <w:color w:val="000000"/>
                <w:kern w:val="0"/>
                <w:sz w:val="20"/>
                <w:szCs w:val="20"/>
                <w14:numSpacing w14:val="default"/>
              </w:rPr>
              <w:t>11. Puerto Rico</w:t>
            </w:r>
          </w:p>
        </w:tc>
        <w:tc>
          <w:tcPr>
            <w:tcW w:w="3917" w:type="dxa"/>
            <w:tcBorders>
              <w:top w:val="nil"/>
              <w:left w:val="nil"/>
              <w:bottom w:val="nil"/>
              <w:right w:val="nil"/>
            </w:tcBorders>
          </w:tcPr>
          <w:p w:rsidRPr="00D1007F" w:rsidR="00F102EB" w:rsidP="00D60CF0" w:rsidRDefault="00F102EB" w14:paraId="7319CEB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D1007F">
              <w:rPr>
                <w:rFonts w:ascii="Times New Roman" w:hAnsi="Times New Roman" w:cs="Times New Roman"/>
                <w:color w:val="000000"/>
                <w:kern w:val="0"/>
                <w:sz w:val="20"/>
                <w:szCs w:val="20"/>
                <w14:numSpacing w14:val="default"/>
              </w:rPr>
              <w:t>9,2</w:t>
            </w:r>
          </w:p>
        </w:tc>
      </w:tr>
      <w:tr w:rsidRPr="00D1007F" w:rsidR="00F102EB" w:rsidTr="002C4FD7" w14:paraId="7319CEB8" w14:textId="77777777">
        <w:trPr>
          <w:trHeight w:val="290"/>
        </w:trPr>
        <w:tc>
          <w:tcPr>
            <w:tcW w:w="3578" w:type="dxa"/>
            <w:tcBorders>
              <w:top w:val="nil"/>
              <w:left w:val="nil"/>
              <w:bottom w:val="nil"/>
              <w:right w:val="nil"/>
            </w:tcBorders>
          </w:tcPr>
          <w:p w:rsidRPr="00D1007F" w:rsidR="00F102EB" w:rsidP="00D60CF0" w:rsidRDefault="00F102EB" w14:paraId="7319CEB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D1007F">
              <w:rPr>
                <w:rFonts w:ascii="Times New Roman" w:hAnsi="Times New Roman" w:cs="Times New Roman"/>
                <w:color w:val="000000"/>
                <w:kern w:val="0"/>
                <w:sz w:val="20"/>
                <w:szCs w:val="20"/>
                <w14:numSpacing w14:val="default"/>
              </w:rPr>
              <w:t>12. Irland</w:t>
            </w:r>
          </w:p>
        </w:tc>
        <w:tc>
          <w:tcPr>
            <w:tcW w:w="3917" w:type="dxa"/>
            <w:tcBorders>
              <w:top w:val="nil"/>
              <w:left w:val="nil"/>
              <w:bottom w:val="nil"/>
              <w:right w:val="nil"/>
            </w:tcBorders>
          </w:tcPr>
          <w:p w:rsidRPr="00D1007F" w:rsidR="00F102EB" w:rsidP="00D60CF0" w:rsidRDefault="00F102EB" w14:paraId="7319CEB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D1007F">
              <w:rPr>
                <w:rFonts w:ascii="Times New Roman" w:hAnsi="Times New Roman" w:cs="Times New Roman"/>
                <w:color w:val="000000"/>
                <w:kern w:val="0"/>
                <w:sz w:val="20"/>
                <w:szCs w:val="20"/>
                <w14:numSpacing w14:val="default"/>
              </w:rPr>
              <w:t>6,1</w:t>
            </w:r>
          </w:p>
        </w:tc>
      </w:tr>
      <w:tr w:rsidRPr="00D1007F" w:rsidR="00F102EB" w:rsidTr="002C4FD7" w14:paraId="7319CEBB" w14:textId="77777777">
        <w:trPr>
          <w:trHeight w:val="290"/>
        </w:trPr>
        <w:tc>
          <w:tcPr>
            <w:tcW w:w="3578" w:type="dxa"/>
            <w:tcBorders>
              <w:top w:val="nil"/>
              <w:left w:val="nil"/>
              <w:bottom w:val="nil"/>
              <w:right w:val="nil"/>
            </w:tcBorders>
          </w:tcPr>
          <w:p w:rsidRPr="00D1007F" w:rsidR="00F102EB" w:rsidP="00D60CF0" w:rsidRDefault="00F102EB" w14:paraId="7319CEB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D1007F">
              <w:rPr>
                <w:rFonts w:ascii="Times New Roman" w:hAnsi="Times New Roman" w:cs="Times New Roman"/>
                <w:color w:val="000000"/>
                <w:kern w:val="0"/>
                <w:sz w:val="20"/>
                <w:szCs w:val="20"/>
                <w14:numSpacing w14:val="default"/>
              </w:rPr>
              <w:t>13. Barbados</w:t>
            </w:r>
          </w:p>
        </w:tc>
        <w:tc>
          <w:tcPr>
            <w:tcW w:w="3917" w:type="dxa"/>
            <w:tcBorders>
              <w:top w:val="nil"/>
              <w:left w:val="nil"/>
              <w:bottom w:val="nil"/>
              <w:right w:val="nil"/>
            </w:tcBorders>
          </w:tcPr>
          <w:p w:rsidRPr="00D1007F" w:rsidR="00F102EB" w:rsidP="00D60CF0" w:rsidRDefault="00F102EB" w14:paraId="7319CEB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D1007F">
              <w:rPr>
                <w:rFonts w:ascii="Times New Roman" w:hAnsi="Times New Roman" w:cs="Times New Roman"/>
                <w:color w:val="000000"/>
                <w:kern w:val="0"/>
                <w:sz w:val="20"/>
                <w:szCs w:val="20"/>
                <w14:numSpacing w14:val="default"/>
              </w:rPr>
              <w:t>4,5</w:t>
            </w:r>
          </w:p>
        </w:tc>
      </w:tr>
      <w:tr w:rsidRPr="00D1007F" w:rsidR="00F102EB" w:rsidTr="002C4FD7" w14:paraId="7319CEBE" w14:textId="77777777">
        <w:trPr>
          <w:trHeight w:val="290"/>
        </w:trPr>
        <w:tc>
          <w:tcPr>
            <w:tcW w:w="3578" w:type="dxa"/>
            <w:tcBorders>
              <w:top w:val="nil"/>
              <w:left w:val="nil"/>
              <w:right w:val="nil"/>
            </w:tcBorders>
          </w:tcPr>
          <w:p w:rsidRPr="00D1007F" w:rsidR="00F102EB" w:rsidP="00D60CF0" w:rsidRDefault="00F102EB" w14:paraId="7319CEB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D1007F">
              <w:rPr>
                <w:rFonts w:ascii="Times New Roman" w:hAnsi="Times New Roman" w:cs="Times New Roman"/>
                <w:color w:val="000000"/>
                <w:kern w:val="0"/>
                <w:sz w:val="20"/>
                <w:szCs w:val="20"/>
                <w14:numSpacing w14:val="default"/>
              </w:rPr>
              <w:t>14. Jersey</w:t>
            </w:r>
          </w:p>
        </w:tc>
        <w:tc>
          <w:tcPr>
            <w:tcW w:w="3917" w:type="dxa"/>
            <w:tcBorders>
              <w:top w:val="nil"/>
              <w:left w:val="nil"/>
              <w:right w:val="nil"/>
            </w:tcBorders>
          </w:tcPr>
          <w:p w:rsidRPr="00D1007F" w:rsidR="00F102EB" w:rsidP="00D60CF0" w:rsidRDefault="00F102EB" w14:paraId="7319CEB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D1007F">
              <w:rPr>
                <w:rFonts w:ascii="Times New Roman" w:hAnsi="Times New Roman" w:cs="Times New Roman"/>
                <w:color w:val="000000"/>
                <w:kern w:val="0"/>
                <w:sz w:val="20"/>
                <w:szCs w:val="20"/>
                <w14:numSpacing w14:val="default"/>
              </w:rPr>
              <w:t>4,5</w:t>
            </w:r>
          </w:p>
        </w:tc>
      </w:tr>
      <w:tr w:rsidRPr="00D1007F" w:rsidR="00F102EB" w:rsidTr="002C4FD7" w14:paraId="7319CEC1" w14:textId="77777777">
        <w:trPr>
          <w:trHeight w:val="305"/>
        </w:trPr>
        <w:tc>
          <w:tcPr>
            <w:tcW w:w="3578" w:type="dxa"/>
            <w:tcBorders>
              <w:top w:val="nil"/>
              <w:left w:val="nil"/>
              <w:bottom w:val="single" w:color="auto" w:sz="4" w:space="0"/>
              <w:right w:val="nil"/>
            </w:tcBorders>
          </w:tcPr>
          <w:p w:rsidRPr="00D1007F" w:rsidR="00F102EB" w:rsidP="00D60CF0" w:rsidRDefault="00F102EB" w14:paraId="7319CEB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D1007F">
              <w:rPr>
                <w:rFonts w:ascii="Times New Roman" w:hAnsi="Times New Roman" w:cs="Times New Roman"/>
                <w:color w:val="000000"/>
                <w:kern w:val="0"/>
                <w:sz w:val="20"/>
                <w:szCs w:val="20"/>
                <w14:numSpacing w14:val="default"/>
              </w:rPr>
              <w:t>15. Taiwan</w:t>
            </w:r>
          </w:p>
        </w:tc>
        <w:tc>
          <w:tcPr>
            <w:tcW w:w="3917" w:type="dxa"/>
            <w:tcBorders>
              <w:top w:val="nil"/>
              <w:left w:val="nil"/>
              <w:bottom w:val="single" w:color="auto" w:sz="4" w:space="0"/>
              <w:right w:val="nil"/>
            </w:tcBorders>
          </w:tcPr>
          <w:p w:rsidRPr="00D1007F" w:rsidR="00F102EB" w:rsidP="00D60CF0" w:rsidRDefault="00F102EB" w14:paraId="7319CEC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D1007F">
              <w:rPr>
                <w:rFonts w:ascii="Times New Roman" w:hAnsi="Times New Roman" w:cs="Times New Roman"/>
                <w:color w:val="000000"/>
                <w:kern w:val="0"/>
                <w:sz w:val="20"/>
                <w:szCs w:val="20"/>
                <w14:numSpacing w14:val="default"/>
              </w:rPr>
              <w:t>4,4</w:t>
            </w:r>
          </w:p>
        </w:tc>
      </w:tr>
    </w:tbl>
    <w:p w:rsidRPr="00D60CF0" w:rsidR="00F102EB" w:rsidP="00D60CF0" w:rsidRDefault="00DA033B" w14:paraId="7319CEC2" w14:textId="77777777">
      <w:pPr>
        <w:pStyle w:val="Klla"/>
      </w:pPr>
      <w:r w:rsidRPr="00D60CF0">
        <w:t xml:space="preserve">Källa: Tax </w:t>
      </w:r>
      <w:proofErr w:type="spellStart"/>
      <w:r w:rsidRPr="00D60CF0">
        <w:t>Justice</w:t>
      </w:r>
      <w:proofErr w:type="spellEnd"/>
      <w:r w:rsidRPr="00D60CF0">
        <w:t xml:space="preserve"> </w:t>
      </w:r>
      <w:proofErr w:type="spellStart"/>
      <w:r w:rsidRPr="00D60CF0">
        <w:t>Network</w:t>
      </w:r>
      <w:proofErr w:type="spellEnd"/>
      <w:r w:rsidRPr="00D60CF0">
        <w:t xml:space="preserve"> (2020), ”The State </w:t>
      </w:r>
      <w:proofErr w:type="spellStart"/>
      <w:r w:rsidRPr="00D60CF0">
        <w:t>of</w:t>
      </w:r>
      <w:proofErr w:type="spellEnd"/>
      <w:r w:rsidRPr="00D60CF0">
        <w:t xml:space="preserve"> Tax </w:t>
      </w:r>
      <w:proofErr w:type="spellStart"/>
      <w:r w:rsidRPr="00D60CF0">
        <w:t>Justice</w:t>
      </w:r>
      <w:proofErr w:type="spellEnd"/>
      <w:r w:rsidRPr="00D60CF0">
        <w:t xml:space="preserve"> 2020”.</w:t>
      </w:r>
    </w:p>
    <w:p w:rsidRPr="00914A2E" w:rsidR="000867AF" w:rsidP="009E60A9" w:rsidRDefault="006E4C3E" w14:paraId="7319CEC5" w14:textId="7768030D">
      <w:pPr>
        <w:pStyle w:val="Normalutanindragellerluft"/>
        <w:spacing w:before="150"/>
      </w:pPr>
      <w:r w:rsidRPr="00914A2E">
        <w:lastRenderedPageBreak/>
        <w:t>EU har tre kri</w:t>
      </w:r>
      <w:r w:rsidRPr="00914A2E" w:rsidR="006633C8">
        <w:t>terier som länderna ska uppfylla för att inte hamna på den svarta (eller gråa) listan: (i)</w:t>
      </w:r>
      <w:r w:rsidR="00D1007F">
        <w:t> </w:t>
      </w:r>
      <w:r w:rsidRPr="00914A2E" w:rsidR="006633C8">
        <w:t xml:space="preserve">Öppenhet. Länder ska delta i det internationella och automatiska utbytet </w:t>
      </w:r>
      <w:r w:rsidRPr="00885723" w:rsidR="006633C8">
        <w:rPr>
          <w:spacing w:val="-1"/>
        </w:rPr>
        <w:t>av information, (ii)</w:t>
      </w:r>
      <w:r w:rsidRPr="00885723" w:rsidR="00D1007F">
        <w:rPr>
          <w:spacing w:val="-1"/>
        </w:rPr>
        <w:t> </w:t>
      </w:r>
      <w:r w:rsidRPr="00885723" w:rsidR="006633C8">
        <w:rPr>
          <w:spacing w:val="-1"/>
        </w:rPr>
        <w:t>Rättvis beskattning</w:t>
      </w:r>
      <w:r w:rsidRPr="00885723" w:rsidR="00D1007F">
        <w:rPr>
          <w:spacing w:val="-1"/>
        </w:rPr>
        <w:t>, s</w:t>
      </w:r>
      <w:r w:rsidRPr="00885723" w:rsidR="004264B8">
        <w:rPr>
          <w:spacing w:val="-1"/>
        </w:rPr>
        <w:t>om bl.a. innebär att länder inte ska ha strukturer</w:t>
      </w:r>
      <w:r w:rsidRPr="00914A2E" w:rsidR="004264B8">
        <w:t xml:space="preserve"> och arrangemang i syfte att locka till sig utländska vinster som inte är ett resultat av ekonomisk aktivitet i landet och (iii)</w:t>
      </w:r>
      <w:r w:rsidR="00D1007F">
        <w:t> </w:t>
      </w:r>
      <w:r w:rsidRPr="00914A2E" w:rsidR="004264B8">
        <w:t>Genomförande av anti-BEPS</w:t>
      </w:r>
      <w:r w:rsidR="00D1007F">
        <w:t>-</w:t>
      </w:r>
      <w:r w:rsidRPr="00914A2E" w:rsidR="004264B8">
        <w:t>åtgärder. Länder ska genomföra OECD:s minimistandarder avseende åtgärder mot skatteflykt och skatte</w:t>
      </w:r>
      <w:r w:rsidR="00885723">
        <w:softHyphen/>
      </w:r>
      <w:r w:rsidRPr="00914A2E" w:rsidR="004264B8">
        <w:t>undandragande.</w:t>
      </w:r>
      <w:r w:rsidRPr="00914A2E" w:rsidR="00A018F5">
        <w:t xml:space="preserve"> Det mest centrala </w:t>
      </w:r>
      <w:r w:rsidRPr="00914A2E" w:rsidR="004414ED">
        <w:t xml:space="preserve">är det andra </w:t>
      </w:r>
      <w:r w:rsidRPr="00914A2E" w:rsidR="00A018F5">
        <w:t xml:space="preserve">kriteriet om ”rättvis beskattning”. I en kritisk granskning av svarta listan lyfter </w:t>
      </w:r>
      <w:proofErr w:type="spellStart"/>
      <w:r w:rsidRPr="00914A2E" w:rsidR="00A018F5">
        <w:t>Oxfam</w:t>
      </w:r>
      <w:proofErr w:type="spellEnd"/>
      <w:r w:rsidRPr="00914A2E" w:rsidR="00A018F5">
        <w:t xml:space="preserve"> upp framför allt två brister i hur kriteriet används och tolkas.</w:t>
      </w:r>
      <w:r w:rsidRPr="00914A2E" w:rsidR="00681B4C">
        <w:rPr>
          <w:rStyle w:val="Fotnotsreferens"/>
        </w:rPr>
        <w:footnoteReference w:id="14"/>
      </w:r>
      <w:r w:rsidRPr="00914A2E" w:rsidR="00F61DB0">
        <w:t xml:space="preserve"> Vid utformningen av kriterierna för den svarta listan finns inte nollskatter eller mycket låga bolagsskatter med som ett eget kriterium</w:t>
      </w:r>
      <w:r w:rsidRPr="00914A2E" w:rsidR="0088753B">
        <w:t xml:space="preserve"> utan är med endast som en ”indikator”. </w:t>
      </w:r>
      <w:proofErr w:type="spellStart"/>
      <w:r w:rsidRPr="00914A2E" w:rsidR="0088753B">
        <w:t>Oxfam</w:t>
      </w:r>
      <w:proofErr w:type="spellEnd"/>
      <w:r w:rsidRPr="00914A2E" w:rsidR="0088753B">
        <w:t xml:space="preserve"> påpekar också att när EU ska bedöma huruvida ett skattearrangemang är skadligt eller orättvist så utgår de från en gammal definition från 1997. </w:t>
      </w:r>
      <w:r w:rsidRPr="00914A2E" w:rsidR="00311A20">
        <w:t xml:space="preserve">Denna definition fokuserar mest på att ett lands skattepolitik inte får gynna utländskt kapital i förhållande till inhemska företag. Detta krav kan då skatteparadisen möta genom att sänka skatten till noll, eller nära noll, för alla företag, såväl utländska som inhemska. Skattepolitiken kan därmed påstås vara icke-diskriminerande men bidrar till ett ”race to the </w:t>
      </w:r>
      <w:proofErr w:type="spellStart"/>
      <w:r w:rsidRPr="00914A2E" w:rsidR="00311A20">
        <w:t>bottom</w:t>
      </w:r>
      <w:proofErr w:type="spellEnd"/>
      <w:r w:rsidRPr="00914A2E" w:rsidR="00311A20">
        <w:t>” i skattepolitiken.</w:t>
      </w:r>
    </w:p>
    <w:p w:rsidRPr="00914A2E" w:rsidR="000E0B3D" w:rsidP="009E60A9" w:rsidRDefault="00EA715B" w14:paraId="7319CEC6" w14:textId="77777777">
      <w:r w:rsidRPr="00914A2E">
        <w:t xml:space="preserve">Inom ramen för arbetet inom EU bör regeringen driva på för att reformera hela processen med framtagandet av den svarta listan. </w:t>
      </w:r>
      <w:r w:rsidRPr="00914A2E" w:rsidR="00D15A72">
        <w:t>Detta bör riksdagen ställa sig bakom och ge regeringen till känna.</w:t>
      </w:r>
    </w:p>
    <w:p w:rsidRPr="00914A2E" w:rsidR="000E0B3D" w:rsidP="009E60A9" w:rsidRDefault="00D15A72" w14:paraId="7319CEC7" w14:textId="77777777">
      <w:r w:rsidRPr="00914A2E">
        <w:t>I detta arbete bör d</w:t>
      </w:r>
      <w:r w:rsidRPr="00914A2E" w:rsidR="00EA715B">
        <w:t xml:space="preserve">efinitionen av vad som är skadlig skattepolitik </w:t>
      </w:r>
      <w:r w:rsidRPr="00914A2E">
        <w:t xml:space="preserve">ändras </w:t>
      </w:r>
      <w:r w:rsidRPr="00914A2E" w:rsidR="00EA715B">
        <w:t>så att den inkluderar mycket låga bolagsskattesatser. Detta bör riksdagen ställa sig bakom och ge regeringen till känna.</w:t>
      </w:r>
    </w:p>
    <w:p w:rsidRPr="00914A2E" w:rsidR="00A542F2" w:rsidP="009E60A9" w:rsidRDefault="00AA28D0" w14:paraId="7319CEC8" w14:textId="77777777">
      <w:r w:rsidRPr="00914A2E">
        <w:t xml:space="preserve">Regeringen bör också, i likhet med vad som är fallet i en rad andra länder, tillsätta en skatteparadisutredning i syfte att ta fram förslag för </w:t>
      </w:r>
      <w:r w:rsidRPr="00914A2E" w:rsidR="00987CDF">
        <w:t xml:space="preserve">att </w:t>
      </w:r>
      <w:r w:rsidRPr="00914A2E">
        <w:t>stoppa utförseln av pengar till skatteparadisen. Detta bör riksdagen ställa sig bakom och ge regeringen till känna.</w:t>
      </w:r>
    </w:p>
    <w:p w:rsidRPr="00914A2E" w:rsidR="00D9067A" w:rsidP="009E60A9" w:rsidRDefault="00745834" w14:paraId="7319CEC9" w14:textId="77777777">
      <w:pPr>
        <w:pStyle w:val="Rubrik1numrerat"/>
      </w:pPr>
      <w:bookmarkStart w:name="_Toc115877768" w:id="13"/>
      <w:r w:rsidRPr="00914A2E">
        <w:t>Rapporteringsskyldighet</w:t>
      </w:r>
      <w:bookmarkEnd w:id="13"/>
    </w:p>
    <w:p w:rsidRPr="00914A2E" w:rsidR="00A542F2" w:rsidP="009E60A9" w:rsidRDefault="00E24373" w14:paraId="7319CECA" w14:textId="0977FD02">
      <w:pPr>
        <w:pStyle w:val="Normalutanindragellerluft"/>
      </w:pPr>
      <w:r w:rsidRPr="00914A2E">
        <w:t xml:space="preserve">Inom ramen för OECD:s arbete mot skattebaserosion och vinstflyttning (BEPS) </w:t>
      </w:r>
      <w:r w:rsidRPr="00914A2E" w:rsidR="000154E1">
        <w:t>före</w:t>
      </w:r>
      <w:r w:rsidR="00885723">
        <w:softHyphen/>
      </w:r>
      <w:r w:rsidRPr="00914A2E" w:rsidR="000154E1">
        <w:t xml:space="preserve">slogs regler </w:t>
      </w:r>
      <w:r w:rsidRPr="00914A2E" w:rsidR="00D03B1E">
        <w:t xml:space="preserve">om obligatorisk informationsskyldighet för rådgivare och i vissa fall användare (berörd skattebetalare) om vissa typer av </w:t>
      </w:r>
      <w:proofErr w:type="spellStart"/>
      <w:r w:rsidRPr="00914A2E" w:rsidR="00D03B1E">
        <w:t>skatteupplägg</w:t>
      </w:r>
      <w:proofErr w:type="spellEnd"/>
      <w:r w:rsidRPr="00914A2E" w:rsidR="00D03B1E">
        <w:t>. Rekommendatio</w:t>
      </w:r>
      <w:r w:rsidR="00885723">
        <w:softHyphen/>
      </w:r>
      <w:r w:rsidRPr="00914A2E" w:rsidR="00D03B1E">
        <w:t xml:space="preserve">nerna återfinns i en av BEPS-projektets slutrapporter, </w:t>
      </w:r>
      <w:proofErr w:type="spellStart"/>
      <w:r w:rsidRPr="00914A2E" w:rsidR="00D03B1E">
        <w:t>Mandatory</w:t>
      </w:r>
      <w:proofErr w:type="spellEnd"/>
      <w:r w:rsidRPr="00914A2E" w:rsidR="00D03B1E">
        <w:t xml:space="preserve"> </w:t>
      </w:r>
      <w:proofErr w:type="spellStart"/>
      <w:r w:rsidRPr="00914A2E" w:rsidR="00D03B1E">
        <w:t>Disclosure</w:t>
      </w:r>
      <w:proofErr w:type="spellEnd"/>
      <w:r w:rsidRPr="00914A2E" w:rsidR="00D03B1E">
        <w:t xml:space="preserve"> </w:t>
      </w:r>
      <w:proofErr w:type="spellStart"/>
      <w:r w:rsidRPr="00914A2E" w:rsidR="00D03B1E">
        <w:t>Rules</w:t>
      </w:r>
      <w:proofErr w:type="spellEnd"/>
      <w:r w:rsidRPr="00914A2E" w:rsidR="00D03B1E">
        <w:t>, Action</w:t>
      </w:r>
      <w:r w:rsidR="00D1007F">
        <w:t> </w:t>
      </w:r>
      <w:r w:rsidRPr="00914A2E" w:rsidR="00D03B1E">
        <w:t xml:space="preserve">12 – 2015 Final </w:t>
      </w:r>
      <w:proofErr w:type="spellStart"/>
      <w:r w:rsidRPr="00914A2E" w:rsidR="00D03B1E">
        <w:t>Report</w:t>
      </w:r>
      <w:proofErr w:type="spellEnd"/>
      <w:r w:rsidRPr="00914A2E" w:rsidR="00D03B1E">
        <w:t>.</w:t>
      </w:r>
      <w:r w:rsidRPr="00914A2E" w:rsidR="00D03B1E">
        <w:rPr>
          <w:rStyle w:val="Fotnotsreferens"/>
        </w:rPr>
        <w:footnoteReference w:id="15"/>
      </w:r>
      <w:r w:rsidRPr="00914A2E" w:rsidR="00D53406">
        <w:t xml:space="preserve"> Syftet med reglerna är att ge skattemyndigheter tidig information om potentiellt aggressiva </w:t>
      </w:r>
      <w:proofErr w:type="spellStart"/>
      <w:r w:rsidRPr="00914A2E" w:rsidR="00D53406">
        <w:t>skatteupplägg</w:t>
      </w:r>
      <w:proofErr w:type="spellEnd"/>
      <w:r w:rsidRPr="00914A2E" w:rsidR="00D53406">
        <w:t xml:space="preserve"> och vilka som marknadsför, förmedlar och använder dem. Sådan tidig information </w:t>
      </w:r>
      <w:r w:rsidRPr="00914A2E" w:rsidR="008F1E0B">
        <w:t>innebär att s</w:t>
      </w:r>
      <w:r w:rsidRPr="00914A2E" w:rsidR="00D53406">
        <w:t xml:space="preserve">kattemyndigheterna kan arbeta mer effektivt. Resurser som annars skulle ha behövt läggas på att upptäcka </w:t>
      </w:r>
      <w:proofErr w:type="spellStart"/>
      <w:r w:rsidRPr="00914A2E" w:rsidR="00D53406">
        <w:t>skatteupplägg</w:t>
      </w:r>
      <w:proofErr w:type="spellEnd"/>
      <w:r w:rsidRPr="00914A2E" w:rsidR="00D53406">
        <w:t xml:space="preserve"> kan i stället läggas på att vidta åtgärder utifrån lämnad information.</w:t>
      </w:r>
      <w:r w:rsidRPr="00914A2E" w:rsidR="008F1E0B">
        <w:t xml:space="preserve"> Ett </w:t>
      </w:r>
      <w:r w:rsidRPr="00914A2E" w:rsidR="00BD0A82">
        <w:t xml:space="preserve">annat </w:t>
      </w:r>
      <w:r w:rsidRPr="00914A2E" w:rsidR="008F1E0B">
        <w:t xml:space="preserve">syfte med rapporteringsskyldigheten är att skattskyldiga kan bli mindre benägna att använda uppläggen. </w:t>
      </w:r>
      <w:r w:rsidRPr="00914A2E" w:rsidR="00CF5781">
        <w:t>OECD</w:t>
      </w:r>
      <w:r w:rsidRPr="00914A2E" w:rsidR="00D573C9">
        <w:t xml:space="preserve"> föreslog att såväl gränsöverskridande </w:t>
      </w:r>
      <w:proofErr w:type="spellStart"/>
      <w:r w:rsidRPr="00914A2E" w:rsidR="00D573C9">
        <w:t>skatteupplägg</w:t>
      </w:r>
      <w:proofErr w:type="spellEnd"/>
      <w:r w:rsidRPr="00914A2E" w:rsidR="00D573C9">
        <w:t xml:space="preserve"> som rent inhemska arrangemang ska omfattas av informationsskyldigheten. De konstaterade också</w:t>
      </w:r>
      <w:r w:rsidRPr="00914A2E" w:rsidR="003E6DE9">
        <w:t xml:space="preserve"> att</w:t>
      </w:r>
      <w:r w:rsidRPr="00914A2E" w:rsidR="00D573C9">
        <w:t xml:space="preserve"> gränsöverskridande upplägg är svårare att komma åt genom rapporterings</w:t>
      </w:r>
      <w:r w:rsidR="00885723">
        <w:softHyphen/>
      </w:r>
      <w:r w:rsidRPr="00914A2E" w:rsidR="00D573C9">
        <w:t xml:space="preserve">skyldighet. </w:t>
      </w:r>
      <w:r w:rsidRPr="00914A2E" w:rsidR="00C10B92">
        <w:t xml:space="preserve">Mot bakgrund av </w:t>
      </w:r>
      <w:r w:rsidRPr="00914A2E" w:rsidR="00BD0A82">
        <w:t xml:space="preserve">bl.a. OECD:s rekommendationer tillsatte regeringen </w:t>
      </w:r>
      <w:r w:rsidRPr="00914A2E" w:rsidR="005F37D8">
        <w:t xml:space="preserve">i april </w:t>
      </w:r>
      <w:r w:rsidRPr="00914A2E" w:rsidR="00BD0A82">
        <w:lastRenderedPageBreak/>
        <w:t xml:space="preserve">2017 en särskild utredare med uppdrag att se över möjligheterna att införa en skyldighet för bl.a. skatterådgivare att informera Skatteverket om vissa typer av </w:t>
      </w:r>
      <w:proofErr w:type="spellStart"/>
      <w:r w:rsidRPr="00914A2E" w:rsidR="00BD0A82">
        <w:t>skatteupplägg</w:t>
      </w:r>
      <w:proofErr w:type="spellEnd"/>
      <w:r w:rsidRPr="00914A2E" w:rsidR="00BD0A82">
        <w:t xml:space="preserve">. Med skatterådgivare avses </w:t>
      </w:r>
      <w:r w:rsidRPr="00914A2E" w:rsidR="005F37D8">
        <w:t xml:space="preserve">revisionsfirmor, advokatbyråer, banker m.m. Utredningen presenterade </w:t>
      </w:r>
      <w:r w:rsidRPr="00914A2E" w:rsidR="00FD1D8F">
        <w:t xml:space="preserve">i början av 2019 sitt betänkande Rapporteringsskyldiga arrangemang – ett nytt regelverk på skatteområdet (SOU 2018:91). </w:t>
      </w:r>
      <w:r w:rsidRPr="00914A2E" w:rsidR="00B70145">
        <w:t xml:space="preserve">Utredningen föreslog, i likhet med OECD-rapporten, att en rapporteringsplikt införs för såväl gränsöverskridande </w:t>
      </w:r>
      <w:proofErr w:type="spellStart"/>
      <w:r w:rsidRPr="00914A2E" w:rsidR="00B70145">
        <w:t>skatte</w:t>
      </w:r>
      <w:r w:rsidR="00885723">
        <w:softHyphen/>
      </w:r>
      <w:r w:rsidRPr="00914A2E" w:rsidR="00B70145">
        <w:t>upplägg</w:t>
      </w:r>
      <w:proofErr w:type="spellEnd"/>
      <w:r w:rsidRPr="00914A2E" w:rsidR="00B70145">
        <w:t xml:space="preserve"> som rent inhemska arrangemang. </w:t>
      </w:r>
    </w:p>
    <w:p w:rsidRPr="00914A2E" w:rsidR="00A542F2" w:rsidP="009E60A9" w:rsidRDefault="00A542F2" w14:paraId="7319CECB" w14:textId="17EC42DA">
      <w:r w:rsidRPr="00914A2E">
        <w:t>Under utredningens gång beslutade rådet om direktiv (EU) 2018/822 av den 25 maj 2018 om ändring av direktiv 2011/16/EU vad gäller obligatoriskt automatiskt utbyte av upplysningar i fråga om beskattning som rör rapporteringspliktiga gränsöverskridande</w:t>
      </w:r>
      <w:r w:rsidRPr="00914A2E" w:rsidR="00D34494">
        <w:t xml:space="preserve"> </w:t>
      </w:r>
      <w:r w:rsidRPr="00914A2E">
        <w:t>arrangemang (</w:t>
      </w:r>
      <w:proofErr w:type="spellStart"/>
      <w:r w:rsidRPr="00914A2E" w:rsidR="00D1007F">
        <w:t>Dac</w:t>
      </w:r>
      <w:proofErr w:type="spellEnd"/>
      <w:r w:rsidR="00D1007F">
        <w:t> </w:t>
      </w:r>
      <w:r w:rsidRPr="00914A2E">
        <w:t>6). EU:s förslag var emellertid relativt u</w:t>
      </w:r>
      <w:r w:rsidRPr="00914A2E" w:rsidR="00D34494">
        <w:t>r</w:t>
      </w:r>
      <w:r w:rsidRPr="00914A2E">
        <w:t>vattnat i så m</w:t>
      </w:r>
      <w:r w:rsidRPr="00914A2E" w:rsidR="00C8079E">
        <w:t>å</w:t>
      </w:r>
      <w:r w:rsidRPr="00914A2E">
        <w:t xml:space="preserve">tto att endast gränsöverskridande arrangemang omfattas av informationsplikten. I direktivet finns det dock inget som hindrar medlemsländerna att gå längre och införa rapporteringsplikt på inhemska </w:t>
      </w:r>
      <w:proofErr w:type="spellStart"/>
      <w:r w:rsidRPr="00914A2E">
        <w:t>skatteupplägg</w:t>
      </w:r>
      <w:proofErr w:type="spellEnd"/>
      <w:r w:rsidRPr="00914A2E">
        <w:t>. Detta har också skett i flera EU-länder, bl.a. Irland och Portugal. Andra länder som också har infört rapporteringsskyldighet är Storbritannien, USA och Kanada.</w:t>
      </w:r>
    </w:p>
    <w:p w:rsidRPr="00914A2E" w:rsidR="00AD7C92" w:rsidP="009E60A9" w:rsidRDefault="00B70145" w14:paraId="7319CECC" w14:textId="5B31FDF5">
      <w:r w:rsidRPr="00914A2E">
        <w:t xml:space="preserve">I </w:t>
      </w:r>
      <w:r w:rsidRPr="00914A2E" w:rsidR="00A542F2">
        <w:t>februari</w:t>
      </w:r>
      <w:r w:rsidRPr="00914A2E">
        <w:t xml:space="preserve"> </w:t>
      </w:r>
      <w:r w:rsidRPr="00914A2E" w:rsidR="004414ED">
        <w:t>2020</w:t>
      </w:r>
      <w:r w:rsidRPr="00914A2E">
        <w:t xml:space="preserve"> </w:t>
      </w:r>
      <w:r w:rsidRPr="00914A2E" w:rsidR="004414ED">
        <w:t xml:space="preserve">presenterade </w:t>
      </w:r>
      <w:r w:rsidRPr="00914A2E">
        <w:t xml:space="preserve">regeringen propositionen Genomförande av EU:s </w:t>
      </w:r>
      <w:r w:rsidRPr="00885723">
        <w:rPr>
          <w:spacing w:val="-1"/>
        </w:rPr>
        <w:t>direktiv om automatiskt utbyte av upplysningar som rör rapporteringspliktiga gränsöver</w:t>
      </w:r>
      <w:r w:rsidRPr="00885723" w:rsidR="00885723">
        <w:rPr>
          <w:spacing w:val="-1"/>
        </w:rPr>
        <w:softHyphen/>
      </w:r>
      <w:r w:rsidRPr="00885723">
        <w:rPr>
          <w:spacing w:val="-1"/>
        </w:rPr>
        <w:t>skridande</w:t>
      </w:r>
      <w:r w:rsidRPr="00914A2E">
        <w:t xml:space="preserve"> arrangemang</w:t>
      </w:r>
      <w:r w:rsidRPr="00914A2E" w:rsidR="00A542F2">
        <w:t xml:space="preserve"> (prop. 2019/20:74)</w:t>
      </w:r>
      <w:r w:rsidRPr="00914A2E">
        <w:t xml:space="preserve">. I propositionen </w:t>
      </w:r>
      <w:r w:rsidRPr="00914A2E" w:rsidR="00620473">
        <w:t>lade</w:t>
      </w:r>
      <w:r w:rsidRPr="00914A2E">
        <w:t xml:space="preserve"> sig regeringen på EU:s miniminivå och föresl</w:t>
      </w:r>
      <w:r w:rsidRPr="00914A2E" w:rsidR="00620473">
        <w:t>og</w:t>
      </w:r>
      <w:r w:rsidRPr="00914A2E">
        <w:t xml:space="preserve"> att rapporteringsplikten endast ska omfatta gränsöverskridande </w:t>
      </w:r>
      <w:proofErr w:type="spellStart"/>
      <w:r w:rsidRPr="00914A2E">
        <w:t>skatteupplägg</w:t>
      </w:r>
      <w:proofErr w:type="spellEnd"/>
      <w:r w:rsidRPr="00914A2E" w:rsidR="00620473">
        <w:t>, vilket också vann riksdagens bifall. Detta är oerhört olyckligt eftersom det just är på inhemska skattearrangemang som en rapporteringsskyldighet skulle kunna ge ett väsentligt bidrag i kampen mot skatteflykt och skatteundandragande</w:t>
      </w:r>
      <w:r w:rsidRPr="00914A2E" w:rsidR="005C267F">
        <w:t xml:space="preserve">. Detta eftersom det främst är inhemska arrangemang som Skatteverket kan bedriva en effektiv tillsyn </w:t>
      </w:r>
      <w:r w:rsidR="00F63662">
        <w:t>över</w:t>
      </w:r>
      <w:r w:rsidRPr="00914A2E" w:rsidR="005C267F">
        <w:t>.</w:t>
      </w:r>
    </w:p>
    <w:p w:rsidRPr="00914A2E" w:rsidR="00E24373" w:rsidP="00922034" w:rsidRDefault="00E50DDC" w14:paraId="7319CECD" w14:textId="77777777">
      <w:r w:rsidRPr="00914A2E">
        <w:t xml:space="preserve">Regeringen bör återkomma till riksdagen med förslag om </w:t>
      </w:r>
      <w:r w:rsidRPr="00914A2E" w:rsidR="009D34ED">
        <w:t xml:space="preserve">att </w:t>
      </w:r>
      <w:r w:rsidRPr="00914A2E">
        <w:t>rapporteringsplikt</w:t>
      </w:r>
      <w:r w:rsidRPr="00914A2E" w:rsidR="009D34ED">
        <w:t>en ska gälla</w:t>
      </w:r>
      <w:r w:rsidRPr="00914A2E">
        <w:t xml:space="preserve"> även för inhemska skattearrangemang. Detta bör riksdagen ställa sig bakom och ge regeringen till känna.</w:t>
      </w:r>
    </w:p>
    <w:p w:rsidRPr="00914A2E" w:rsidR="00745834" w:rsidP="009E60A9" w:rsidRDefault="00745834" w14:paraId="7319CECE" w14:textId="77777777">
      <w:pPr>
        <w:pStyle w:val="Rubrik1numrerat"/>
      </w:pPr>
      <w:bookmarkStart w:name="_Toc115877769" w:id="14"/>
      <w:r w:rsidRPr="00914A2E">
        <w:t>Bankernas roll och tillgångsbaserade böter</w:t>
      </w:r>
      <w:bookmarkEnd w:id="14"/>
    </w:p>
    <w:p w:rsidRPr="00914A2E" w:rsidR="00E50DDC" w:rsidP="009E60A9" w:rsidRDefault="00E50DDC" w14:paraId="7319CECF" w14:textId="7DD16F3A">
      <w:pPr>
        <w:pStyle w:val="Normalutanindragellerluft"/>
      </w:pPr>
      <w:r w:rsidRPr="00914A2E">
        <w:t xml:space="preserve">Internationellt förs en debatt om bankernas roll i aggressiv skatteplanering. Banker, revisionsbyråer, skattejurister och </w:t>
      </w:r>
      <w:r w:rsidR="00F63662">
        <w:t>skatte</w:t>
      </w:r>
      <w:r w:rsidRPr="00914A2E">
        <w:t>konsulter tjänar stora pengar på att tillhanda</w:t>
      </w:r>
      <w:r w:rsidR="00885723">
        <w:softHyphen/>
      </w:r>
      <w:r w:rsidRPr="00914A2E">
        <w:t>hålla rådgivning och tjänster som leder till såväl skatteflykt som aggressiv skatte</w:t>
      </w:r>
      <w:r w:rsidR="00885723">
        <w:softHyphen/>
      </w:r>
      <w:r w:rsidRPr="00914A2E">
        <w:t xml:space="preserve">planering. I princip alla finansiella tillgångar är placerade hos banker eller andra finansiella </w:t>
      </w:r>
      <w:proofErr w:type="spellStart"/>
      <w:r w:rsidRPr="00914A2E">
        <w:t>intermediärer</w:t>
      </w:r>
      <w:proofErr w:type="spellEnd"/>
      <w:r w:rsidRPr="00914A2E">
        <w:t>. Något hår</w:t>
      </w:r>
      <w:r w:rsidRPr="00914A2E" w:rsidR="00FF777B">
        <w:t>d</w:t>
      </w:r>
      <w:r w:rsidRPr="00914A2E">
        <w:t>raget kan man säga att utan banker inga överför</w:t>
      </w:r>
      <w:r w:rsidR="00885723">
        <w:softHyphen/>
      </w:r>
      <w:r w:rsidRPr="00914A2E">
        <w:t>ingar till skatteparadis. Ett problem med dagens böter är att banker och andra stora företag har så mycket pengar att d</w:t>
      </w:r>
      <w:r w:rsidRPr="00914A2E" w:rsidR="0032715D">
        <w:t>essa</w:t>
      </w:r>
      <w:r w:rsidRPr="00914A2E">
        <w:t xml:space="preserve"> inte är avskräckande. En lösning på detta kan vara att införa tillgångsbaserade böter. Storbritannien införde 2017 bestämmelser om tillgångsbaserade böter för de mest allvarliga fallen av skatteflykt i utlandet. Böterna börjar från vad som är lägst av 10</w:t>
      </w:r>
      <w:r w:rsidR="00F63662">
        <w:t> </w:t>
      </w:r>
      <w:r w:rsidRPr="00914A2E">
        <w:t>procent av värdet på tillgångarna och 10</w:t>
      </w:r>
      <w:r w:rsidR="00F63662">
        <w:t> </w:t>
      </w:r>
      <w:r w:rsidRPr="00914A2E">
        <w:t>gånger de uteblivna skatteintäkterna. Sverige bör införa ett liknande system som i Storbritannien med tillgångsbaserade böter. Detta bör riksdagen ställa sig bakom och ge regeringen till känna.</w:t>
      </w:r>
    </w:p>
    <w:p w:rsidRPr="00914A2E" w:rsidR="00745834" w:rsidP="00A44773" w:rsidRDefault="00E50DDC" w14:paraId="7319CED0" w14:textId="77777777">
      <w:r w:rsidRPr="00914A2E">
        <w:t>En annan ingång att komma åt banker som medverkar till skatteflykt är att gå på deras tillstånd att verka som bank i Sverige (dvs</w:t>
      </w:r>
      <w:r w:rsidRPr="00914A2E" w:rsidR="00FF777B">
        <w:t>.</w:t>
      </w:r>
      <w:r w:rsidRPr="00914A2E">
        <w:t xml:space="preserve"> deras bankoktroj). Regeringen bör </w:t>
      </w:r>
      <w:r w:rsidRPr="00914A2E">
        <w:lastRenderedPageBreak/>
        <w:t>utreda om banker som vid upprepade tillfällen gör sig skyldiga till skatteflykt eller medhjälp till skatteflykt borde förlora sin rätt att få verka som bank i Sverige. Detta bör riksdagen ställa sig bakom och ge regeringen till känna.</w:t>
      </w:r>
    </w:p>
    <w:p w:rsidRPr="00914A2E" w:rsidR="00637E2C" w:rsidP="009E60A9" w:rsidRDefault="00637E2C" w14:paraId="7319CED1" w14:textId="77777777">
      <w:pPr>
        <w:pStyle w:val="Rubrik1numrerat"/>
      </w:pPr>
      <w:bookmarkStart w:name="_Toc115877770" w:id="15"/>
      <w:r w:rsidRPr="00914A2E">
        <w:t>Stiftelser</w:t>
      </w:r>
      <w:bookmarkEnd w:id="15"/>
    </w:p>
    <w:p w:rsidRPr="00914A2E" w:rsidR="00803BBD" w:rsidP="00803BBD" w:rsidRDefault="00803BBD" w14:paraId="7319CED2" w14:textId="217F3D07">
      <w:pPr>
        <w:pStyle w:val="Normalutanindragellerluft"/>
      </w:pPr>
      <w:r w:rsidRPr="00914A2E">
        <w:t>Stiftelse är en form av jurid</w:t>
      </w:r>
      <w:r w:rsidRPr="009E60A9">
        <w:t>i</w:t>
      </w:r>
      <w:r w:rsidRPr="00914A2E">
        <w:t xml:space="preserve">sk person som, till skillnad från föreningar och bolag, varken har medlemmar eller ägare. Stiftelsen äger i princip sig själv, brukar man säga. Organisationen Tax </w:t>
      </w:r>
      <w:proofErr w:type="spellStart"/>
      <w:r w:rsidRPr="00914A2E">
        <w:t>Justice</w:t>
      </w:r>
      <w:proofErr w:type="spellEnd"/>
      <w:r w:rsidRPr="00914A2E">
        <w:t xml:space="preserve"> </w:t>
      </w:r>
      <w:proofErr w:type="spellStart"/>
      <w:r w:rsidRPr="00914A2E">
        <w:t>Network</w:t>
      </w:r>
      <w:proofErr w:type="spellEnd"/>
      <w:r w:rsidRPr="00914A2E">
        <w:t xml:space="preserve"> har identifierat att stiftelser flitigt används för skatteundandragande och penningtvätt.</w:t>
      </w:r>
      <w:r w:rsidRPr="00914A2E" w:rsidR="00B32956">
        <w:rPr>
          <w:rStyle w:val="Fotnotsreferens"/>
        </w:rPr>
        <w:footnoteReference w:id="16"/>
      </w:r>
      <w:r w:rsidRPr="00914A2E" w:rsidR="00B32956">
        <w:t xml:space="preserve"> Det finns många olika typer av stiftelser, och de fungerar på olika sätt. Ett sätt att förstå stiftelser är att tänka på upplägget som ett ”löfte” att ge bort något till någon i framtiden, genom att någon annan förvaltar till</w:t>
      </w:r>
      <w:r w:rsidR="00885723">
        <w:softHyphen/>
      </w:r>
      <w:r w:rsidRPr="00914A2E" w:rsidR="00B32956">
        <w:t xml:space="preserve">gången under tiden. Konsekvensen </w:t>
      </w:r>
      <w:r w:rsidRPr="00914A2E" w:rsidR="00DF259E">
        <w:t>blir att ingen på papp</w:t>
      </w:r>
      <w:r w:rsidRPr="00914A2E" w:rsidR="00724058">
        <w:t>e</w:t>
      </w:r>
      <w:r w:rsidRPr="00914A2E" w:rsidR="00DF259E">
        <w:t xml:space="preserve">ret ”fullt ut” äger tillgången. Detta leder i praktiken </w:t>
      </w:r>
      <w:r w:rsidR="00F63662">
        <w:t xml:space="preserve">till </w:t>
      </w:r>
      <w:r w:rsidRPr="00914A2E" w:rsidR="00DF259E">
        <w:t>att tillgången hamnar i ett slags ägarlöst limbo</w:t>
      </w:r>
      <w:r w:rsidRPr="00914A2E" w:rsidR="00AA06FC">
        <w:t>, svåråtkomligt</w:t>
      </w:r>
      <w:r w:rsidRPr="00914A2E" w:rsidR="00DF259E">
        <w:t xml:space="preserve"> för borgenärer</w:t>
      </w:r>
      <w:r w:rsidRPr="00914A2E" w:rsidR="00AA06FC">
        <w:t xml:space="preserve">, förmånstagare och skattemyndigheter. </w:t>
      </w:r>
      <w:r w:rsidRPr="00914A2E" w:rsidR="00292ECB">
        <w:t xml:space="preserve">Den ursprungliga ägaren av </w:t>
      </w:r>
      <w:r w:rsidRPr="00885723" w:rsidR="00292ECB">
        <w:rPr>
          <w:spacing w:val="-1"/>
        </w:rPr>
        <w:t>till</w:t>
      </w:r>
      <w:r w:rsidRPr="00885723" w:rsidR="00885723">
        <w:rPr>
          <w:spacing w:val="-1"/>
        </w:rPr>
        <w:softHyphen/>
      </w:r>
      <w:r w:rsidRPr="00885723" w:rsidR="00292ECB">
        <w:rPr>
          <w:spacing w:val="-1"/>
        </w:rPr>
        <w:t>gången kan hävda att ”jag äger inte längre tillgången, jag har gett bort den till stiftelsen</w:t>
      </w:r>
      <w:r w:rsidRPr="00885723" w:rsidR="00BC6970">
        <w:rPr>
          <w:spacing w:val="-1"/>
        </w:rPr>
        <w:t>”</w:t>
      </w:r>
      <w:r w:rsidRPr="00885723" w:rsidR="00292ECB">
        <w:rPr>
          <w:spacing w:val="-1"/>
        </w:rPr>
        <w:t>.</w:t>
      </w:r>
      <w:r w:rsidRPr="00914A2E" w:rsidR="00292ECB">
        <w:t xml:space="preserve"> Företrädare för stiftelsen kan i sin tur hävda att ”jag bara förvaltar tillgången å förmåns</w:t>
      </w:r>
      <w:r w:rsidR="007A71CD">
        <w:softHyphen/>
      </w:r>
      <w:r w:rsidRPr="00914A2E" w:rsidR="00292ECB">
        <w:t>tagarens vägnar</w:t>
      </w:r>
      <w:r w:rsidRPr="00914A2E" w:rsidR="00BC6970">
        <w:t>”</w:t>
      </w:r>
      <w:r w:rsidRPr="00914A2E" w:rsidR="00292ECB">
        <w:t xml:space="preserve">. Förmånstagaren kan å andra sidan hävda </w:t>
      </w:r>
      <w:r w:rsidRPr="00914A2E" w:rsidR="00BC6970">
        <w:t>att ”jag äger inte tillgången, den blir min först när den överlåts till mig från stiftelsen”.</w:t>
      </w:r>
    </w:p>
    <w:p w:rsidRPr="00914A2E" w:rsidR="00BC6970" w:rsidP="009E60A9" w:rsidRDefault="00BC6970" w14:paraId="7319CED3" w14:textId="77777777">
      <w:r w:rsidRPr="00914A2E">
        <w:t>Transparensen kring stiftelserna måste öka. Alla personer och tillgångar som är kopplade till stiftelsen bör registreras hos vederbörliga myndigheter. Registrering bör vara ett villkor för att få skapa en stiftelse. Vad som ovan anförs om registrering av stiftelser bör riksdagen ställa sig bakom och ge regeringen till känna.</w:t>
      </w:r>
    </w:p>
    <w:p w:rsidRPr="00914A2E" w:rsidR="00B27CA2" w:rsidP="009E60A9" w:rsidRDefault="00B27CA2" w14:paraId="7319CED4" w14:textId="77777777">
      <w:pPr>
        <w:pStyle w:val="Rubrik1numrerat"/>
      </w:pPr>
      <w:bookmarkStart w:name="_Toc115877771" w:id="16"/>
      <w:r w:rsidRPr="00914A2E">
        <w:t>Globalt samarbete</w:t>
      </w:r>
      <w:bookmarkEnd w:id="16"/>
    </w:p>
    <w:p w:rsidRPr="00914A2E" w:rsidR="00ED0FB0" w:rsidP="009E60A9" w:rsidRDefault="00AB186D" w14:paraId="7319CED5" w14:textId="3DEBA368">
      <w:pPr>
        <w:pStyle w:val="Normalutanindragellerluft"/>
      </w:pPr>
      <w:r w:rsidRPr="00914A2E">
        <w:t xml:space="preserve">Sverige har ett ansvar för att utvecklingsländerna får sitta med vid bordet när arbetet mot skatteflykt och aggressiv skatteplanering diskuteras och beslutas i OECD. Sverige bör verka för att det inom ramen för FN upprättas ett organ för att bekämpa skatteflykt och aggressiv skatteplanering där utvecklingsländerna finns med. </w:t>
      </w:r>
      <w:r w:rsidRPr="00914A2E" w:rsidR="0040013A">
        <w:t xml:space="preserve">Här kan FN:s arbete mot klimatförändringarna fungera som förebild. </w:t>
      </w:r>
      <w:bookmarkEnd w:id="10"/>
      <w:r w:rsidRPr="00914A2E" w:rsidR="003B306A">
        <w:t xml:space="preserve">Arbetet vilar på </w:t>
      </w:r>
      <w:r w:rsidRPr="00914A2E" w:rsidR="00075252">
        <w:t xml:space="preserve">det </w:t>
      </w:r>
      <w:r w:rsidRPr="00914A2E" w:rsidR="003B306A">
        <w:t>internationell</w:t>
      </w:r>
      <w:r w:rsidRPr="00914A2E" w:rsidR="00075252">
        <w:t>a</w:t>
      </w:r>
      <w:r w:rsidRPr="00914A2E" w:rsidR="003B306A">
        <w:t xml:space="preserve"> miljöfördrag</w:t>
      </w:r>
      <w:r w:rsidRPr="00914A2E" w:rsidR="00075252">
        <w:t>et</w:t>
      </w:r>
      <w:r w:rsidRPr="00914A2E" w:rsidR="003B306A">
        <w:t xml:space="preserve"> United Nations </w:t>
      </w:r>
      <w:proofErr w:type="spellStart"/>
      <w:r w:rsidRPr="00914A2E" w:rsidR="003B306A">
        <w:t>Framework</w:t>
      </w:r>
      <w:proofErr w:type="spellEnd"/>
      <w:r w:rsidRPr="00914A2E" w:rsidR="003B306A">
        <w:t xml:space="preserve"> Convention on </w:t>
      </w:r>
      <w:proofErr w:type="spellStart"/>
      <w:r w:rsidRPr="00914A2E" w:rsidR="003B306A">
        <w:t>Climate</w:t>
      </w:r>
      <w:proofErr w:type="spellEnd"/>
      <w:r w:rsidRPr="00914A2E" w:rsidR="003B306A">
        <w:t xml:space="preserve"> Change </w:t>
      </w:r>
      <w:r w:rsidRPr="00914A2E" w:rsidR="00A64692">
        <w:t>(</w:t>
      </w:r>
      <w:r w:rsidRPr="00914A2E" w:rsidR="003B306A">
        <w:t xml:space="preserve">UNFCCC) som antogs på Riokonferensen 1992. Knutet till arbetet finns en expertpanel, </w:t>
      </w:r>
      <w:proofErr w:type="spellStart"/>
      <w:r w:rsidRPr="00914A2E" w:rsidR="003B306A">
        <w:t>Intergovernmental</w:t>
      </w:r>
      <w:proofErr w:type="spellEnd"/>
      <w:r w:rsidRPr="00914A2E" w:rsidR="003B306A">
        <w:t xml:space="preserve"> Panel on </w:t>
      </w:r>
      <w:proofErr w:type="spellStart"/>
      <w:r w:rsidRPr="00914A2E" w:rsidR="003B306A">
        <w:t>Climate</w:t>
      </w:r>
      <w:proofErr w:type="spellEnd"/>
      <w:r w:rsidRPr="00914A2E" w:rsidR="003B306A">
        <w:t xml:space="preserve"> Change (IPCC).</w:t>
      </w:r>
    </w:p>
    <w:p w:rsidRPr="00914A2E" w:rsidR="003B306A" w:rsidP="009E60A9" w:rsidRDefault="00234D2A" w14:paraId="7319CED6" w14:textId="3218A2A9">
      <w:r w:rsidRPr="00914A2E">
        <w:t>Sverige bör driva på för att etablera liknande ramverk för arbetet mot skatteflykt och penningtvätt inom FN som finns för arbetet mot klimatförändringarna</w:t>
      </w:r>
      <w:r w:rsidRPr="00914A2E" w:rsidR="002722F2">
        <w:t>. Detta bör riks</w:t>
      </w:r>
      <w:r w:rsidR="007A71CD">
        <w:softHyphen/>
      </w:r>
      <w:r w:rsidRPr="00914A2E" w:rsidR="002722F2">
        <w:t>dagen ställa sig bakom och ge regeringen till känna.</w:t>
      </w:r>
    </w:p>
    <w:p w:rsidRPr="00914A2E" w:rsidR="003B306A" w:rsidP="009E60A9" w:rsidRDefault="003B306A" w14:paraId="7319CED7" w14:textId="44D4C865">
      <w:r w:rsidRPr="00914A2E">
        <w:t>Regeringen bör också undersöka möjligheterna att införa ett globalt värdepappers</w:t>
      </w:r>
      <w:r w:rsidR="007A71CD">
        <w:softHyphen/>
      </w:r>
      <w:r w:rsidRPr="00914A2E">
        <w:t>register. Detta bör riksdagen ställa sig bakom och ge regeringen till känna.</w:t>
      </w:r>
    </w:p>
    <w:p w:rsidRPr="00914A2E" w:rsidR="00E667FC" w:rsidP="009E60A9" w:rsidRDefault="0092662A" w14:paraId="7319CED8" w14:textId="77777777">
      <w:pPr>
        <w:pStyle w:val="Rubrik1numrerat"/>
      </w:pPr>
      <w:bookmarkStart w:name="_Toc115877772" w:id="17"/>
      <w:r w:rsidRPr="00914A2E">
        <w:lastRenderedPageBreak/>
        <w:t>Inför en utflyttningsskatt</w:t>
      </w:r>
      <w:bookmarkEnd w:id="17"/>
    </w:p>
    <w:p w:rsidRPr="00914A2E" w:rsidR="00CA177A" w:rsidP="009E60A9" w:rsidRDefault="00E667FC" w14:paraId="7319CED9" w14:textId="3AD6DD30">
      <w:pPr>
        <w:pStyle w:val="Normalutanindragellerluft"/>
      </w:pPr>
      <w:bookmarkStart w:name="_Hlk50628951" w:id="18"/>
      <w:r w:rsidRPr="00914A2E">
        <w:t xml:space="preserve">En grundläggande skatterättslig princip – inte bara i Sverige – är att de vinster som har uppstått när en person är skattskyldig i ett land också beskattas i det landet. En rad länder har regler om särskilda beskattningskonsekvenser för fysiska personer som flyttar ut. I Sverige kommer den principen till uttryck genom den </w:t>
      </w:r>
      <w:r w:rsidRPr="00914A2E" w:rsidR="00F57A6E">
        <w:t xml:space="preserve">s.k. </w:t>
      </w:r>
      <w:r w:rsidRPr="00914A2E">
        <w:t xml:space="preserve">tioårsregeln i inkomstskattelagen. Det är dock känt att tioårsregeln har betydande brister. </w:t>
      </w:r>
      <w:r w:rsidRPr="00914A2E" w:rsidR="0092662A">
        <w:t>Skatteverket gjorde 2007 en studie om försäljning av aktier efter utflyt</w:t>
      </w:r>
      <w:r w:rsidRPr="00914A2E" w:rsidR="00FD454C">
        <w:t>t</w:t>
      </w:r>
      <w:r w:rsidRPr="00914A2E" w:rsidR="0092662A">
        <w:t xml:space="preserve">ning. I studien konstaterades att ett stort antal personer utvandrade för att därefter sälja aktier och andelar med i Sverige upparbetade vinster skattefritt eller med förmånligare beskattning, samt att den typen av skattedriven utflyttning tenderade att öka. I studien noterades att den som skaffar sig en överblick </w:t>
      </w:r>
      <w:r w:rsidRPr="00914A2E" w:rsidR="00FD454C">
        <w:t xml:space="preserve">över </w:t>
      </w:r>
      <w:r w:rsidRPr="00914A2E" w:rsidR="0092662A">
        <w:t xml:space="preserve">den interna lagstiftningen hos ett antal stater hade en uppsjö av möjligheter att undvika att kapitalvinster på aktier och andelar beskattades i Sverige. I </w:t>
      </w:r>
      <w:r w:rsidRPr="00914A2E" w:rsidR="0046618A">
        <w:t>rapporten</w:t>
      </w:r>
      <w:r w:rsidRPr="00914A2E" w:rsidR="0092662A">
        <w:t xml:space="preserve"> identifierades ett antal olika upplägg. I vissa fall såldes andelarna direkt, i andra fall gick man via utländska holdingbolag som avyttrade andelarna. Studien konstaterade också att ett flertal av Sveriges skatteavtal saknade utflyttnings</w:t>
      </w:r>
      <w:r w:rsidR="007A71CD">
        <w:softHyphen/>
      </w:r>
      <w:r w:rsidRPr="00914A2E" w:rsidR="0092662A">
        <w:t xml:space="preserve">regler. </w:t>
      </w:r>
    </w:p>
    <w:p w:rsidRPr="00914A2E" w:rsidR="003D4FF2" w:rsidP="009E60A9" w:rsidRDefault="00CA177A" w14:paraId="7319CEDA" w14:textId="3F5C30DD">
      <w:r w:rsidRPr="00914A2E">
        <w:t>Under förra mandatperioden uppdrog regeringen åt Skatteverket att ta fram ett förslag om utflyttningsskatt. Uppdraget redovisades i Skatteverkets promemoria Exitbeskattning för fysiska personer (2017). Promemorian var detaljrik och inneh</w:t>
      </w:r>
      <w:r w:rsidRPr="00914A2E" w:rsidR="00FD454C">
        <w:t>ö</w:t>
      </w:r>
      <w:r w:rsidRPr="00914A2E">
        <w:t>ll konkreta lagförslag. På lång sikt beräknades skatten stärka de offentliga finanserna med ca</w:t>
      </w:r>
      <w:r w:rsidR="00F63662">
        <w:t> </w:t>
      </w:r>
      <w:r w:rsidRPr="00914A2E">
        <w:t>1</w:t>
      </w:r>
      <w:r w:rsidR="00F63662">
        <w:t> </w:t>
      </w:r>
      <w:r w:rsidRPr="00914A2E">
        <w:t xml:space="preserve">miljard kronor per år. </w:t>
      </w:r>
      <w:r w:rsidRPr="00914A2E" w:rsidR="00E667FC">
        <w:t>Förslaget mötte dock stark kritik från näringslivets olika lobbyorganisationer, varpå regeringen drog tillbaka förslaget. Det har nu gått över t</w:t>
      </w:r>
      <w:r w:rsidRPr="00914A2E" w:rsidR="00C62B00">
        <w:t>re</w:t>
      </w:r>
      <w:r w:rsidRPr="00914A2E" w:rsidR="00E667FC">
        <w:t xml:space="preserve"> år sedan regeringen drog tillbaka förslage</w:t>
      </w:r>
      <w:r w:rsidRPr="00914A2E" w:rsidR="003D4FF2">
        <w:t>t</w:t>
      </w:r>
      <w:r w:rsidRPr="00914A2E" w:rsidR="00E667FC">
        <w:t>, dock utan att återkomma till riksdagen med förslag till alternativ lösning.</w:t>
      </w:r>
    </w:p>
    <w:p w:rsidRPr="00914A2E" w:rsidR="0092662A" w:rsidP="009E60A9" w:rsidRDefault="0092662A" w14:paraId="7319CEDB" w14:textId="77777777">
      <w:r w:rsidRPr="00914A2E">
        <w:t>Regeringen bör återkomma till riksdagen med förslag på en exitbeskattning för fysiska personer. Detta bör riksdagen ställa sig bakom och ge regeringen till känna.</w:t>
      </w:r>
    </w:p>
    <w:p w:rsidRPr="00914A2E" w:rsidR="00304C80" w:rsidP="009E60A9" w:rsidRDefault="00304C80" w14:paraId="7319CEDC" w14:textId="77777777">
      <w:pPr>
        <w:pStyle w:val="Rubrik1numrerat"/>
      </w:pPr>
      <w:bookmarkStart w:name="_Toc115877773" w:id="19"/>
      <w:bookmarkEnd w:id="18"/>
      <w:r w:rsidRPr="00914A2E">
        <w:t>Land-för-land</w:t>
      </w:r>
      <w:r w:rsidRPr="00914A2E" w:rsidR="00E571E8">
        <w:t>-</w:t>
      </w:r>
      <w:r w:rsidRPr="00914A2E">
        <w:t>rapportering för privatpersoner</w:t>
      </w:r>
      <w:bookmarkEnd w:id="19"/>
    </w:p>
    <w:p w:rsidRPr="00914A2E" w:rsidR="00D83EBA" w:rsidP="009E60A9" w:rsidRDefault="000D1FB2" w14:paraId="7319CEDD" w14:textId="5FF05181">
      <w:pPr>
        <w:pStyle w:val="Normalutanindragellerluft"/>
      </w:pPr>
      <w:r w:rsidRPr="00914A2E">
        <w:t>När den svenska förmögenhetsskatten slopades 2007 försvann också förmögenhets</w:t>
      </w:r>
      <w:r w:rsidR="007A71CD">
        <w:softHyphen/>
      </w:r>
      <w:r w:rsidRPr="00914A2E">
        <w:t xml:space="preserve">deklarationen. Därmed är det svårt för svenska myndigheter </w:t>
      </w:r>
      <w:r w:rsidRPr="00914A2E" w:rsidR="00373A89">
        <w:t>att ha någon närmare kunskap om</w:t>
      </w:r>
      <w:r w:rsidRPr="00914A2E" w:rsidR="00642BEB">
        <w:t xml:space="preserve"> </w:t>
      </w:r>
      <w:r w:rsidRPr="00914A2E" w:rsidR="007F1093">
        <w:t>svenska tillgångar utomlands</w:t>
      </w:r>
      <w:r w:rsidRPr="00914A2E" w:rsidR="00373A89">
        <w:t>. Detta beror bl.a. på att vissa stater, främst de som vi saknar avtal om informationsutbyte med, ”lever på” att gömma pengar åt utlänningar.</w:t>
      </w:r>
      <w:r w:rsidRPr="00914A2E" w:rsidR="00373A89">
        <w:rPr>
          <w:rStyle w:val="Fotnotsreferens"/>
        </w:rPr>
        <w:footnoteReference w:id="17"/>
      </w:r>
      <w:r w:rsidRPr="00914A2E" w:rsidR="00373A89">
        <w:t xml:space="preserve"> </w:t>
      </w:r>
      <w:r w:rsidRPr="00914A2E" w:rsidR="00900846">
        <w:t>I rapporten Skattefelets storlek och utveckl</w:t>
      </w:r>
      <w:r w:rsidRPr="00914A2E" w:rsidR="00C76A1B">
        <w:t>ing analyserar Skatteverket bl.a. frågan om privatpersoners tillgångar i utlandet.</w:t>
      </w:r>
      <w:r w:rsidRPr="00914A2E" w:rsidR="00C76A1B">
        <w:rPr>
          <w:rStyle w:val="Fotnotsreferens"/>
        </w:rPr>
        <w:footnoteReference w:id="18"/>
      </w:r>
      <w:r w:rsidRPr="00914A2E" w:rsidR="00C76A1B">
        <w:t xml:space="preserve"> </w:t>
      </w:r>
      <w:r w:rsidRPr="00914A2E" w:rsidR="004731B7">
        <w:t>Skatteverket uppskattar att svenska privatpersoners tillgångar utomlands 2017 uppgick till 526 miljarder kronor. De antar att 80 procent av tillgångarna inte hade deklarerat de kapitalinkomster som tillgångarna genererat. Vidare antas en genomsnittlig avkastning på 5,4 procent</w:t>
      </w:r>
      <w:r w:rsidRPr="00914A2E" w:rsidR="00C607D4">
        <w:t xml:space="preserve"> och en genomsnittlig kapitalskatt på 20 procent, vilket sammantaget leder till ett skattebortfall på 4,6 miljarder kronor för 2017. För att motverka denna skatteflykt bör Sverige införa en deklarationsplikt för förmögenheter som innehas utomlands.</w:t>
      </w:r>
      <w:r w:rsidRPr="00914A2E" w:rsidR="00722365">
        <w:rPr>
          <w:rStyle w:val="Fotnotsreferens"/>
        </w:rPr>
        <w:footnoteReference w:id="19"/>
      </w:r>
      <w:r w:rsidRPr="00914A2E" w:rsidR="00C607D4">
        <w:t xml:space="preserve"> Detta bör riksdagen ställa sig bakom och ge regeringen till känna.</w:t>
      </w:r>
    </w:p>
    <w:p w:rsidRPr="00914A2E" w:rsidR="009A0E27" w:rsidP="009E60A9" w:rsidRDefault="009A0E27" w14:paraId="7319CEDE" w14:textId="77777777">
      <w:pPr>
        <w:pStyle w:val="Rubrik1numrerat"/>
      </w:pPr>
      <w:bookmarkStart w:name="_Toc115877774" w:id="20"/>
      <w:r w:rsidRPr="00914A2E">
        <w:lastRenderedPageBreak/>
        <w:t>Offentlig upphandling</w:t>
      </w:r>
      <w:bookmarkEnd w:id="20"/>
    </w:p>
    <w:p w:rsidRPr="00914A2E" w:rsidR="009F059D" w:rsidP="009E60A9" w:rsidRDefault="004D6C19" w14:paraId="7319CEDF" w14:textId="77777777">
      <w:pPr>
        <w:pStyle w:val="Normalutanindragellerluft"/>
      </w:pPr>
      <w:r w:rsidRPr="00914A2E">
        <w:t>De senaste åren har frågan om skatteflykt och offentlig upphandling debatterats en hel del. Detta är föga förvånande med tanke på att den offentliga sektorn varje år handlar upp varor och tjänster för över 600 miljarder kronor. Flera svenska kommuner har önskat ställa krav på att deras leverantörer inte ska få ha någon koppling till företag som är baserade i s.k. skatteparadis. Dessvärre har Konkurrensverket förhindrat Malmö och Kalmar att ställa sådana krav i sin upphandling med hänvisning till EU:s regelverk.</w:t>
      </w:r>
    </w:p>
    <w:p w:rsidRPr="00914A2E" w:rsidR="004D6C19" w:rsidP="009F059D" w:rsidRDefault="004D6C19" w14:paraId="7319CEE0" w14:textId="77777777">
      <w:r w:rsidRPr="00914A2E">
        <w:t>Regeringen bör driva på inom EU för regeländringar som möjliggör för kommunerna att ställa skatteetiska krav på anbudsgivare vid offentlig upphandling. Detta bör riksdagen ställa sig bakom och ge regeringen till känna.</w:t>
      </w:r>
    </w:p>
    <w:p w:rsidRPr="00914A2E" w:rsidR="006A0C02" w:rsidP="009E60A9" w:rsidRDefault="00845D32" w14:paraId="7319CEE1" w14:textId="77777777">
      <w:pPr>
        <w:pStyle w:val="Rubrik1numrerat"/>
      </w:pPr>
      <w:bookmarkStart w:name="_Toc115877775" w:id="21"/>
      <w:r w:rsidRPr="00914A2E">
        <w:t>Ordning och reda på arbetsmarknaden</w:t>
      </w:r>
      <w:bookmarkEnd w:id="21"/>
    </w:p>
    <w:p w:rsidRPr="00914A2E" w:rsidR="006A0C02" w:rsidP="009E60A9" w:rsidRDefault="006A0C02" w14:paraId="7319CEE2" w14:textId="2173A9B7">
      <w:pPr>
        <w:pStyle w:val="Normalutanindragellerluft"/>
      </w:pPr>
      <w:r w:rsidRPr="00914A2E">
        <w:t>Under mandatperioden 2014</w:t>
      </w:r>
      <w:r w:rsidR="00F63662">
        <w:t>–</w:t>
      </w:r>
      <w:r w:rsidRPr="00914A2E">
        <w:t xml:space="preserve">2018 har den rödgröna regeringen vidtagit ett antal viktiga åtgärder för att motverka skattefusk, svartjobb och social dumpning i syfte att skapa ordning och reda på arbetsmarknaden. Vänsterpartiet välkomnar detta men anser att mer behöver göras på detta område. I motionen </w:t>
      </w:r>
      <w:r w:rsidRPr="00914A2E" w:rsidR="00563E63">
        <w:t xml:space="preserve">Ordning och reda på arbetsmarknaden </w:t>
      </w:r>
      <w:r w:rsidRPr="00914A2E" w:rsidR="008512DF">
        <w:t>(</w:t>
      </w:r>
      <w:r w:rsidRPr="00914A2E" w:rsidR="005017A6">
        <w:t>2021/22:</w:t>
      </w:r>
      <w:r w:rsidR="00F63662">
        <w:t>469</w:t>
      </w:r>
      <w:r w:rsidRPr="00914A2E" w:rsidR="008512DF">
        <w:t xml:space="preserve">) </w:t>
      </w:r>
      <w:r w:rsidRPr="00914A2E">
        <w:t>uppmärksammar Vänsterpartiet en rad olika missförhållanden på arbets</w:t>
      </w:r>
      <w:r w:rsidR="007A71CD">
        <w:softHyphen/>
      </w:r>
      <w:r w:rsidRPr="00914A2E">
        <w:t>marknaden och presenterar en rad förslag mot svartjobb, social dump</w:t>
      </w:r>
      <w:r w:rsidR="00F63662">
        <w:t>n</w:t>
      </w:r>
      <w:r w:rsidRPr="00914A2E">
        <w:t xml:space="preserve">ing </w:t>
      </w:r>
      <w:r w:rsidRPr="00914A2E" w:rsidR="005017A6">
        <w:t>m.m</w:t>
      </w:r>
      <w:r w:rsidRPr="00914A2E">
        <w:t>. En del av förslagen berör skatteområdet och kampen mot skatteflykt och skattefusk. Här redogörs kort för dessa förslag.</w:t>
      </w:r>
    </w:p>
    <w:p w:rsidRPr="00914A2E" w:rsidR="006A0C02" w:rsidP="009E60A9" w:rsidRDefault="006A0C02" w14:paraId="7319CEE3" w14:textId="6D42A1E0">
      <w:r w:rsidRPr="007A71CD">
        <w:rPr>
          <w:spacing w:val="-2"/>
        </w:rPr>
        <w:t>Ett problem med F</w:t>
      </w:r>
      <w:r w:rsidRPr="007A71CD" w:rsidR="00F63662">
        <w:rPr>
          <w:spacing w:val="-2"/>
        </w:rPr>
        <w:noBreakHyphen/>
      </w:r>
      <w:r w:rsidRPr="007A71CD">
        <w:rPr>
          <w:spacing w:val="-2"/>
        </w:rPr>
        <w:t>skattsedlar är att dessa missbrukas för att arbetsgivare vill undvika</w:t>
      </w:r>
      <w:r w:rsidRPr="00914A2E">
        <w:t xml:space="preserve"> sitt arbetsgivaransvar. Det förekommer att personer med F</w:t>
      </w:r>
      <w:r w:rsidR="00F63662">
        <w:noBreakHyphen/>
      </w:r>
      <w:r w:rsidRPr="00914A2E">
        <w:t>skatt bara har en uppdrags</w:t>
      </w:r>
      <w:r w:rsidR="007A71CD">
        <w:softHyphen/>
      </w:r>
      <w:r w:rsidRPr="00914A2E">
        <w:t>givare, och då inte sällan i form av sin gamla arbetsgivare. Därför lägger Vänsterpartiet i motionen förslag för att det ska krävas mer än en uppdragsgivare för att godkännas för F</w:t>
      </w:r>
      <w:r w:rsidR="00F63662">
        <w:noBreakHyphen/>
      </w:r>
      <w:r w:rsidRPr="00914A2E">
        <w:t xml:space="preserve">skatt. </w:t>
      </w:r>
    </w:p>
    <w:p w:rsidRPr="00914A2E" w:rsidR="004149BA" w:rsidP="009E60A9" w:rsidRDefault="006A0C02" w14:paraId="7319CEE4" w14:textId="11B582FE">
      <w:r w:rsidRPr="00914A2E">
        <w:t>Det är viktigt att framhålla F</w:t>
      </w:r>
      <w:r w:rsidR="00F63662">
        <w:noBreakHyphen/>
      </w:r>
      <w:r w:rsidRPr="00914A2E">
        <w:t>skattens roll som skydd för den enskilde konsumenten. Den som anlitar en uppdragstagare med F</w:t>
      </w:r>
      <w:r w:rsidR="00F63662">
        <w:noBreakHyphen/>
      </w:r>
      <w:r w:rsidRPr="00914A2E">
        <w:t>skatt behöver inte göra något skatteavdrag eller betala arbetsgivaravgifter på ersättningen. Om en oseriös uppdragstagare blir godkänd för F</w:t>
      </w:r>
      <w:r w:rsidR="00F63662">
        <w:noBreakHyphen/>
      </w:r>
      <w:r w:rsidRPr="00914A2E">
        <w:t>skatt kan detta utnyttjas i syfte att försvåra upptäckten av svartarbete. I dag gäller ett godkännande av F</w:t>
      </w:r>
      <w:r w:rsidR="00F63662">
        <w:noBreakHyphen/>
      </w:r>
      <w:r w:rsidRPr="00914A2E">
        <w:t>skatt tills vidare. Som ett försök att begränsa fusk föreslår därför Vänsterpartiet i ovan nämnda motion att ett tidsbegränsat godkännande av F</w:t>
      </w:r>
      <w:r w:rsidR="00F63662">
        <w:noBreakHyphen/>
      </w:r>
      <w:r w:rsidRPr="00914A2E">
        <w:t>skatt ska införas.</w:t>
      </w:r>
      <w:r w:rsidRPr="00914A2E" w:rsidR="004149BA">
        <w:t xml:space="preserve"> </w:t>
      </w:r>
    </w:p>
    <w:p w:rsidRPr="00914A2E" w:rsidR="006A0C02" w:rsidP="009E60A9" w:rsidRDefault="004149BA" w14:paraId="7319CEE5" w14:textId="1F6A6CF6">
      <w:r w:rsidRPr="00914A2E">
        <w:t>I</w:t>
      </w:r>
      <w:r w:rsidRPr="00914A2E" w:rsidR="00DD6A3A">
        <w:t xml:space="preserve"> </w:t>
      </w:r>
      <w:r w:rsidRPr="00914A2E">
        <w:t xml:space="preserve">dag ställs det krav på att företag som utför arbeten i Sverige som berättigar till </w:t>
      </w:r>
      <w:r w:rsidR="00F63662">
        <w:t>rot</w:t>
      </w:r>
      <w:r w:rsidRPr="00914A2E">
        <w:t>avdrag ska ha F</w:t>
      </w:r>
      <w:r w:rsidR="00F63662">
        <w:noBreakHyphen/>
      </w:r>
      <w:r w:rsidRPr="00914A2E">
        <w:t xml:space="preserve">skatt. Detta krav gäller dock inte de underentreprenörer som ofta anlitas för att utföra själva arbetet med </w:t>
      </w:r>
      <w:r w:rsidRPr="00914A2E" w:rsidR="00F63662">
        <w:t>rot</w:t>
      </w:r>
      <w:r w:rsidRPr="00914A2E">
        <w:t xml:space="preserve">. Detta skapar utrymme för missbruk och fusk. I motionen Ordning och reda på arbetsmarknaden </w:t>
      </w:r>
      <w:r w:rsidRPr="00914A2E" w:rsidR="00107030">
        <w:t>(2021/22:</w:t>
      </w:r>
      <w:r w:rsidR="00F63662">
        <w:t>469</w:t>
      </w:r>
      <w:r w:rsidRPr="00914A2E" w:rsidR="00107030">
        <w:t xml:space="preserve">) </w:t>
      </w:r>
      <w:r w:rsidRPr="00914A2E">
        <w:t>föreslår därför Vänsterpartiet att det ska införas ett krav på att även underentreprenörer ska ha giltig F</w:t>
      </w:r>
      <w:r w:rsidR="00F63662">
        <w:noBreakHyphen/>
      </w:r>
      <w:r w:rsidRPr="00914A2E">
        <w:t xml:space="preserve">skatt för att </w:t>
      </w:r>
      <w:r w:rsidRPr="00914A2E" w:rsidR="00F63662">
        <w:t>rot</w:t>
      </w:r>
      <w:r w:rsidRPr="00914A2E">
        <w:t>avdrag ska utbetalas.</w:t>
      </w:r>
    </w:p>
    <w:p w:rsidRPr="00914A2E" w:rsidR="00845D32" w:rsidP="009E60A9" w:rsidRDefault="006A0C02" w14:paraId="7319CEE6" w14:textId="7B592AA6">
      <w:r w:rsidRPr="00914A2E">
        <w:t xml:space="preserve">Ett annat problem när det gäller utländska företag som verkar i Sverige är reglerna om fast driftställe. Reglerna avgör om ett utländskt företag ska betala inkomstskatt i Sverige eller inte. I dag är reglerna hårt knutna till en bedömning av huruvida ett företag är etablerat på en exakt plats i Sverige eller inte. Företag som inte går att knyta till en </w:t>
      </w:r>
      <w:r w:rsidRPr="00914A2E">
        <w:lastRenderedPageBreak/>
        <w:t>exakt plats i Sverige kan därmed undgå skattskyldighet genom att ha sitt kontor utom</w:t>
      </w:r>
      <w:r w:rsidR="007A71CD">
        <w:softHyphen/>
      </w:r>
      <w:r w:rsidRPr="00914A2E">
        <w:t xml:space="preserve">lands, även om de bedriver omfattande verksamhet i Sverige. Det kan t.ex. röra sig om åkeriföretag, bemanningsföretag eller byggföretag. Detta öppnar för osund konkurrens och social dumpning. I </w:t>
      </w:r>
      <w:r w:rsidRPr="00914A2E" w:rsidR="00563E63">
        <w:t>motionen Ordning och reda på arbetsmarknaden</w:t>
      </w:r>
      <w:r w:rsidRPr="00914A2E">
        <w:t xml:space="preserve"> </w:t>
      </w:r>
      <w:r w:rsidRPr="00914A2E" w:rsidR="002712C4">
        <w:t>(2021/22:</w:t>
      </w:r>
      <w:r w:rsidR="00F63662">
        <w:t>469</w:t>
      </w:r>
      <w:r w:rsidRPr="00914A2E" w:rsidR="002712C4">
        <w:t xml:space="preserve">) </w:t>
      </w:r>
      <w:r w:rsidRPr="00914A2E">
        <w:t>föreslår därför Vänsterpartiet att det utreds om inkomstskattelagens bestämmelser om fast driftställe är ändamålsenligt utformade för att inkludera utländska företag som i stor omfattning verkar i Sverige.</w:t>
      </w:r>
    </w:p>
    <w:sdt>
      <w:sdtPr>
        <w:alias w:val="CC_Underskrifter"/>
        <w:tag w:val="CC_Underskrifter"/>
        <w:id w:val="583496634"/>
        <w:lock w:val="sdtContentLocked"/>
        <w:placeholder>
          <w:docPart w:val="D75D7C59711A4A4AA392C29B5CEC3066"/>
        </w:placeholder>
      </w:sdtPr>
      <w:sdtEndPr/>
      <w:sdtContent>
        <w:p w:rsidR="00A96AE9" w:rsidP="00914A2E" w:rsidRDefault="00A96AE9" w14:paraId="7319CEE7" w14:textId="77777777"/>
        <w:p w:rsidRPr="008E0FE2" w:rsidR="004801AC" w:rsidP="00914A2E" w:rsidRDefault="002C4FD7" w14:paraId="7319CEE8" w14:textId="77777777"/>
      </w:sdtContent>
    </w:sdt>
    <w:tbl>
      <w:tblPr>
        <w:tblW w:w="5000" w:type="pct"/>
        <w:tblLook w:val="04A0" w:firstRow="1" w:lastRow="0" w:firstColumn="1" w:lastColumn="0" w:noHBand="0" w:noVBand="1"/>
        <w:tblCaption w:val="underskrifter"/>
      </w:tblPr>
      <w:tblGrid>
        <w:gridCol w:w="4252"/>
        <w:gridCol w:w="4252"/>
      </w:tblGrid>
      <w:tr w:rsidR="00971FDC" w14:paraId="486C09E3" w14:textId="77777777">
        <w:trPr>
          <w:cantSplit/>
        </w:trPr>
        <w:tc>
          <w:tcPr>
            <w:tcW w:w="50" w:type="pct"/>
            <w:vAlign w:val="bottom"/>
          </w:tcPr>
          <w:p w:rsidR="00971FDC" w:rsidRDefault="00F63662" w14:paraId="6ED261FF" w14:textId="77777777">
            <w:pPr>
              <w:pStyle w:val="Underskrifter"/>
            </w:pPr>
            <w:r>
              <w:t>Tony Haddou (V)</w:t>
            </w:r>
          </w:p>
        </w:tc>
        <w:tc>
          <w:tcPr>
            <w:tcW w:w="50" w:type="pct"/>
            <w:vAlign w:val="bottom"/>
          </w:tcPr>
          <w:p w:rsidR="00971FDC" w:rsidRDefault="00971FDC" w14:paraId="18066561" w14:textId="77777777">
            <w:pPr>
              <w:pStyle w:val="Underskrifter"/>
            </w:pPr>
          </w:p>
        </w:tc>
      </w:tr>
      <w:tr w:rsidR="00971FDC" w14:paraId="6BEAA47D" w14:textId="77777777">
        <w:trPr>
          <w:cantSplit/>
        </w:trPr>
        <w:tc>
          <w:tcPr>
            <w:tcW w:w="50" w:type="pct"/>
            <w:vAlign w:val="bottom"/>
          </w:tcPr>
          <w:p w:rsidR="00971FDC" w:rsidRDefault="00F63662" w14:paraId="73C42686" w14:textId="77777777">
            <w:pPr>
              <w:pStyle w:val="Underskrifter"/>
              <w:spacing w:after="0"/>
            </w:pPr>
            <w:r>
              <w:t>Ulla Andersson (V)</w:t>
            </w:r>
          </w:p>
        </w:tc>
        <w:tc>
          <w:tcPr>
            <w:tcW w:w="50" w:type="pct"/>
            <w:vAlign w:val="bottom"/>
          </w:tcPr>
          <w:p w:rsidR="00971FDC" w:rsidRDefault="00F63662" w14:paraId="4706D372" w14:textId="77777777">
            <w:pPr>
              <w:pStyle w:val="Underskrifter"/>
              <w:spacing w:after="0"/>
            </w:pPr>
            <w:r>
              <w:t>Lorena Delgado Varas (V)</w:t>
            </w:r>
          </w:p>
        </w:tc>
      </w:tr>
      <w:tr w:rsidR="00971FDC" w14:paraId="0D5B7966" w14:textId="77777777">
        <w:trPr>
          <w:cantSplit/>
        </w:trPr>
        <w:tc>
          <w:tcPr>
            <w:tcW w:w="50" w:type="pct"/>
            <w:vAlign w:val="bottom"/>
          </w:tcPr>
          <w:p w:rsidR="00971FDC" w:rsidRDefault="00F63662" w14:paraId="23B534B7" w14:textId="77777777">
            <w:pPr>
              <w:pStyle w:val="Underskrifter"/>
              <w:spacing w:after="0"/>
            </w:pPr>
            <w:r>
              <w:t>Ali Esbati (V)</w:t>
            </w:r>
          </w:p>
        </w:tc>
        <w:tc>
          <w:tcPr>
            <w:tcW w:w="50" w:type="pct"/>
            <w:vAlign w:val="bottom"/>
          </w:tcPr>
          <w:p w:rsidR="00971FDC" w:rsidRDefault="00F63662" w14:paraId="79B41A22" w14:textId="77777777">
            <w:pPr>
              <w:pStyle w:val="Underskrifter"/>
              <w:spacing w:after="0"/>
            </w:pPr>
            <w:r>
              <w:t>Birger Lahti (V)</w:t>
            </w:r>
          </w:p>
        </w:tc>
      </w:tr>
      <w:tr w:rsidR="00971FDC" w14:paraId="6188F5B8" w14:textId="77777777">
        <w:trPr>
          <w:cantSplit/>
        </w:trPr>
        <w:tc>
          <w:tcPr>
            <w:tcW w:w="50" w:type="pct"/>
            <w:vAlign w:val="bottom"/>
          </w:tcPr>
          <w:p w:rsidR="00971FDC" w:rsidRDefault="00F63662" w14:paraId="094CF907" w14:textId="77777777">
            <w:pPr>
              <w:pStyle w:val="Underskrifter"/>
              <w:spacing w:after="0"/>
            </w:pPr>
            <w:r>
              <w:t>Ilona Szatmari Waldau (V)</w:t>
            </w:r>
          </w:p>
        </w:tc>
        <w:tc>
          <w:tcPr>
            <w:tcW w:w="50" w:type="pct"/>
            <w:vAlign w:val="bottom"/>
          </w:tcPr>
          <w:p w:rsidR="00971FDC" w:rsidRDefault="00F63662" w14:paraId="68FA3325" w14:textId="77777777">
            <w:pPr>
              <w:pStyle w:val="Underskrifter"/>
              <w:spacing w:after="0"/>
            </w:pPr>
            <w:r>
              <w:t>Ciczie Weidby (V)</w:t>
            </w:r>
          </w:p>
        </w:tc>
      </w:tr>
    </w:tbl>
    <w:p w:rsidR="00A230E4" w:rsidRDefault="00A230E4" w14:paraId="7319CEF5" w14:textId="77777777"/>
    <w:sectPr w:rsidR="00A230E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9CEF7" w14:textId="77777777" w:rsidR="00AE3BE3" w:rsidRDefault="00AE3BE3" w:rsidP="000C1CAD">
      <w:pPr>
        <w:spacing w:line="240" w:lineRule="auto"/>
      </w:pPr>
      <w:r>
        <w:separator/>
      </w:r>
    </w:p>
  </w:endnote>
  <w:endnote w:type="continuationSeparator" w:id="0">
    <w:p w14:paraId="7319CEF8" w14:textId="77777777" w:rsidR="00AE3BE3" w:rsidRDefault="00AE3B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9CEFD" w14:textId="77777777" w:rsidR="00AE3BE3" w:rsidRDefault="00AE3BE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9CEFE" w14:textId="77777777" w:rsidR="00AE3BE3" w:rsidRDefault="00AE3BE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19987" w14:textId="77777777" w:rsidR="007A71CD" w:rsidRDefault="007A71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9CEF5" w14:textId="2773FEF5" w:rsidR="00AE3BE3" w:rsidRDefault="00AE3BE3" w:rsidP="000C1CAD">
      <w:pPr>
        <w:spacing w:line="240" w:lineRule="auto"/>
      </w:pPr>
    </w:p>
  </w:footnote>
  <w:footnote w:type="continuationSeparator" w:id="0">
    <w:p w14:paraId="7319CEF6" w14:textId="77777777" w:rsidR="00AE3BE3" w:rsidRDefault="00AE3BE3" w:rsidP="000C1CAD">
      <w:pPr>
        <w:spacing w:line="240" w:lineRule="auto"/>
      </w:pPr>
      <w:r>
        <w:continuationSeparator/>
      </w:r>
    </w:p>
  </w:footnote>
  <w:footnote w:id="1">
    <w:p w14:paraId="7319CF0B" w14:textId="1153B6FB" w:rsidR="00AE3BE3" w:rsidRPr="00776560" w:rsidRDefault="00AE3BE3" w:rsidP="00470B41">
      <w:pPr>
        <w:pStyle w:val="Fotnotstext"/>
      </w:pPr>
      <w:r>
        <w:rPr>
          <w:rStyle w:val="Fotnotsreferens"/>
        </w:rPr>
        <w:footnoteRef/>
      </w:r>
      <w:r>
        <w:t xml:space="preserve"> Se </w:t>
      </w:r>
      <w:r w:rsidRPr="00776560">
        <w:t>https://www.oecd.org/tax/beps/beps-actions/</w:t>
      </w:r>
      <w:r w:rsidR="00D36C7F">
        <w:t>.</w:t>
      </w:r>
    </w:p>
  </w:footnote>
  <w:footnote w:id="2">
    <w:p w14:paraId="7319CF0C" w14:textId="77777777" w:rsidR="00AE3BE3" w:rsidRDefault="00AE3BE3">
      <w:pPr>
        <w:pStyle w:val="Fotnotstext"/>
      </w:pPr>
      <w:r>
        <w:rPr>
          <w:rStyle w:val="Fotnotsreferens"/>
        </w:rPr>
        <w:footnoteRef/>
      </w:r>
      <w:r>
        <w:t xml:space="preserve"> </w:t>
      </w:r>
      <w:proofErr w:type="spellStart"/>
      <w:r>
        <w:t>Crivelli</w:t>
      </w:r>
      <w:proofErr w:type="spellEnd"/>
      <w:r>
        <w:t xml:space="preserve">, E, R, </w:t>
      </w:r>
      <w:proofErr w:type="spellStart"/>
      <w:r>
        <w:t>Mooj</w:t>
      </w:r>
      <w:proofErr w:type="spellEnd"/>
      <w:r>
        <w:t xml:space="preserve"> &amp; M, </w:t>
      </w:r>
      <w:proofErr w:type="spellStart"/>
      <w:r>
        <w:t>Keen</w:t>
      </w:r>
      <w:proofErr w:type="spellEnd"/>
      <w:r>
        <w:t xml:space="preserve"> (2015), ”</w:t>
      </w:r>
      <w:proofErr w:type="spellStart"/>
      <w:r>
        <w:t>Base</w:t>
      </w:r>
      <w:proofErr w:type="spellEnd"/>
      <w:r>
        <w:t xml:space="preserve"> Erosion, Profit </w:t>
      </w:r>
      <w:proofErr w:type="spellStart"/>
      <w:r>
        <w:t>Shifting</w:t>
      </w:r>
      <w:proofErr w:type="spellEnd"/>
      <w:r>
        <w:t xml:space="preserve"> and Developing </w:t>
      </w:r>
      <w:proofErr w:type="spellStart"/>
      <w:r>
        <w:t>Countries</w:t>
      </w:r>
      <w:proofErr w:type="spellEnd"/>
      <w:r>
        <w:t xml:space="preserve">”, IMF </w:t>
      </w:r>
      <w:proofErr w:type="spellStart"/>
      <w:r>
        <w:t>Working</w:t>
      </w:r>
      <w:proofErr w:type="spellEnd"/>
      <w:r>
        <w:t xml:space="preserve"> Paper, WP/15/118.</w:t>
      </w:r>
    </w:p>
  </w:footnote>
  <w:footnote w:id="3">
    <w:p w14:paraId="7319CF0D" w14:textId="77777777" w:rsidR="00AE3BE3" w:rsidRDefault="00AE3BE3">
      <w:pPr>
        <w:pStyle w:val="Fotnotstext"/>
      </w:pPr>
      <w:r>
        <w:rPr>
          <w:rStyle w:val="Fotnotsreferens"/>
        </w:rPr>
        <w:footnoteRef/>
      </w:r>
      <w:r>
        <w:t xml:space="preserve"> Tax </w:t>
      </w:r>
      <w:proofErr w:type="spellStart"/>
      <w:r>
        <w:t>Justice</w:t>
      </w:r>
      <w:proofErr w:type="spellEnd"/>
      <w:r>
        <w:t xml:space="preserve"> </w:t>
      </w:r>
      <w:proofErr w:type="spellStart"/>
      <w:r>
        <w:t>Network</w:t>
      </w:r>
      <w:proofErr w:type="spellEnd"/>
      <w:r>
        <w:t xml:space="preserve"> (2020), ”The State </w:t>
      </w:r>
      <w:proofErr w:type="spellStart"/>
      <w:r>
        <w:t>of</w:t>
      </w:r>
      <w:proofErr w:type="spellEnd"/>
      <w:r>
        <w:t xml:space="preserve"> Tax </w:t>
      </w:r>
      <w:proofErr w:type="spellStart"/>
      <w:r>
        <w:t>Justice</w:t>
      </w:r>
      <w:proofErr w:type="spellEnd"/>
      <w:r>
        <w:t xml:space="preserve"> 2020”.</w:t>
      </w:r>
    </w:p>
  </w:footnote>
  <w:footnote w:id="4">
    <w:p w14:paraId="7319CF0E" w14:textId="5889CB77" w:rsidR="00AE3BE3" w:rsidRDefault="00AE3BE3" w:rsidP="007E4582">
      <w:pPr>
        <w:pStyle w:val="Fotnotstext"/>
      </w:pPr>
      <w:r>
        <w:rPr>
          <w:rStyle w:val="Fotnotsreferens"/>
        </w:rPr>
        <w:footnoteRef/>
      </w:r>
      <w:r>
        <w:t xml:space="preserve"> </w:t>
      </w:r>
      <w:proofErr w:type="spellStart"/>
      <w:r>
        <w:t>Crivelli</w:t>
      </w:r>
      <w:proofErr w:type="spellEnd"/>
      <w:r>
        <w:t xml:space="preserve">, E., de </w:t>
      </w:r>
      <w:proofErr w:type="spellStart"/>
      <w:r>
        <w:t>Mooij</w:t>
      </w:r>
      <w:proofErr w:type="spellEnd"/>
      <w:r>
        <w:t xml:space="preserve">, R. &amp; </w:t>
      </w:r>
      <w:proofErr w:type="spellStart"/>
      <w:r>
        <w:t>Keen</w:t>
      </w:r>
      <w:proofErr w:type="spellEnd"/>
      <w:r>
        <w:t>, M. (2016), ”</w:t>
      </w:r>
      <w:proofErr w:type="spellStart"/>
      <w:r>
        <w:t>Base</w:t>
      </w:r>
      <w:proofErr w:type="spellEnd"/>
      <w:r>
        <w:t xml:space="preserve"> Erosion, Profit </w:t>
      </w:r>
      <w:proofErr w:type="spellStart"/>
      <w:r>
        <w:t>Shifting</w:t>
      </w:r>
      <w:proofErr w:type="spellEnd"/>
      <w:r>
        <w:t xml:space="preserve"> and Developing </w:t>
      </w:r>
      <w:proofErr w:type="spellStart"/>
      <w:r>
        <w:t>Countries</w:t>
      </w:r>
      <w:proofErr w:type="spellEnd"/>
      <w:r>
        <w:t xml:space="preserve">” </w:t>
      </w:r>
      <w:proofErr w:type="spellStart"/>
      <w:r>
        <w:t>Finanz</w:t>
      </w:r>
      <w:proofErr w:type="spellEnd"/>
      <w:r w:rsidR="00D36C7F">
        <w:t xml:space="preserve"> </w:t>
      </w:r>
      <w:proofErr w:type="spellStart"/>
      <w:r>
        <w:t>Archiv</w:t>
      </w:r>
      <w:proofErr w:type="spellEnd"/>
      <w:r>
        <w:t>: Public</w:t>
      </w:r>
      <w:r w:rsidR="00D36C7F">
        <w:t xml:space="preserve"> </w:t>
      </w:r>
      <w:proofErr w:type="spellStart"/>
      <w:r>
        <w:t>Finance</w:t>
      </w:r>
      <w:proofErr w:type="spellEnd"/>
      <w:r>
        <w:t xml:space="preserve"> </w:t>
      </w:r>
      <w:proofErr w:type="spellStart"/>
      <w:r>
        <w:t>Analysis</w:t>
      </w:r>
      <w:proofErr w:type="spellEnd"/>
      <w:r>
        <w:t xml:space="preserve"> 72(3): 268–301. </w:t>
      </w:r>
    </w:p>
  </w:footnote>
  <w:footnote w:id="5">
    <w:p w14:paraId="7319CF0F" w14:textId="77777777" w:rsidR="00AE3BE3" w:rsidRDefault="00AE3BE3">
      <w:pPr>
        <w:pStyle w:val="Fotnotstext"/>
      </w:pPr>
      <w:r>
        <w:rPr>
          <w:rStyle w:val="Fotnotsreferens"/>
        </w:rPr>
        <w:footnoteRef/>
      </w:r>
      <w:r>
        <w:t xml:space="preserve"> Tax </w:t>
      </w:r>
      <w:proofErr w:type="spellStart"/>
      <w:r>
        <w:t>Justice</w:t>
      </w:r>
      <w:proofErr w:type="spellEnd"/>
      <w:r>
        <w:t xml:space="preserve"> </w:t>
      </w:r>
      <w:proofErr w:type="spellStart"/>
      <w:r>
        <w:t>Network</w:t>
      </w:r>
      <w:proofErr w:type="spellEnd"/>
      <w:r>
        <w:t xml:space="preserve"> (2020), ”The State </w:t>
      </w:r>
      <w:proofErr w:type="spellStart"/>
      <w:r>
        <w:t>of</w:t>
      </w:r>
      <w:proofErr w:type="spellEnd"/>
      <w:r>
        <w:t xml:space="preserve"> Tax </w:t>
      </w:r>
      <w:proofErr w:type="spellStart"/>
      <w:r>
        <w:t>Justice</w:t>
      </w:r>
      <w:proofErr w:type="spellEnd"/>
      <w:r>
        <w:t xml:space="preserve"> 2020”.</w:t>
      </w:r>
    </w:p>
  </w:footnote>
  <w:footnote w:id="6">
    <w:p w14:paraId="7319CF10" w14:textId="77777777" w:rsidR="00AE3BE3" w:rsidRDefault="00AE3BE3">
      <w:pPr>
        <w:pStyle w:val="Fotnotstext"/>
      </w:pPr>
      <w:r>
        <w:rPr>
          <w:rStyle w:val="Fotnotsreferens"/>
        </w:rPr>
        <w:footnoteRef/>
      </w:r>
      <w:r>
        <w:t xml:space="preserve"> Ibid.</w:t>
      </w:r>
    </w:p>
  </w:footnote>
  <w:footnote w:id="7">
    <w:p w14:paraId="7319CF11" w14:textId="77777777" w:rsidR="00AE3BE3" w:rsidRDefault="00AE3BE3">
      <w:pPr>
        <w:pStyle w:val="Fotnotstext"/>
      </w:pPr>
      <w:r>
        <w:rPr>
          <w:rStyle w:val="Fotnotsreferens"/>
        </w:rPr>
        <w:footnoteRef/>
      </w:r>
      <w:r>
        <w:t xml:space="preserve"> Ibid.</w:t>
      </w:r>
    </w:p>
  </w:footnote>
  <w:footnote w:id="8">
    <w:p w14:paraId="7319CF12" w14:textId="77777777" w:rsidR="00AE3BE3" w:rsidRDefault="00AE3BE3">
      <w:pPr>
        <w:pStyle w:val="Fotnotstext"/>
      </w:pPr>
      <w:r>
        <w:rPr>
          <w:rStyle w:val="Fotnotsreferens"/>
        </w:rPr>
        <w:footnoteRef/>
      </w:r>
      <w:r>
        <w:t xml:space="preserve"> Skatteverkets årsredovisning 2020.</w:t>
      </w:r>
    </w:p>
  </w:footnote>
  <w:footnote w:id="9">
    <w:p w14:paraId="7319CF13" w14:textId="77777777" w:rsidR="00AE3BE3" w:rsidRDefault="00AE3BE3">
      <w:pPr>
        <w:pStyle w:val="Fotnotstext"/>
      </w:pPr>
      <w:r>
        <w:rPr>
          <w:rStyle w:val="Fotnotsreferens"/>
        </w:rPr>
        <w:footnoteRef/>
      </w:r>
      <w:r>
        <w:t xml:space="preserve"> </w:t>
      </w:r>
      <w:r w:rsidRPr="00892A35">
        <w:t>Prop. 1980/81:17, s 11.</w:t>
      </w:r>
    </w:p>
  </w:footnote>
  <w:footnote w:id="10">
    <w:p w14:paraId="7319CF14" w14:textId="77777777" w:rsidR="00AE3BE3" w:rsidRDefault="00AE3BE3">
      <w:pPr>
        <w:pStyle w:val="Fotnotstext"/>
      </w:pPr>
      <w:r>
        <w:rPr>
          <w:rStyle w:val="Fotnotsreferens"/>
        </w:rPr>
        <w:footnoteRef/>
      </w:r>
      <w:r>
        <w:t xml:space="preserve"> </w:t>
      </w:r>
      <w:r w:rsidRPr="000F5FF9">
        <w:t>Svensson Ohlin, Ninni (2014), ”Generalklausul mot skatteflykt i Sverige och Australien”, Lunds universitet.</w:t>
      </w:r>
    </w:p>
  </w:footnote>
  <w:footnote w:id="11">
    <w:p w14:paraId="7319CF15" w14:textId="1CDFE32C" w:rsidR="00AE3BE3" w:rsidRDefault="00AE3BE3">
      <w:pPr>
        <w:pStyle w:val="Fotnotstext"/>
      </w:pPr>
      <w:r>
        <w:rPr>
          <w:rStyle w:val="Fotnotsreferens"/>
        </w:rPr>
        <w:footnoteRef/>
      </w:r>
      <w:r>
        <w:t xml:space="preserve"> </w:t>
      </w:r>
      <w:r w:rsidRPr="000F5FF9">
        <w:t xml:space="preserve">RUT, </w:t>
      </w:r>
      <w:r w:rsidR="00AA559D">
        <w:t>d</w:t>
      </w:r>
      <w:r w:rsidRPr="000F5FF9">
        <w:t>nr 2018:1054.</w:t>
      </w:r>
    </w:p>
  </w:footnote>
  <w:footnote w:id="12">
    <w:p w14:paraId="7319CF16" w14:textId="541ACBAD" w:rsidR="00AE3BE3" w:rsidRDefault="00AE3BE3">
      <w:pPr>
        <w:pStyle w:val="Fotnotstext"/>
      </w:pPr>
      <w:r>
        <w:rPr>
          <w:rStyle w:val="Fotnotsreferens"/>
        </w:rPr>
        <w:footnoteRef/>
      </w:r>
      <w:r>
        <w:t xml:space="preserve"> </w:t>
      </w:r>
      <w:r w:rsidRPr="00976AB9">
        <w:t>https://www.diakonia.se/aktuellt/nyhet/nu-forhandlar-eu-om-storforetagens-skattetransparens/</w:t>
      </w:r>
      <w:r w:rsidR="00AA559D">
        <w:t>.</w:t>
      </w:r>
    </w:p>
  </w:footnote>
  <w:footnote w:id="13">
    <w:p w14:paraId="7319CF17" w14:textId="084AE2F2" w:rsidR="00AE3BE3" w:rsidRDefault="00AE3BE3">
      <w:pPr>
        <w:pStyle w:val="Fotnotstext"/>
      </w:pPr>
      <w:r>
        <w:rPr>
          <w:rStyle w:val="Fotnotsreferens"/>
        </w:rPr>
        <w:footnoteRef/>
      </w:r>
      <w:r>
        <w:t xml:space="preserve"> </w:t>
      </w:r>
      <w:r w:rsidRPr="00750E38">
        <w:t>https://www.consilium.europa.eu/sv/policies/eu-list-of-non-cooperative-jurisdictions/</w:t>
      </w:r>
      <w:r w:rsidR="00AA559D">
        <w:t>.</w:t>
      </w:r>
    </w:p>
  </w:footnote>
  <w:footnote w:id="14">
    <w:p w14:paraId="7319CF18" w14:textId="125F973D" w:rsidR="00AE3BE3" w:rsidRDefault="00AE3BE3">
      <w:pPr>
        <w:pStyle w:val="Fotnotstext"/>
      </w:pPr>
      <w:r>
        <w:rPr>
          <w:rStyle w:val="Fotnotsreferens"/>
        </w:rPr>
        <w:footnoteRef/>
      </w:r>
      <w:r>
        <w:t xml:space="preserve"> </w:t>
      </w:r>
      <w:proofErr w:type="spellStart"/>
      <w:r>
        <w:t>Oxfam</w:t>
      </w:r>
      <w:proofErr w:type="spellEnd"/>
      <w:r>
        <w:t xml:space="preserve"> (2019), ”Off the Hook – </w:t>
      </w:r>
      <w:proofErr w:type="spellStart"/>
      <w:r>
        <w:t>How</w:t>
      </w:r>
      <w:proofErr w:type="spellEnd"/>
      <w:r>
        <w:t xml:space="preserve"> the EU is </w:t>
      </w:r>
      <w:proofErr w:type="spellStart"/>
      <w:r>
        <w:t>about</w:t>
      </w:r>
      <w:proofErr w:type="spellEnd"/>
      <w:r>
        <w:t xml:space="preserve"> to </w:t>
      </w:r>
      <w:proofErr w:type="spellStart"/>
      <w:r>
        <w:t>whitewash</w:t>
      </w:r>
      <w:proofErr w:type="spellEnd"/>
      <w:r>
        <w:t xml:space="preserve"> the </w:t>
      </w:r>
      <w:proofErr w:type="spellStart"/>
      <w:r>
        <w:t>world</w:t>
      </w:r>
      <w:r w:rsidR="00D1007F">
        <w:t>’</w:t>
      </w:r>
      <w:r>
        <w:t>s</w:t>
      </w:r>
      <w:proofErr w:type="spellEnd"/>
      <w:r>
        <w:t xml:space="preserve"> </w:t>
      </w:r>
      <w:proofErr w:type="spellStart"/>
      <w:r>
        <w:t>worst</w:t>
      </w:r>
      <w:proofErr w:type="spellEnd"/>
      <w:r>
        <w:t xml:space="preserve"> </w:t>
      </w:r>
      <w:proofErr w:type="gramStart"/>
      <w:r>
        <w:t>tax havens</w:t>
      </w:r>
      <w:proofErr w:type="gramEnd"/>
      <w:r>
        <w:t>”.</w:t>
      </w:r>
    </w:p>
  </w:footnote>
  <w:footnote w:id="15">
    <w:p w14:paraId="7319CF1A" w14:textId="0ACA9052" w:rsidR="00AE3BE3" w:rsidRPr="00D03B1E" w:rsidRDefault="00AE3BE3" w:rsidP="00720364">
      <w:pPr>
        <w:pStyle w:val="Fotnotstext"/>
      </w:pPr>
      <w:r>
        <w:rPr>
          <w:rStyle w:val="Fotnotsreferens"/>
        </w:rPr>
        <w:footnoteRef/>
      </w:r>
      <w:r>
        <w:t xml:space="preserve"> </w:t>
      </w:r>
      <w:r w:rsidRPr="00914A2E">
        <w:t>https://www.oecd.org/tax/mandatory-disclosure-rules-action-12-2015-final-report-9789264241442-en.htm</w:t>
      </w:r>
      <w:r w:rsidR="00D1007F">
        <w:t>.</w:t>
      </w:r>
    </w:p>
  </w:footnote>
  <w:footnote w:id="16">
    <w:p w14:paraId="7319CF1B" w14:textId="6C397BE2" w:rsidR="00AE3BE3" w:rsidRDefault="00AE3BE3">
      <w:pPr>
        <w:pStyle w:val="Fotnotstext"/>
      </w:pPr>
      <w:r>
        <w:rPr>
          <w:rStyle w:val="Fotnotsreferens"/>
        </w:rPr>
        <w:footnoteRef/>
      </w:r>
      <w:r>
        <w:t xml:space="preserve"> </w:t>
      </w:r>
      <w:r w:rsidRPr="00B32956">
        <w:t>http://taxjustice.wpengine.com/wp-content/uploads/2017/11/Trusts-TJN-Briefing.pdf</w:t>
      </w:r>
      <w:r w:rsidR="00F63662">
        <w:t>.</w:t>
      </w:r>
    </w:p>
  </w:footnote>
  <w:footnote w:id="17">
    <w:p w14:paraId="7319CF1C" w14:textId="4ECB74F0" w:rsidR="00AE3BE3" w:rsidRPr="00373A89" w:rsidRDefault="00AE3BE3" w:rsidP="00C607D4">
      <w:pPr>
        <w:pStyle w:val="Fotnotstext"/>
      </w:pPr>
      <w:r>
        <w:rPr>
          <w:rStyle w:val="Fotnotsreferens"/>
        </w:rPr>
        <w:footnoteRef/>
      </w:r>
      <w:r>
        <w:t xml:space="preserve"> </w:t>
      </w:r>
      <w:r w:rsidRPr="00373A89">
        <w:t>http://petersundgren.blogspot.com/</w:t>
      </w:r>
      <w:r w:rsidR="00F63662">
        <w:t>.</w:t>
      </w:r>
    </w:p>
  </w:footnote>
  <w:footnote w:id="18">
    <w:p w14:paraId="7319CF1D" w14:textId="77777777" w:rsidR="00AE3BE3" w:rsidRDefault="00AE3BE3">
      <w:pPr>
        <w:pStyle w:val="Fotnotstext"/>
      </w:pPr>
      <w:r>
        <w:rPr>
          <w:rStyle w:val="Fotnotsreferens"/>
        </w:rPr>
        <w:footnoteRef/>
      </w:r>
      <w:r>
        <w:t xml:space="preserve"> Skatteverket (2020), ”Skattefelets storlek och utveckling”.</w:t>
      </w:r>
    </w:p>
  </w:footnote>
  <w:footnote w:id="19">
    <w:p w14:paraId="7319CF1E" w14:textId="127A3E0E" w:rsidR="00AE3BE3" w:rsidRDefault="00AE3BE3">
      <w:pPr>
        <w:pStyle w:val="Fotnotstext"/>
      </w:pPr>
      <w:r>
        <w:rPr>
          <w:rStyle w:val="Fotnotsreferens"/>
        </w:rPr>
        <w:footnoteRef/>
      </w:r>
      <w:r>
        <w:t xml:space="preserve"> Som nämnts ovan försvann den svenska förmögenhetsdeklarationen i samband med att förmögenhetsskatten slopades 2007. Vänsterpartiet har länge drivit frågan att en sådan förmögenhetsdeklaration borde återinföras</w:t>
      </w:r>
      <w:r w:rsidR="00F63662">
        <w:t>, d</w:t>
      </w:r>
      <w:r>
        <w:t>els för att användas i fördelningspolitiska analyser, dels som ett sätt att motverka skatteflykt.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9CEF9" w14:textId="77777777" w:rsidR="00AE3BE3" w:rsidRDefault="00AE3BE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19CF07" wp14:editId="7319CF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19CF1F" w14:textId="77777777" w:rsidR="00AE3BE3" w:rsidRDefault="002C4FD7" w:rsidP="008103B5">
                          <w:pPr>
                            <w:jc w:val="right"/>
                          </w:pPr>
                          <w:sdt>
                            <w:sdtPr>
                              <w:alias w:val="CC_Noformat_Partikod"/>
                              <w:tag w:val="CC_Noformat_Partikod"/>
                              <w:id w:val="-53464382"/>
                              <w:placeholder>
                                <w:docPart w:val="9573722988AC4C78AEEA39F112413A97"/>
                              </w:placeholder>
                              <w:text/>
                            </w:sdtPr>
                            <w:sdtEndPr/>
                            <w:sdtContent>
                              <w:r w:rsidR="00AE3BE3">
                                <w:t>V</w:t>
                              </w:r>
                            </w:sdtContent>
                          </w:sdt>
                          <w:sdt>
                            <w:sdtPr>
                              <w:alias w:val="CC_Noformat_Partinummer"/>
                              <w:tag w:val="CC_Noformat_Partinummer"/>
                              <w:id w:val="-1709555926"/>
                              <w:placeholder>
                                <w:docPart w:val="8BAE092FA6554660B07370796B4DD8BA"/>
                              </w:placeholder>
                              <w:text/>
                            </w:sdtPr>
                            <w:sdtEndPr/>
                            <w:sdtContent>
                              <w:r w:rsidR="00AE3BE3">
                                <w:t>704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19CF0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19CF1F" w14:textId="77777777" w:rsidR="00AE3BE3" w:rsidRDefault="002C4FD7" w:rsidP="008103B5">
                    <w:pPr>
                      <w:jc w:val="right"/>
                    </w:pPr>
                    <w:sdt>
                      <w:sdtPr>
                        <w:alias w:val="CC_Noformat_Partikod"/>
                        <w:tag w:val="CC_Noformat_Partikod"/>
                        <w:id w:val="-53464382"/>
                        <w:placeholder>
                          <w:docPart w:val="9573722988AC4C78AEEA39F112413A97"/>
                        </w:placeholder>
                        <w:text/>
                      </w:sdtPr>
                      <w:sdtEndPr/>
                      <w:sdtContent>
                        <w:r w:rsidR="00AE3BE3">
                          <w:t>V</w:t>
                        </w:r>
                      </w:sdtContent>
                    </w:sdt>
                    <w:sdt>
                      <w:sdtPr>
                        <w:alias w:val="CC_Noformat_Partinummer"/>
                        <w:tag w:val="CC_Noformat_Partinummer"/>
                        <w:id w:val="-1709555926"/>
                        <w:placeholder>
                          <w:docPart w:val="8BAE092FA6554660B07370796B4DD8BA"/>
                        </w:placeholder>
                        <w:text/>
                      </w:sdtPr>
                      <w:sdtEndPr/>
                      <w:sdtContent>
                        <w:r w:rsidR="00AE3BE3">
                          <w:t>704</w:t>
                        </w:r>
                      </w:sdtContent>
                    </w:sdt>
                  </w:p>
                </w:txbxContent>
              </v:textbox>
              <w10:wrap anchorx="page"/>
            </v:shape>
          </w:pict>
        </mc:Fallback>
      </mc:AlternateContent>
    </w:r>
  </w:p>
  <w:p w14:paraId="7319CEFA" w14:textId="77777777" w:rsidR="00AE3BE3" w:rsidRPr="00293C4F" w:rsidRDefault="00AE3BE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9CEFB" w14:textId="77777777" w:rsidR="00AE3BE3" w:rsidRDefault="00AE3BE3" w:rsidP="008563AC">
    <w:pPr>
      <w:jc w:val="right"/>
    </w:pPr>
  </w:p>
  <w:p w14:paraId="7319CEFC" w14:textId="77777777" w:rsidR="00AE3BE3" w:rsidRDefault="00AE3BE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9CEFF" w14:textId="77777777" w:rsidR="00AE3BE3" w:rsidRDefault="002C4FD7" w:rsidP="008563AC">
    <w:pPr>
      <w:jc w:val="right"/>
    </w:pPr>
    <w:sdt>
      <w:sdtPr>
        <w:alias w:val="cc_Logo"/>
        <w:tag w:val="cc_Logo"/>
        <w:id w:val="-2124838662"/>
        <w:lock w:val="sdtContentLocked"/>
      </w:sdtPr>
      <w:sdtEndPr/>
      <w:sdtContent>
        <w:r w:rsidR="00AE3BE3">
          <w:rPr>
            <w:noProof/>
            <w:lang w:eastAsia="sv-SE"/>
          </w:rPr>
          <w:drawing>
            <wp:anchor distT="0" distB="0" distL="114300" distR="114300" simplePos="0" relativeHeight="251663360" behindDoc="0" locked="0" layoutInCell="1" allowOverlap="1" wp14:anchorId="7319CF09" wp14:editId="7319CF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19CF00" w14:textId="77777777" w:rsidR="00AE3BE3" w:rsidRDefault="002C4FD7" w:rsidP="00A314CF">
    <w:pPr>
      <w:pStyle w:val="FSHNormal"/>
      <w:spacing w:before="40"/>
    </w:pPr>
    <w:sdt>
      <w:sdtPr>
        <w:alias w:val="CC_Noformat_Motionstyp"/>
        <w:tag w:val="CC_Noformat_Motionstyp"/>
        <w:id w:val="1162973129"/>
        <w:lock w:val="sdtContentLocked"/>
        <w15:appearance w15:val="hidden"/>
        <w:text/>
      </w:sdtPr>
      <w:sdtEndPr/>
      <w:sdtContent>
        <w:r w:rsidR="00801C24">
          <w:t>Kommittémotion</w:t>
        </w:r>
      </w:sdtContent>
    </w:sdt>
    <w:r w:rsidR="00AE3BE3">
      <w:t xml:space="preserve"> </w:t>
    </w:r>
    <w:sdt>
      <w:sdtPr>
        <w:alias w:val="CC_Noformat_Partikod"/>
        <w:tag w:val="CC_Noformat_Partikod"/>
        <w:id w:val="1471015553"/>
        <w:text/>
      </w:sdtPr>
      <w:sdtEndPr/>
      <w:sdtContent>
        <w:r w:rsidR="00AE3BE3">
          <w:t>V</w:t>
        </w:r>
      </w:sdtContent>
    </w:sdt>
    <w:sdt>
      <w:sdtPr>
        <w:alias w:val="CC_Noformat_Partinummer"/>
        <w:tag w:val="CC_Noformat_Partinummer"/>
        <w:id w:val="-2014525982"/>
        <w:text/>
      </w:sdtPr>
      <w:sdtEndPr/>
      <w:sdtContent>
        <w:r w:rsidR="00AE3BE3">
          <w:t>704</w:t>
        </w:r>
      </w:sdtContent>
    </w:sdt>
  </w:p>
  <w:p w14:paraId="7319CF01" w14:textId="77777777" w:rsidR="00AE3BE3" w:rsidRPr="008227B3" w:rsidRDefault="002C4FD7" w:rsidP="008227B3">
    <w:pPr>
      <w:pStyle w:val="MotionTIllRiksdagen"/>
    </w:pPr>
    <w:sdt>
      <w:sdtPr>
        <w:alias w:val="CC_Boilerplate_1"/>
        <w:tag w:val="CC_Boilerplate_1"/>
        <w:id w:val="2134750458"/>
        <w:lock w:val="sdtContentLocked"/>
        <w15:appearance w15:val="hidden"/>
        <w:text/>
      </w:sdtPr>
      <w:sdtEndPr/>
      <w:sdtContent>
        <w:r w:rsidR="00AE3BE3" w:rsidRPr="008227B3">
          <w:t>Motion till riksdagen </w:t>
        </w:r>
      </w:sdtContent>
    </w:sdt>
  </w:p>
  <w:p w14:paraId="7319CF02" w14:textId="77777777" w:rsidR="00AE3BE3" w:rsidRPr="008227B3" w:rsidRDefault="002C4FD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01C2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01C24">
          <w:t>:2597</w:t>
        </w:r>
      </w:sdtContent>
    </w:sdt>
  </w:p>
  <w:p w14:paraId="7319CF03" w14:textId="77777777" w:rsidR="00AE3BE3" w:rsidRDefault="002C4FD7" w:rsidP="00E03A3D">
    <w:pPr>
      <w:pStyle w:val="Motionr"/>
    </w:pPr>
    <w:sdt>
      <w:sdtPr>
        <w:alias w:val="CC_Noformat_Avtext"/>
        <w:tag w:val="CC_Noformat_Avtext"/>
        <w:id w:val="-2020768203"/>
        <w:lock w:val="sdtContentLocked"/>
        <w15:appearance w15:val="hidden"/>
        <w:text/>
      </w:sdtPr>
      <w:sdtEndPr/>
      <w:sdtContent>
        <w:r w:rsidR="00801C24">
          <w:t>av Tony Haddou m.fl. (V)</w:t>
        </w:r>
      </w:sdtContent>
    </w:sdt>
  </w:p>
  <w:sdt>
    <w:sdtPr>
      <w:alias w:val="CC_Noformat_Rubtext"/>
      <w:tag w:val="CC_Noformat_Rubtext"/>
      <w:id w:val="-218060500"/>
      <w:lock w:val="sdtLocked"/>
      <w:text/>
    </w:sdtPr>
    <w:sdtEndPr/>
    <w:sdtContent>
      <w:p w14:paraId="7319CF04" w14:textId="77777777" w:rsidR="00AE3BE3" w:rsidRDefault="00AE3BE3" w:rsidP="00283E0F">
        <w:pPr>
          <w:pStyle w:val="FSHRub2"/>
        </w:pPr>
        <w:r>
          <w:t>Skatteflykt</w:t>
        </w:r>
      </w:p>
    </w:sdtContent>
  </w:sdt>
  <w:sdt>
    <w:sdtPr>
      <w:alias w:val="CC_Boilerplate_3"/>
      <w:tag w:val="CC_Boilerplate_3"/>
      <w:id w:val="1606463544"/>
      <w:lock w:val="sdtContentLocked"/>
      <w15:appearance w15:val="hidden"/>
      <w:text w:multiLine="1"/>
    </w:sdtPr>
    <w:sdtEndPr/>
    <w:sdtContent>
      <w:p w14:paraId="7319CF05" w14:textId="77777777" w:rsidR="00AE3BE3" w:rsidRDefault="00AE3BE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10D1021"/>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F90834"/>
    <w:multiLevelType w:val="multilevel"/>
    <w:tmpl w:val="1344767E"/>
    <w:lvl w:ilvl="0">
      <w:start w:val="1"/>
      <w:numFmt w:val="decimal"/>
      <w:pStyle w:val="Rubrik1numrerat"/>
      <w:suff w:val="space"/>
      <w:lvlText w:val="%1"/>
      <w:lvlJc w:val="left"/>
      <w:pPr>
        <w:ind w:left="928"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5"/>
  </w:num>
  <w:num w:numId="5">
    <w:abstractNumId w:val="8"/>
  </w:num>
  <w:num w:numId="6">
    <w:abstractNumId w:val="9"/>
  </w:num>
  <w:num w:numId="7">
    <w:abstractNumId w:val="3"/>
  </w:num>
  <w:num w:numId="8">
    <w:abstractNumId w:val="4"/>
  </w:num>
  <w:num w:numId="9">
    <w:abstractNumId w:val="6"/>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37EF2"/>
    <w:rsid w:val="000000E0"/>
    <w:rsid w:val="00000761"/>
    <w:rsid w:val="00000B31"/>
    <w:rsid w:val="000014AF"/>
    <w:rsid w:val="000014D3"/>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4E1"/>
    <w:rsid w:val="000156D9"/>
    <w:rsid w:val="000171D9"/>
    <w:rsid w:val="000200F6"/>
    <w:rsid w:val="0002068F"/>
    <w:rsid w:val="00021B70"/>
    <w:rsid w:val="00022F5C"/>
    <w:rsid w:val="000232AB"/>
    <w:rsid w:val="00023B9C"/>
    <w:rsid w:val="00024356"/>
    <w:rsid w:val="000243A4"/>
    <w:rsid w:val="000244D5"/>
    <w:rsid w:val="00024712"/>
    <w:rsid w:val="00024921"/>
    <w:rsid w:val="00025359"/>
    <w:rsid w:val="000269AE"/>
    <w:rsid w:val="000269D1"/>
    <w:rsid w:val="00026D19"/>
    <w:rsid w:val="0002759A"/>
    <w:rsid w:val="000300BF"/>
    <w:rsid w:val="00030869"/>
    <w:rsid w:val="00030C4D"/>
    <w:rsid w:val="000311F6"/>
    <w:rsid w:val="000314C1"/>
    <w:rsid w:val="00031AF1"/>
    <w:rsid w:val="0003208D"/>
    <w:rsid w:val="0003287D"/>
    <w:rsid w:val="00032A5E"/>
    <w:rsid w:val="00033025"/>
    <w:rsid w:val="000339BF"/>
    <w:rsid w:val="00033C04"/>
    <w:rsid w:val="00034BA8"/>
    <w:rsid w:val="000356A2"/>
    <w:rsid w:val="00035775"/>
    <w:rsid w:val="00035BF0"/>
    <w:rsid w:val="00036A17"/>
    <w:rsid w:val="00036B39"/>
    <w:rsid w:val="00036E35"/>
    <w:rsid w:val="00036E88"/>
    <w:rsid w:val="000370AD"/>
    <w:rsid w:val="00037E4A"/>
    <w:rsid w:val="000405FF"/>
    <w:rsid w:val="00040E0A"/>
    <w:rsid w:val="00040F34"/>
    <w:rsid w:val="00040F89"/>
    <w:rsid w:val="00041BE8"/>
    <w:rsid w:val="00042542"/>
    <w:rsid w:val="000426CA"/>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77B"/>
    <w:rsid w:val="00055933"/>
    <w:rsid w:val="00055B43"/>
    <w:rsid w:val="0005734F"/>
    <w:rsid w:val="000577E2"/>
    <w:rsid w:val="0006032F"/>
    <w:rsid w:val="0006039A"/>
    <w:rsid w:val="000603CF"/>
    <w:rsid w:val="0006043F"/>
    <w:rsid w:val="00061E36"/>
    <w:rsid w:val="0006339B"/>
    <w:rsid w:val="0006386B"/>
    <w:rsid w:val="0006435B"/>
    <w:rsid w:val="00064672"/>
    <w:rsid w:val="00064AE2"/>
    <w:rsid w:val="00064CB8"/>
    <w:rsid w:val="000654F6"/>
    <w:rsid w:val="0006570C"/>
    <w:rsid w:val="0006571A"/>
    <w:rsid w:val="00065CDF"/>
    <w:rsid w:val="00065CE6"/>
    <w:rsid w:val="00065FED"/>
    <w:rsid w:val="000667F9"/>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4E4"/>
    <w:rsid w:val="00074588"/>
    <w:rsid w:val="00074FAF"/>
    <w:rsid w:val="00075252"/>
    <w:rsid w:val="000756EB"/>
    <w:rsid w:val="00075B69"/>
    <w:rsid w:val="00075FA2"/>
    <w:rsid w:val="000769DA"/>
    <w:rsid w:val="0007749C"/>
    <w:rsid w:val="000777E3"/>
    <w:rsid w:val="00077950"/>
    <w:rsid w:val="000779A3"/>
    <w:rsid w:val="00077CD4"/>
    <w:rsid w:val="0008003A"/>
    <w:rsid w:val="00080390"/>
    <w:rsid w:val="000808FE"/>
    <w:rsid w:val="00080B5C"/>
    <w:rsid w:val="00082BEA"/>
    <w:rsid w:val="00083467"/>
    <w:rsid w:val="000838AB"/>
    <w:rsid w:val="000845E2"/>
    <w:rsid w:val="00084B80"/>
    <w:rsid w:val="00084C74"/>
    <w:rsid w:val="00084CE8"/>
    <w:rsid w:val="00084E2A"/>
    <w:rsid w:val="00084E38"/>
    <w:rsid w:val="000859E4"/>
    <w:rsid w:val="00086446"/>
    <w:rsid w:val="000867AF"/>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CE1"/>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280"/>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1FB2"/>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B3D"/>
    <w:rsid w:val="000E0CE1"/>
    <w:rsid w:val="000E1B08"/>
    <w:rsid w:val="000E1DD1"/>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362"/>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5FF9"/>
    <w:rsid w:val="000F6943"/>
    <w:rsid w:val="000F6951"/>
    <w:rsid w:val="000F7BDA"/>
    <w:rsid w:val="0010013B"/>
    <w:rsid w:val="001002E0"/>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030"/>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6F0"/>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CA4"/>
    <w:rsid w:val="001332AB"/>
    <w:rsid w:val="00133BE2"/>
    <w:rsid w:val="001354CF"/>
    <w:rsid w:val="0013597D"/>
    <w:rsid w:val="00135E5D"/>
    <w:rsid w:val="001364A1"/>
    <w:rsid w:val="00136BC5"/>
    <w:rsid w:val="0013783E"/>
    <w:rsid w:val="00137D27"/>
    <w:rsid w:val="00137DC4"/>
    <w:rsid w:val="00137E1A"/>
    <w:rsid w:val="00137EF2"/>
    <w:rsid w:val="00140735"/>
    <w:rsid w:val="00140854"/>
    <w:rsid w:val="00140AFA"/>
    <w:rsid w:val="00141C2A"/>
    <w:rsid w:val="0014285A"/>
    <w:rsid w:val="00143D44"/>
    <w:rsid w:val="0014498E"/>
    <w:rsid w:val="00144BFE"/>
    <w:rsid w:val="00146B8E"/>
    <w:rsid w:val="00146DB1"/>
    <w:rsid w:val="00147063"/>
    <w:rsid w:val="0014776C"/>
    <w:rsid w:val="00147EBC"/>
    <w:rsid w:val="0015004B"/>
    <w:rsid w:val="001500C1"/>
    <w:rsid w:val="00151546"/>
    <w:rsid w:val="00151EA2"/>
    <w:rsid w:val="00152D88"/>
    <w:rsid w:val="001532BF"/>
    <w:rsid w:val="0015385D"/>
    <w:rsid w:val="001544D6"/>
    <w:rsid w:val="001545B9"/>
    <w:rsid w:val="0015610E"/>
    <w:rsid w:val="0015666B"/>
    <w:rsid w:val="00156688"/>
    <w:rsid w:val="001567C6"/>
    <w:rsid w:val="00157681"/>
    <w:rsid w:val="00160034"/>
    <w:rsid w:val="00160091"/>
    <w:rsid w:val="001600AA"/>
    <w:rsid w:val="00160AE9"/>
    <w:rsid w:val="00161EC6"/>
    <w:rsid w:val="00162EFD"/>
    <w:rsid w:val="00163295"/>
    <w:rsid w:val="0016347A"/>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48D"/>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6851"/>
    <w:rsid w:val="001A6CA4"/>
    <w:rsid w:val="001A777B"/>
    <w:rsid w:val="001A78AD"/>
    <w:rsid w:val="001A7F59"/>
    <w:rsid w:val="001B0912"/>
    <w:rsid w:val="001B1273"/>
    <w:rsid w:val="001B1478"/>
    <w:rsid w:val="001B20A4"/>
    <w:rsid w:val="001B2732"/>
    <w:rsid w:val="001B33E9"/>
    <w:rsid w:val="001B481B"/>
    <w:rsid w:val="001B5424"/>
    <w:rsid w:val="001B5D6F"/>
    <w:rsid w:val="001B6645"/>
    <w:rsid w:val="001B66CE"/>
    <w:rsid w:val="001B6716"/>
    <w:rsid w:val="001B697A"/>
    <w:rsid w:val="001B7753"/>
    <w:rsid w:val="001C1DDA"/>
    <w:rsid w:val="001C2470"/>
    <w:rsid w:val="001C3B42"/>
    <w:rsid w:val="001C568D"/>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DAB"/>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4BB0"/>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304"/>
    <w:rsid w:val="00215432"/>
    <w:rsid w:val="00215AD1"/>
    <w:rsid w:val="00215B12"/>
    <w:rsid w:val="00215FE8"/>
    <w:rsid w:val="00216208"/>
    <w:rsid w:val="002166EB"/>
    <w:rsid w:val="00216C56"/>
    <w:rsid w:val="002175A5"/>
    <w:rsid w:val="00217A05"/>
    <w:rsid w:val="00217FB0"/>
    <w:rsid w:val="002201E2"/>
    <w:rsid w:val="00220CDE"/>
    <w:rsid w:val="00220DA8"/>
    <w:rsid w:val="00221B12"/>
    <w:rsid w:val="00222C9E"/>
    <w:rsid w:val="00223315"/>
    <w:rsid w:val="00223328"/>
    <w:rsid w:val="0022373F"/>
    <w:rsid w:val="00224466"/>
    <w:rsid w:val="00225404"/>
    <w:rsid w:val="002257F5"/>
    <w:rsid w:val="00230143"/>
    <w:rsid w:val="0023042C"/>
    <w:rsid w:val="00231E1F"/>
    <w:rsid w:val="0023268C"/>
    <w:rsid w:val="00232A75"/>
    <w:rsid w:val="00232D3A"/>
    <w:rsid w:val="00233501"/>
    <w:rsid w:val="002336C7"/>
    <w:rsid w:val="002344F4"/>
    <w:rsid w:val="00234A25"/>
    <w:rsid w:val="00234D2A"/>
    <w:rsid w:val="002350F5"/>
    <w:rsid w:val="00235535"/>
    <w:rsid w:val="0023665B"/>
    <w:rsid w:val="0023767D"/>
    <w:rsid w:val="00237947"/>
    <w:rsid w:val="00237A4F"/>
    <w:rsid w:val="00237EA6"/>
    <w:rsid w:val="00240007"/>
    <w:rsid w:val="002400E7"/>
    <w:rsid w:val="00240196"/>
    <w:rsid w:val="002409D2"/>
    <w:rsid w:val="002415C3"/>
    <w:rsid w:val="00241A86"/>
    <w:rsid w:val="00241B75"/>
    <w:rsid w:val="00242295"/>
    <w:rsid w:val="002425D0"/>
    <w:rsid w:val="00242A12"/>
    <w:rsid w:val="00242E25"/>
    <w:rsid w:val="00243594"/>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ED9"/>
    <w:rsid w:val="00256E82"/>
    <w:rsid w:val="00257C37"/>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2AC"/>
    <w:rsid w:val="002700E9"/>
    <w:rsid w:val="00270A2E"/>
    <w:rsid w:val="00270B86"/>
    <w:rsid w:val="00271278"/>
    <w:rsid w:val="002712C4"/>
    <w:rsid w:val="002720E5"/>
    <w:rsid w:val="002722F2"/>
    <w:rsid w:val="002737AD"/>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CD"/>
    <w:rsid w:val="00286FD6"/>
    <w:rsid w:val="002871B2"/>
    <w:rsid w:val="00287E4A"/>
    <w:rsid w:val="002900CF"/>
    <w:rsid w:val="002923F3"/>
    <w:rsid w:val="00292ECB"/>
    <w:rsid w:val="0029328D"/>
    <w:rsid w:val="00293810"/>
    <w:rsid w:val="00293C4F"/>
    <w:rsid w:val="00293D90"/>
    <w:rsid w:val="00294728"/>
    <w:rsid w:val="002947AF"/>
    <w:rsid w:val="002949CD"/>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82C"/>
    <w:rsid w:val="002A2A83"/>
    <w:rsid w:val="002A2BB4"/>
    <w:rsid w:val="002A2EA1"/>
    <w:rsid w:val="002A3955"/>
    <w:rsid w:val="002A3C6C"/>
    <w:rsid w:val="002A3EE7"/>
    <w:rsid w:val="002A4323"/>
    <w:rsid w:val="002A49B7"/>
    <w:rsid w:val="002A4E10"/>
    <w:rsid w:val="002A5523"/>
    <w:rsid w:val="002A5E89"/>
    <w:rsid w:val="002A63C7"/>
    <w:rsid w:val="002A67E2"/>
    <w:rsid w:val="002A7116"/>
    <w:rsid w:val="002A7737"/>
    <w:rsid w:val="002B0EC2"/>
    <w:rsid w:val="002B0FB4"/>
    <w:rsid w:val="002B1874"/>
    <w:rsid w:val="002B1B4E"/>
    <w:rsid w:val="002B1DD3"/>
    <w:rsid w:val="002B2021"/>
    <w:rsid w:val="002B21B2"/>
    <w:rsid w:val="002B221E"/>
    <w:rsid w:val="002B2317"/>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4FD7"/>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973"/>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1C5"/>
    <w:rsid w:val="002F2617"/>
    <w:rsid w:val="002F295A"/>
    <w:rsid w:val="002F298C"/>
    <w:rsid w:val="002F2F9E"/>
    <w:rsid w:val="002F3291"/>
    <w:rsid w:val="002F3404"/>
    <w:rsid w:val="002F3D93"/>
    <w:rsid w:val="002F4358"/>
    <w:rsid w:val="002F4437"/>
    <w:rsid w:val="002F4843"/>
    <w:rsid w:val="002F5321"/>
    <w:rsid w:val="002F60C4"/>
    <w:rsid w:val="002F6E41"/>
    <w:rsid w:val="003010E0"/>
    <w:rsid w:val="003032C9"/>
    <w:rsid w:val="00303C09"/>
    <w:rsid w:val="0030446D"/>
    <w:rsid w:val="00304C80"/>
    <w:rsid w:val="00304E25"/>
    <w:rsid w:val="0030531E"/>
    <w:rsid w:val="003053E0"/>
    <w:rsid w:val="0030562F"/>
    <w:rsid w:val="00307246"/>
    <w:rsid w:val="00310241"/>
    <w:rsid w:val="00310461"/>
    <w:rsid w:val="00311A20"/>
    <w:rsid w:val="00311EB7"/>
    <w:rsid w:val="00312304"/>
    <w:rsid w:val="003123AB"/>
    <w:rsid w:val="00313374"/>
    <w:rsid w:val="00313E6D"/>
    <w:rsid w:val="00314099"/>
    <w:rsid w:val="003140DC"/>
    <w:rsid w:val="0031417D"/>
    <w:rsid w:val="00314292"/>
    <w:rsid w:val="00314D2A"/>
    <w:rsid w:val="00314E5A"/>
    <w:rsid w:val="00316334"/>
    <w:rsid w:val="0031675A"/>
    <w:rsid w:val="00316DC7"/>
    <w:rsid w:val="003170AE"/>
    <w:rsid w:val="00317544"/>
    <w:rsid w:val="00317A26"/>
    <w:rsid w:val="00317AE4"/>
    <w:rsid w:val="00317FAB"/>
    <w:rsid w:val="00320780"/>
    <w:rsid w:val="00321173"/>
    <w:rsid w:val="003211C8"/>
    <w:rsid w:val="00321492"/>
    <w:rsid w:val="0032169A"/>
    <w:rsid w:val="0032197E"/>
    <w:rsid w:val="003224B5"/>
    <w:rsid w:val="003226A0"/>
    <w:rsid w:val="003229EC"/>
    <w:rsid w:val="003232C5"/>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15D"/>
    <w:rsid w:val="003307CC"/>
    <w:rsid w:val="00330FA2"/>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5F4"/>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DC3"/>
    <w:rsid w:val="0036515B"/>
    <w:rsid w:val="00365CB8"/>
    <w:rsid w:val="00365ED9"/>
    <w:rsid w:val="00366306"/>
    <w:rsid w:val="00370C71"/>
    <w:rsid w:val="003711D4"/>
    <w:rsid w:val="0037271B"/>
    <w:rsid w:val="00373A89"/>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546"/>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0F6B"/>
    <w:rsid w:val="003B1AFC"/>
    <w:rsid w:val="003B2109"/>
    <w:rsid w:val="003B2154"/>
    <w:rsid w:val="003B2811"/>
    <w:rsid w:val="003B2CE4"/>
    <w:rsid w:val="003B306A"/>
    <w:rsid w:val="003B38E9"/>
    <w:rsid w:val="003B412E"/>
    <w:rsid w:val="003B6B71"/>
    <w:rsid w:val="003B7796"/>
    <w:rsid w:val="003C06ED"/>
    <w:rsid w:val="003C0D8C"/>
    <w:rsid w:val="003C0E35"/>
    <w:rsid w:val="003C10FB"/>
    <w:rsid w:val="003C1239"/>
    <w:rsid w:val="003C1A2D"/>
    <w:rsid w:val="003C2383"/>
    <w:rsid w:val="003C267A"/>
    <w:rsid w:val="003C28AE"/>
    <w:rsid w:val="003C2D24"/>
    <w:rsid w:val="003C3343"/>
    <w:rsid w:val="003C33E3"/>
    <w:rsid w:val="003C47BD"/>
    <w:rsid w:val="003C48F5"/>
    <w:rsid w:val="003C4DA1"/>
    <w:rsid w:val="003C6151"/>
    <w:rsid w:val="003C70EA"/>
    <w:rsid w:val="003C7235"/>
    <w:rsid w:val="003C72A0"/>
    <w:rsid w:val="003C77FA"/>
    <w:rsid w:val="003D0371"/>
    <w:rsid w:val="003D0D72"/>
    <w:rsid w:val="003D122F"/>
    <w:rsid w:val="003D2107"/>
    <w:rsid w:val="003D2C8C"/>
    <w:rsid w:val="003D3534"/>
    <w:rsid w:val="003D3D91"/>
    <w:rsid w:val="003D4127"/>
    <w:rsid w:val="003D47DF"/>
    <w:rsid w:val="003D4C5B"/>
    <w:rsid w:val="003D4FF2"/>
    <w:rsid w:val="003D51A4"/>
    <w:rsid w:val="003D69B6"/>
    <w:rsid w:val="003D7FDF"/>
    <w:rsid w:val="003E0A33"/>
    <w:rsid w:val="003E0C1A"/>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DE9"/>
    <w:rsid w:val="003E7028"/>
    <w:rsid w:val="003F0C65"/>
    <w:rsid w:val="003F0DD3"/>
    <w:rsid w:val="003F11B3"/>
    <w:rsid w:val="003F141F"/>
    <w:rsid w:val="003F1473"/>
    <w:rsid w:val="003F1CA9"/>
    <w:rsid w:val="003F1E52"/>
    <w:rsid w:val="003F2909"/>
    <w:rsid w:val="003F2D43"/>
    <w:rsid w:val="003F4798"/>
    <w:rsid w:val="003F4B69"/>
    <w:rsid w:val="003F6835"/>
    <w:rsid w:val="003F71DB"/>
    <w:rsid w:val="003F72C9"/>
    <w:rsid w:val="003F75A4"/>
    <w:rsid w:val="003F75CF"/>
    <w:rsid w:val="0040013A"/>
    <w:rsid w:val="0040054D"/>
    <w:rsid w:val="00401163"/>
    <w:rsid w:val="0040265C"/>
    <w:rsid w:val="00402AA0"/>
    <w:rsid w:val="00402C37"/>
    <w:rsid w:val="00402F29"/>
    <w:rsid w:val="004037AA"/>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A5D"/>
    <w:rsid w:val="00412D35"/>
    <w:rsid w:val="00412D8B"/>
    <w:rsid w:val="00413DE2"/>
    <w:rsid w:val="004149BA"/>
    <w:rsid w:val="004156F1"/>
    <w:rsid w:val="00415B2B"/>
    <w:rsid w:val="00416089"/>
    <w:rsid w:val="0041627E"/>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4B8"/>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4ED"/>
    <w:rsid w:val="00441D50"/>
    <w:rsid w:val="0044336A"/>
    <w:rsid w:val="00443989"/>
    <w:rsid w:val="00443EB4"/>
    <w:rsid w:val="0044488E"/>
    <w:rsid w:val="00444B14"/>
    <w:rsid w:val="00444FE1"/>
    <w:rsid w:val="0044506D"/>
    <w:rsid w:val="004453A3"/>
    <w:rsid w:val="00445847"/>
    <w:rsid w:val="00445EB2"/>
    <w:rsid w:val="00446932"/>
    <w:rsid w:val="00446C4A"/>
    <w:rsid w:val="00446DBB"/>
    <w:rsid w:val="00446EB0"/>
    <w:rsid w:val="00446F11"/>
    <w:rsid w:val="00446FE9"/>
    <w:rsid w:val="0044767E"/>
    <w:rsid w:val="00450331"/>
    <w:rsid w:val="00450E13"/>
    <w:rsid w:val="00451074"/>
    <w:rsid w:val="0045138C"/>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B1D"/>
    <w:rsid w:val="00463CE7"/>
    <w:rsid w:val="00463DD7"/>
    <w:rsid w:val="00463ED3"/>
    <w:rsid w:val="00466051"/>
    <w:rsid w:val="0046618A"/>
    <w:rsid w:val="00466424"/>
    <w:rsid w:val="004666A3"/>
    <w:rsid w:val="00467151"/>
    <w:rsid w:val="004671C7"/>
    <w:rsid w:val="00467873"/>
    <w:rsid w:val="0046792C"/>
    <w:rsid w:val="0047003B"/>
    <w:rsid w:val="004700E1"/>
    <w:rsid w:val="004703A7"/>
    <w:rsid w:val="004705F3"/>
    <w:rsid w:val="00470AE9"/>
    <w:rsid w:val="00470B41"/>
    <w:rsid w:val="00470D1B"/>
    <w:rsid w:val="004712D2"/>
    <w:rsid w:val="00472CF1"/>
    <w:rsid w:val="004731B7"/>
    <w:rsid w:val="00473426"/>
    <w:rsid w:val="00474043"/>
    <w:rsid w:val="004745C8"/>
    <w:rsid w:val="004745FC"/>
    <w:rsid w:val="004749E0"/>
    <w:rsid w:val="0047554D"/>
    <w:rsid w:val="00476663"/>
    <w:rsid w:val="00476A7B"/>
    <w:rsid w:val="00476CDA"/>
    <w:rsid w:val="00477162"/>
    <w:rsid w:val="004774BF"/>
    <w:rsid w:val="00477F07"/>
    <w:rsid w:val="004801AC"/>
    <w:rsid w:val="00480D74"/>
    <w:rsid w:val="004822AA"/>
    <w:rsid w:val="00482C50"/>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A6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062"/>
    <w:rsid w:val="004B2503"/>
    <w:rsid w:val="004B262F"/>
    <w:rsid w:val="004B27C4"/>
    <w:rsid w:val="004B2A0F"/>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BEE"/>
    <w:rsid w:val="004D3929"/>
    <w:rsid w:val="004D3C78"/>
    <w:rsid w:val="004D471C"/>
    <w:rsid w:val="004D49F8"/>
    <w:rsid w:val="004D50EE"/>
    <w:rsid w:val="004D61FF"/>
    <w:rsid w:val="004D6C19"/>
    <w:rsid w:val="004D6C6B"/>
    <w:rsid w:val="004D71B8"/>
    <w:rsid w:val="004D772D"/>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FE6"/>
    <w:rsid w:val="004F10F0"/>
    <w:rsid w:val="004F1398"/>
    <w:rsid w:val="004F2C12"/>
    <w:rsid w:val="004F2C26"/>
    <w:rsid w:val="004F2EB8"/>
    <w:rsid w:val="004F35FE"/>
    <w:rsid w:val="004F43F8"/>
    <w:rsid w:val="004F50AF"/>
    <w:rsid w:val="004F529B"/>
    <w:rsid w:val="004F5A7B"/>
    <w:rsid w:val="004F5E69"/>
    <w:rsid w:val="004F64AD"/>
    <w:rsid w:val="004F6B7F"/>
    <w:rsid w:val="004F7611"/>
    <w:rsid w:val="004F7752"/>
    <w:rsid w:val="00500AF3"/>
    <w:rsid w:val="00500CF1"/>
    <w:rsid w:val="00500E24"/>
    <w:rsid w:val="00501184"/>
    <w:rsid w:val="005017A6"/>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157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967"/>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2DA8"/>
    <w:rsid w:val="00562E63"/>
    <w:rsid w:val="00563E63"/>
    <w:rsid w:val="0056434F"/>
    <w:rsid w:val="0056539C"/>
    <w:rsid w:val="00565611"/>
    <w:rsid w:val="005656F2"/>
    <w:rsid w:val="00566CDC"/>
    <w:rsid w:val="00566D2D"/>
    <w:rsid w:val="00567212"/>
    <w:rsid w:val="005678B2"/>
    <w:rsid w:val="00570644"/>
    <w:rsid w:val="0057199F"/>
    <w:rsid w:val="00571F90"/>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58C4"/>
    <w:rsid w:val="0059712A"/>
    <w:rsid w:val="0059792E"/>
    <w:rsid w:val="00597A89"/>
    <w:rsid w:val="005A0393"/>
    <w:rsid w:val="005A19A4"/>
    <w:rsid w:val="005A1A53"/>
    <w:rsid w:val="005A1A59"/>
    <w:rsid w:val="005A32CE"/>
    <w:rsid w:val="005A3829"/>
    <w:rsid w:val="005A3BEF"/>
    <w:rsid w:val="005A47C9"/>
    <w:rsid w:val="005A4C2B"/>
    <w:rsid w:val="005A4E53"/>
    <w:rsid w:val="005A5766"/>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AF0"/>
    <w:rsid w:val="005C035B"/>
    <w:rsid w:val="005C06AF"/>
    <w:rsid w:val="005C0B2B"/>
    <w:rsid w:val="005C0E01"/>
    <w:rsid w:val="005C10E1"/>
    <w:rsid w:val="005C14C9"/>
    <w:rsid w:val="005C19B1"/>
    <w:rsid w:val="005C267F"/>
    <w:rsid w:val="005C28C0"/>
    <w:rsid w:val="005C3BB1"/>
    <w:rsid w:val="005C3F29"/>
    <w:rsid w:val="005C45B7"/>
    <w:rsid w:val="005C4A81"/>
    <w:rsid w:val="005C5A53"/>
    <w:rsid w:val="005C5AA2"/>
    <w:rsid w:val="005C5E9C"/>
    <w:rsid w:val="005C63BF"/>
    <w:rsid w:val="005C6438"/>
    <w:rsid w:val="005C6E36"/>
    <w:rsid w:val="005C72F5"/>
    <w:rsid w:val="005C7AF5"/>
    <w:rsid w:val="005C7C29"/>
    <w:rsid w:val="005C7E50"/>
    <w:rsid w:val="005D0863"/>
    <w:rsid w:val="005D1FCA"/>
    <w:rsid w:val="005D2590"/>
    <w:rsid w:val="005D2AEC"/>
    <w:rsid w:val="005D3C5D"/>
    <w:rsid w:val="005D5A19"/>
    <w:rsid w:val="005D60F6"/>
    <w:rsid w:val="005D6840"/>
    <w:rsid w:val="005D6A9E"/>
    <w:rsid w:val="005D6B44"/>
    <w:rsid w:val="005D6E77"/>
    <w:rsid w:val="005D7058"/>
    <w:rsid w:val="005D78C0"/>
    <w:rsid w:val="005E00CF"/>
    <w:rsid w:val="005E1016"/>
    <w:rsid w:val="005E1161"/>
    <w:rsid w:val="005E13A4"/>
    <w:rsid w:val="005E1482"/>
    <w:rsid w:val="005E16E0"/>
    <w:rsid w:val="005E18FF"/>
    <w:rsid w:val="005E2716"/>
    <w:rsid w:val="005E282D"/>
    <w:rsid w:val="005E31AD"/>
    <w:rsid w:val="005E3559"/>
    <w:rsid w:val="005E40F6"/>
    <w:rsid w:val="005E413E"/>
    <w:rsid w:val="005E42A9"/>
    <w:rsid w:val="005E42D9"/>
    <w:rsid w:val="005E46B4"/>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37D8"/>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4F93"/>
    <w:rsid w:val="006153A5"/>
    <w:rsid w:val="00615D9F"/>
    <w:rsid w:val="00615FDF"/>
    <w:rsid w:val="00616034"/>
    <w:rsid w:val="0061629F"/>
    <w:rsid w:val="006164D3"/>
    <w:rsid w:val="00616AA7"/>
    <w:rsid w:val="006178CA"/>
    <w:rsid w:val="00617DA9"/>
    <w:rsid w:val="00620473"/>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75D"/>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37E2C"/>
    <w:rsid w:val="00637E78"/>
    <w:rsid w:val="00640995"/>
    <w:rsid w:val="00640DDC"/>
    <w:rsid w:val="006414B6"/>
    <w:rsid w:val="006415A6"/>
    <w:rsid w:val="00641804"/>
    <w:rsid w:val="00641E68"/>
    <w:rsid w:val="00642242"/>
    <w:rsid w:val="00642B40"/>
    <w:rsid w:val="00642BEB"/>
    <w:rsid w:val="00642E7D"/>
    <w:rsid w:val="006432AE"/>
    <w:rsid w:val="00643615"/>
    <w:rsid w:val="00644247"/>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148"/>
    <w:rsid w:val="00654A01"/>
    <w:rsid w:val="00654B01"/>
    <w:rsid w:val="006554FE"/>
    <w:rsid w:val="006555E8"/>
    <w:rsid w:val="00656257"/>
    <w:rsid w:val="00656D71"/>
    <w:rsid w:val="0065708F"/>
    <w:rsid w:val="0066104F"/>
    <w:rsid w:val="00661278"/>
    <w:rsid w:val="00662796"/>
    <w:rsid w:val="006629C4"/>
    <w:rsid w:val="00662A20"/>
    <w:rsid w:val="00662B4C"/>
    <w:rsid w:val="006633C8"/>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B4C"/>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517"/>
    <w:rsid w:val="00690252"/>
    <w:rsid w:val="00690E0D"/>
    <w:rsid w:val="00692476"/>
    <w:rsid w:val="00692BFC"/>
    <w:rsid w:val="00692EC8"/>
    <w:rsid w:val="00693032"/>
    <w:rsid w:val="006934C8"/>
    <w:rsid w:val="00693B89"/>
    <w:rsid w:val="00693BBE"/>
    <w:rsid w:val="00694559"/>
    <w:rsid w:val="00694641"/>
    <w:rsid w:val="00694848"/>
    <w:rsid w:val="00694902"/>
    <w:rsid w:val="00695586"/>
    <w:rsid w:val="006963AF"/>
    <w:rsid w:val="00696B2A"/>
    <w:rsid w:val="00697084"/>
    <w:rsid w:val="00697223"/>
    <w:rsid w:val="00697CD5"/>
    <w:rsid w:val="006A06B2"/>
    <w:rsid w:val="006A0C0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0A6F"/>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2EC4"/>
    <w:rsid w:val="006C31D1"/>
    <w:rsid w:val="006C3234"/>
    <w:rsid w:val="006C37E6"/>
    <w:rsid w:val="006C3B16"/>
    <w:rsid w:val="006C4B9F"/>
    <w:rsid w:val="006C4E9A"/>
    <w:rsid w:val="006C5179"/>
    <w:rsid w:val="006C5E6C"/>
    <w:rsid w:val="006C7A36"/>
    <w:rsid w:val="006D01C3"/>
    <w:rsid w:val="006D0B01"/>
    <w:rsid w:val="006D0B69"/>
    <w:rsid w:val="006D12A9"/>
    <w:rsid w:val="006D1416"/>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8E7"/>
    <w:rsid w:val="006E3443"/>
    <w:rsid w:val="006E3953"/>
    <w:rsid w:val="006E3A86"/>
    <w:rsid w:val="006E3D10"/>
    <w:rsid w:val="006E413C"/>
    <w:rsid w:val="006E4AAB"/>
    <w:rsid w:val="006E4C3E"/>
    <w:rsid w:val="006E552F"/>
    <w:rsid w:val="006E6E07"/>
    <w:rsid w:val="006E6E39"/>
    <w:rsid w:val="006E77CC"/>
    <w:rsid w:val="006E7DB7"/>
    <w:rsid w:val="006E7E27"/>
    <w:rsid w:val="006F032D"/>
    <w:rsid w:val="006F07EB"/>
    <w:rsid w:val="006F082D"/>
    <w:rsid w:val="006F11FB"/>
    <w:rsid w:val="006F1C25"/>
    <w:rsid w:val="006F2278"/>
    <w:rsid w:val="006F23DF"/>
    <w:rsid w:val="006F2B39"/>
    <w:rsid w:val="006F3579"/>
    <w:rsid w:val="006F3D7E"/>
    <w:rsid w:val="006F4134"/>
    <w:rsid w:val="006F4DA4"/>
    <w:rsid w:val="006F4E1E"/>
    <w:rsid w:val="006F4F37"/>
    <w:rsid w:val="006F4FAF"/>
    <w:rsid w:val="006F54D4"/>
    <w:rsid w:val="006F5E5A"/>
    <w:rsid w:val="006F6527"/>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0F5"/>
    <w:rsid w:val="007057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64"/>
    <w:rsid w:val="007203E8"/>
    <w:rsid w:val="00720492"/>
    <w:rsid w:val="0072057F"/>
    <w:rsid w:val="00720B21"/>
    <w:rsid w:val="007210D0"/>
    <w:rsid w:val="00721417"/>
    <w:rsid w:val="00721BAD"/>
    <w:rsid w:val="00722159"/>
    <w:rsid w:val="00722365"/>
    <w:rsid w:val="00722DAE"/>
    <w:rsid w:val="00724058"/>
    <w:rsid w:val="007247E3"/>
    <w:rsid w:val="00724B9A"/>
    <w:rsid w:val="00724C96"/>
    <w:rsid w:val="00724FCF"/>
    <w:rsid w:val="00725B6E"/>
    <w:rsid w:val="00726E82"/>
    <w:rsid w:val="00726F6B"/>
    <w:rsid w:val="00727716"/>
    <w:rsid w:val="0073008F"/>
    <w:rsid w:val="00731450"/>
    <w:rsid w:val="007315F1"/>
    <w:rsid w:val="007316F8"/>
    <w:rsid w:val="00731BE4"/>
    <w:rsid w:val="00731C66"/>
    <w:rsid w:val="0073211E"/>
    <w:rsid w:val="0073289D"/>
    <w:rsid w:val="00732A34"/>
    <w:rsid w:val="00732BA4"/>
    <w:rsid w:val="007340C5"/>
    <w:rsid w:val="00734303"/>
    <w:rsid w:val="0073433F"/>
    <w:rsid w:val="0073451B"/>
    <w:rsid w:val="00734644"/>
    <w:rsid w:val="00734AD0"/>
    <w:rsid w:val="00734B33"/>
    <w:rsid w:val="0073573B"/>
    <w:rsid w:val="00735B23"/>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834"/>
    <w:rsid w:val="00745CDA"/>
    <w:rsid w:val="00746376"/>
    <w:rsid w:val="00750A72"/>
    <w:rsid w:val="00750E38"/>
    <w:rsid w:val="00750F09"/>
    <w:rsid w:val="0075146D"/>
    <w:rsid w:val="00751817"/>
    <w:rsid w:val="00751DF5"/>
    <w:rsid w:val="00751E99"/>
    <w:rsid w:val="00752EC4"/>
    <w:rsid w:val="00753410"/>
    <w:rsid w:val="007534E9"/>
    <w:rsid w:val="00754630"/>
    <w:rsid w:val="00754668"/>
    <w:rsid w:val="00755447"/>
    <w:rsid w:val="007556B6"/>
    <w:rsid w:val="007558B3"/>
    <w:rsid w:val="00755D11"/>
    <w:rsid w:val="0075632D"/>
    <w:rsid w:val="00756606"/>
    <w:rsid w:val="00757633"/>
    <w:rsid w:val="00757D0A"/>
    <w:rsid w:val="007604D8"/>
    <w:rsid w:val="007606E7"/>
    <w:rsid w:val="00760C5A"/>
    <w:rsid w:val="00760CDA"/>
    <w:rsid w:val="0076159E"/>
    <w:rsid w:val="00761CC9"/>
    <w:rsid w:val="00762EC4"/>
    <w:rsid w:val="00763C42"/>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560"/>
    <w:rsid w:val="00776ADE"/>
    <w:rsid w:val="00776B74"/>
    <w:rsid w:val="0077726C"/>
    <w:rsid w:val="0077752D"/>
    <w:rsid w:val="00777AFE"/>
    <w:rsid w:val="00780138"/>
    <w:rsid w:val="00780983"/>
    <w:rsid w:val="00780D19"/>
    <w:rsid w:val="00780D42"/>
    <w:rsid w:val="0078119B"/>
    <w:rsid w:val="007815CE"/>
    <w:rsid w:val="00781948"/>
    <w:rsid w:val="00782142"/>
    <w:rsid w:val="00782675"/>
    <w:rsid w:val="00782700"/>
    <w:rsid w:val="007828FE"/>
    <w:rsid w:val="007830AA"/>
    <w:rsid w:val="007831ED"/>
    <w:rsid w:val="0078357B"/>
    <w:rsid w:val="00783F5C"/>
    <w:rsid w:val="007841C0"/>
    <w:rsid w:val="0078475A"/>
    <w:rsid w:val="00784ABF"/>
    <w:rsid w:val="0078589B"/>
    <w:rsid w:val="00785BA9"/>
    <w:rsid w:val="00785E36"/>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73"/>
    <w:rsid w:val="00796712"/>
    <w:rsid w:val="00796D81"/>
    <w:rsid w:val="00797AA2"/>
    <w:rsid w:val="00797D05"/>
    <w:rsid w:val="00797EB5"/>
    <w:rsid w:val="007A00B0"/>
    <w:rsid w:val="007A07C4"/>
    <w:rsid w:val="007A1098"/>
    <w:rsid w:val="007A1337"/>
    <w:rsid w:val="007A35D2"/>
    <w:rsid w:val="007A3769"/>
    <w:rsid w:val="007A37CB"/>
    <w:rsid w:val="007A3A83"/>
    <w:rsid w:val="007A3DA1"/>
    <w:rsid w:val="007A4BC1"/>
    <w:rsid w:val="007A4C4F"/>
    <w:rsid w:val="007A4CE4"/>
    <w:rsid w:val="007A50CB"/>
    <w:rsid w:val="007A5507"/>
    <w:rsid w:val="007A5774"/>
    <w:rsid w:val="007A6574"/>
    <w:rsid w:val="007A69D7"/>
    <w:rsid w:val="007A6F46"/>
    <w:rsid w:val="007A71CD"/>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08B"/>
    <w:rsid w:val="007B52F2"/>
    <w:rsid w:val="007B540B"/>
    <w:rsid w:val="007B571B"/>
    <w:rsid w:val="007B6A85"/>
    <w:rsid w:val="007B7537"/>
    <w:rsid w:val="007B7F1B"/>
    <w:rsid w:val="007B7FF9"/>
    <w:rsid w:val="007C08AD"/>
    <w:rsid w:val="007C0B1C"/>
    <w:rsid w:val="007C1609"/>
    <w:rsid w:val="007C1B4A"/>
    <w:rsid w:val="007C28E7"/>
    <w:rsid w:val="007C369A"/>
    <w:rsid w:val="007C369C"/>
    <w:rsid w:val="007C3E7E"/>
    <w:rsid w:val="007C548E"/>
    <w:rsid w:val="007C5B5C"/>
    <w:rsid w:val="007C5B92"/>
    <w:rsid w:val="007C5E76"/>
    <w:rsid w:val="007C5E86"/>
    <w:rsid w:val="007C6310"/>
    <w:rsid w:val="007C681E"/>
    <w:rsid w:val="007C780D"/>
    <w:rsid w:val="007C7B47"/>
    <w:rsid w:val="007D0159"/>
    <w:rsid w:val="007D0597"/>
    <w:rsid w:val="007D162C"/>
    <w:rsid w:val="007D1A58"/>
    <w:rsid w:val="007D2312"/>
    <w:rsid w:val="007D246F"/>
    <w:rsid w:val="007D3F57"/>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582"/>
    <w:rsid w:val="007E4F5B"/>
    <w:rsid w:val="007E599F"/>
    <w:rsid w:val="007E5A9A"/>
    <w:rsid w:val="007E6F88"/>
    <w:rsid w:val="007E7007"/>
    <w:rsid w:val="007E70CB"/>
    <w:rsid w:val="007E7298"/>
    <w:rsid w:val="007F0212"/>
    <w:rsid w:val="007F04AC"/>
    <w:rsid w:val="007F0655"/>
    <w:rsid w:val="007F1093"/>
    <w:rsid w:val="007F17C9"/>
    <w:rsid w:val="007F1E8E"/>
    <w:rsid w:val="007F2008"/>
    <w:rsid w:val="007F22A4"/>
    <w:rsid w:val="007F253D"/>
    <w:rsid w:val="007F28B3"/>
    <w:rsid w:val="007F28DC"/>
    <w:rsid w:val="007F29C5"/>
    <w:rsid w:val="007F2ED3"/>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C24"/>
    <w:rsid w:val="00801F41"/>
    <w:rsid w:val="00801F58"/>
    <w:rsid w:val="00802901"/>
    <w:rsid w:val="00802983"/>
    <w:rsid w:val="00802F21"/>
    <w:rsid w:val="00802FBF"/>
    <w:rsid w:val="008033C5"/>
    <w:rsid w:val="008039FB"/>
    <w:rsid w:val="00803BBD"/>
    <w:rsid w:val="0080446B"/>
    <w:rsid w:val="0080549D"/>
    <w:rsid w:val="00805573"/>
    <w:rsid w:val="00805EC4"/>
    <w:rsid w:val="00806296"/>
    <w:rsid w:val="00806BAE"/>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6E1"/>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49F4"/>
    <w:rsid w:val="00825D07"/>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D93"/>
    <w:rsid w:val="00840FAF"/>
    <w:rsid w:val="00841012"/>
    <w:rsid w:val="0084155B"/>
    <w:rsid w:val="0084156D"/>
    <w:rsid w:val="008424FA"/>
    <w:rsid w:val="00842CFA"/>
    <w:rsid w:val="00842EAC"/>
    <w:rsid w:val="00843650"/>
    <w:rsid w:val="00843CEF"/>
    <w:rsid w:val="00843DED"/>
    <w:rsid w:val="00844AA7"/>
    <w:rsid w:val="00844EAA"/>
    <w:rsid w:val="00845483"/>
    <w:rsid w:val="00845D32"/>
    <w:rsid w:val="008462B6"/>
    <w:rsid w:val="00847424"/>
    <w:rsid w:val="00850645"/>
    <w:rsid w:val="008512DF"/>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5723"/>
    <w:rsid w:val="0088630D"/>
    <w:rsid w:val="008874DD"/>
    <w:rsid w:val="0088753B"/>
    <w:rsid w:val="00887853"/>
    <w:rsid w:val="00887F8A"/>
    <w:rsid w:val="00890486"/>
    <w:rsid w:val="00890724"/>
    <w:rsid w:val="00891A8C"/>
    <w:rsid w:val="00891C99"/>
    <w:rsid w:val="00892A35"/>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281"/>
    <w:rsid w:val="008A5A1A"/>
    <w:rsid w:val="008A5D72"/>
    <w:rsid w:val="008A66F3"/>
    <w:rsid w:val="008A691E"/>
    <w:rsid w:val="008A7096"/>
    <w:rsid w:val="008A7A70"/>
    <w:rsid w:val="008B0E28"/>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C7729"/>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20"/>
    <w:rsid w:val="008E07A5"/>
    <w:rsid w:val="008E0FE2"/>
    <w:rsid w:val="008E1B42"/>
    <w:rsid w:val="008E1F7F"/>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1E0B"/>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846"/>
    <w:rsid w:val="00900DFF"/>
    <w:rsid w:val="00900EB8"/>
    <w:rsid w:val="0090172D"/>
    <w:rsid w:val="0090195A"/>
    <w:rsid w:val="00902AB6"/>
    <w:rsid w:val="00902EE4"/>
    <w:rsid w:val="00903C78"/>
    <w:rsid w:val="00903FEE"/>
    <w:rsid w:val="009043FE"/>
    <w:rsid w:val="009044E4"/>
    <w:rsid w:val="00904770"/>
    <w:rsid w:val="00904DBD"/>
    <w:rsid w:val="0090574E"/>
    <w:rsid w:val="0090578D"/>
    <w:rsid w:val="00905940"/>
    <w:rsid w:val="00905AFB"/>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A2E"/>
    <w:rsid w:val="00914CE9"/>
    <w:rsid w:val="00915DB2"/>
    <w:rsid w:val="00916134"/>
    <w:rsid w:val="00916288"/>
    <w:rsid w:val="00916C74"/>
    <w:rsid w:val="00917244"/>
    <w:rsid w:val="00917609"/>
    <w:rsid w:val="00920110"/>
    <w:rsid w:val="0092028F"/>
    <w:rsid w:val="00920881"/>
    <w:rsid w:val="00920AD4"/>
    <w:rsid w:val="009211B9"/>
    <w:rsid w:val="009214C0"/>
    <w:rsid w:val="00922034"/>
    <w:rsid w:val="00922951"/>
    <w:rsid w:val="00923F13"/>
    <w:rsid w:val="00924152"/>
    <w:rsid w:val="0092445E"/>
    <w:rsid w:val="00924A13"/>
    <w:rsid w:val="00924B14"/>
    <w:rsid w:val="00924F4E"/>
    <w:rsid w:val="0092541A"/>
    <w:rsid w:val="009256CA"/>
    <w:rsid w:val="00925CBE"/>
    <w:rsid w:val="00925EF5"/>
    <w:rsid w:val="00925F0B"/>
    <w:rsid w:val="0092662A"/>
    <w:rsid w:val="0092754F"/>
    <w:rsid w:val="00927A63"/>
    <w:rsid w:val="00927DEA"/>
    <w:rsid w:val="00930345"/>
    <w:rsid w:val="009303EF"/>
    <w:rsid w:val="00930A6D"/>
    <w:rsid w:val="00930D71"/>
    <w:rsid w:val="00931527"/>
    <w:rsid w:val="0093156A"/>
    <w:rsid w:val="009315BF"/>
    <w:rsid w:val="00931D0E"/>
    <w:rsid w:val="00931DEF"/>
    <w:rsid w:val="00931FCC"/>
    <w:rsid w:val="00932BF3"/>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70A"/>
    <w:rsid w:val="00941977"/>
    <w:rsid w:val="00941D55"/>
    <w:rsid w:val="009425B0"/>
    <w:rsid w:val="00942AA1"/>
    <w:rsid w:val="009433A8"/>
    <w:rsid w:val="00943628"/>
    <w:rsid w:val="0094364F"/>
    <w:rsid w:val="00943898"/>
    <w:rsid w:val="00943CB4"/>
    <w:rsid w:val="00943FEE"/>
    <w:rsid w:val="009448AB"/>
    <w:rsid w:val="00945F56"/>
    <w:rsid w:val="0094627B"/>
    <w:rsid w:val="009472F6"/>
    <w:rsid w:val="009479EB"/>
    <w:rsid w:val="00950317"/>
    <w:rsid w:val="0095097F"/>
    <w:rsid w:val="00951B93"/>
    <w:rsid w:val="00951BC7"/>
    <w:rsid w:val="00951E4D"/>
    <w:rsid w:val="009522B7"/>
    <w:rsid w:val="009527EA"/>
    <w:rsid w:val="00952AE5"/>
    <w:rsid w:val="0095412E"/>
    <w:rsid w:val="00954203"/>
    <w:rsid w:val="00954D67"/>
    <w:rsid w:val="009556F5"/>
    <w:rsid w:val="00955C5A"/>
    <w:rsid w:val="00955EC2"/>
    <w:rsid w:val="00956161"/>
    <w:rsid w:val="009564E1"/>
    <w:rsid w:val="009566C8"/>
    <w:rsid w:val="009573B3"/>
    <w:rsid w:val="00957742"/>
    <w:rsid w:val="009606E5"/>
    <w:rsid w:val="00961460"/>
    <w:rsid w:val="009616DC"/>
    <w:rsid w:val="009618CD"/>
    <w:rsid w:val="00961AD8"/>
    <w:rsid w:val="00961B93"/>
    <w:rsid w:val="00961DB8"/>
    <w:rsid w:val="00962A54"/>
    <w:rsid w:val="00962D20"/>
    <w:rsid w:val="009639BD"/>
    <w:rsid w:val="00964828"/>
    <w:rsid w:val="00964EA7"/>
    <w:rsid w:val="00965ED6"/>
    <w:rsid w:val="00966C24"/>
    <w:rsid w:val="009670A0"/>
    <w:rsid w:val="00967184"/>
    <w:rsid w:val="009671B5"/>
    <w:rsid w:val="00967C48"/>
    <w:rsid w:val="00970635"/>
    <w:rsid w:val="0097178B"/>
    <w:rsid w:val="00971FDC"/>
    <w:rsid w:val="00972DC8"/>
    <w:rsid w:val="009733BD"/>
    <w:rsid w:val="00973DB1"/>
    <w:rsid w:val="00974566"/>
    <w:rsid w:val="00974758"/>
    <w:rsid w:val="00976AB9"/>
    <w:rsid w:val="0097703A"/>
    <w:rsid w:val="009772FD"/>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87BC8"/>
    <w:rsid w:val="00987CDF"/>
    <w:rsid w:val="0099062D"/>
    <w:rsid w:val="0099089F"/>
    <w:rsid w:val="00990DD8"/>
    <w:rsid w:val="00991BE2"/>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E27"/>
    <w:rsid w:val="009A1FF2"/>
    <w:rsid w:val="009A4199"/>
    <w:rsid w:val="009A44A0"/>
    <w:rsid w:val="009A4566"/>
    <w:rsid w:val="009A49D4"/>
    <w:rsid w:val="009A4B25"/>
    <w:rsid w:val="009A60C8"/>
    <w:rsid w:val="009A6BFE"/>
    <w:rsid w:val="009A709D"/>
    <w:rsid w:val="009B040A"/>
    <w:rsid w:val="009B04E7"/>
    <w:rsid w:val="009B0556"/>
    <w:rsid w:val="009B062B"/>
    <w:rsid w:val="009B0BA1"/>
    <w:rsid w:val="009B0C68"/>
    <w:rsid w:val="009B13D9"/>
    <w:rsid w:val="009B1664"/>
    <w:rsid w:val="009B182D"/>
    <w:rsid w:val="009B22F2"/>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9AB"/>
    <w:rsid w:val="009D2050"/>
    <w:rsid w:val="009D2291"/>
    <w:rsid w:val="009D2360"/>
    <w:rsid w:val="009D279D"/>
    <w:rsid w:val="009D34ED"/>
    <w:rsid w:val="009D3B17"/>
    <w:rsid w:val="009D3B81"/>
    <w:rsid w:val="009D4D26"/>
    <w:rsid w:val="009D4EC6"/>
    <w:rsid w:val="009D5B25"/>
    <w:rsid w:val="009D6702"/>
    <w:rsid w:val="009D7355"/>
    <w:rsid w:val="009D760B"/>
    <w:rsid w:val="009D7646"/>
    <w:rsid w:val="009D7693"/>
    <w:rsid w:val="009E153C"/>
    <w:rsid w:val="009E1CD9"/>
    <w:rsid w:val="009E1FFC"/>
    <w:rsid w:val="009E24D6"/>
    <w:rsid w:val="009E34DE"/>
    <w:rsid w:val="009E3572"/>
    <w:rsid w:val="009E38DA"/>
    <w:rsid w:val="009E3C13"/>
    <w:rsid w:val="009E41EB"/>
    <w:rsid w:val="009E4336"/>
    <w:rsid w:val="009E44CB"/>
    <w:rsid w:val="009E4C9D"/>
    <w:rsid w:val="009E59D5"/>
    <w:rsid w:val="009E5F5B"/>
    <w:rsid w:val="009E60A9"/>
    <w:rsid w:val="009E67EF"/>
    <w:rsid w:val="009E78CF"/>
    <w:rsid w:val="009F059D"/>
    <w:rsid w:val="009F1108"/>
    <w:rsid w:val="009F1167"/>
    <w:rsid w:val="009F1AD3"/>
    <w:rsid w:val="009F1C90"/>
    <w:rsid w:val="009F2B01"/>
    <w:rsid w:val="009F2CDD"/>
    <w:rsid w:val="009F3372"/>
    <w:rsid w:val="009F382A"/>
    <w:rsid w:val="009F459A"/>
    <w:rsid w:val="009F60AA"/>
    <w:rsid w:val="009F612C"/>
    <w:rsid w:val="009F652C"/>
    <w:rsid w:val="009F673E"/>
    <w:rsid w:val="009F6B5E"/>
    <w:rsid w:val="009F6FA2"/>
    <w:rsid w:val="009F72D5"/>
    <w:rsid w:val="009F753E"/>
    <w:rsid w:val="00A0034C"/>
    <w:rsid w:val="00A00BD5"/>
    <w:rsid w:val="00A01004"/>
    <w:rsid w:val="00A018F5"/>
    <w:rsid w:val="00A01A14"/>
    <w:rsid w:val="00A02C00"/>
    <w:rsid w:val="00A033BB"/>
    <w:rsid w:val="00A03952"/>
    <w:rsid w:val="00A03BC8"/>
    <w:rsid w:val="00A03C2D"/>
    <w:rsid w:val="00A0463D"/>
    <w:rsid w:val="00A05703"/>
    <w:rsid w:val="00A05D74"/>
    <w:rsid w:val="00A060A0"/>
    <w:rsid w:val="00A060B6"/>
    <w:rsid w:val="00A0616C"/>
    <w:rsid w:val="00A0652D"/>
    <w:rsid w:val="00A06B34"/>
    <w:rsid w:val="00A07879"/>
    <w:rsid w:val="00A07B47"/>
    <w:rsid w:val="00A07DB9"/>
    <w:rsid w:val="00A10903"/>
    <w:rsid w:val="00A10B55"/>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0E4"/>
    <w:rsid w:val="00A234BB"/>
    <w:rsid w:val="00A23F97"/>
    <w:rsid w:val="00A244BC"/>
    <w:rsid w:val="00A244C8"/>
    <w:rsid w:val="00A24682"/>
    <w:rsid w:val="00A24E73"/>
    <w:rsid w:val="00A256A3"/>
    <w:rsid w:val="00A25917"/>
    <w:rsid w:val="00A26190"/>
    <w:rsid w:val="00A262DF"/>
    <w:rsid w:val="00A2683A"/>
    <w:rsid w:val="00A276DA"/>
    <w:rsid w:val="00A278AA"/>
    <w:rsid w:val="00A30453"/>
    <w:rsid w:val="00A31145"/>
    <w:rsid w:val="00A314CF"/>
    <w:rsid w:val="00A323EA"/>
    <w:rsid w:val="00A32445"/>
    <w:rsid w:val="00A32DC7"/>
    <w:rsid w:val="00A3316B"/>
    <w:rsid w:val="00A33217"/>
    <w:rsid w:val="00A33A15"/>
    <w:rsid w:val="00A33D08"/>
    <w:rsid w:val="00A33F98"/>
    <w:rsid w:val="00A342BC"/>
    <w:rsid w:val="00A34A06"/>
    <w:rsid w:val="00A35B2F"/>
    <w:rsid w:val="00A35DA9"/>
    <w:rsid w:val="00A36507"/>
    <w:rsid w:val="00A368EE"/>
    <w:rsid w:val="00A36DC8"/>
    <w:rsid w:val="00A36F60"/>
    <w:rsid w:val="00A3763D"/>
    <w:rsid w:val="00A406F5"/>
    <w:rsid w:val="00A40791"/>
    <w:rsid w:val="00A40E1B"/>
    <w:rsid w:val="00A41292"/>
    <w:rsid w:val="00A41714"/>
    <w:rsid w:val="00A41800"/>
    <w:rsid w:val="00A42228"/>
    <w:rsid w:val="00A43FC8"/>
    <w:rsid w:val="00A4400F"/>
    <w:rsid w:val="00A4468A"/>
    <w:rsid w:val="00A446B2"/>
    <w:rsid w:val="00A44773"/>
    <w:rsid w:val="00A45896"/>
    <w:rsid w:val="00A46A63"/>
    <w:rsid w:val="00A4763D"/>
    <w:rsid w:val="00A478E1"/>
    <w:rsid w:val="00A47914"/>
    <w:rsid w:val="00A5049D"/>
    <w:rsid w:val="00A50605"/>
    <w:rsid w:val="00A507F4"/>
    <w:rsid w:val="00A5092E"/>
    <w:rsid w:val="00A50CE8"/>
    <w:rsid w:val="00A510C9"/>
    <w:rsid w:val="00A51935"/>
    <w:rsid w:val="00A51B5D"/>
    <w:rsid w:val="00A51CCB"/>
    <w:rsid w:val="00A53674"/>
    <w:rsid w:val="00A542F2"/>
    <w:rsid w:val="00A54783"/>
    <w:rsid w:val="00A54A10"/>
    <w:rsid w:val="00A54CB2"/>
    <w:rsid w:val="00A54CE2"/>
    <w:rsid w:val="00A54EA1"/>
    <w:rsid w:val="00A5506B"/>
    <w:rsid w:val="00A55961"/>
    <w:rsid w:val="00A562FC"/>
    <w:rsid w:val="00A56409"/>
    <w:rsid w:val="00A565D7"/>
    <w:rsid w:val="00A56A44"/>
    <w:rsid w:val="00A56E09"/>
    <w:rsid w:val="00A5767D"/>
    <w:rsid w:val="00A579BA"/>
    <w:rsid w:val="00A57B5B"/>
    <w:rsid w:val="00A601D0"/>
    <w:rsid w:val="00A6089A"/>
    <w:rsid w:val="00A60DAD"/>
    <w:rsid w:val="00A61984"/>
    <w:rsid w:val="00A6234D"/>
    <w:rsid w:val="00A62AAE"/>
    <w:rsid w:val="00A639C6"/>
    <w:rsid w:val="00A64692"/>
    <w:rsid w:val="00A6576B"/>
    <w:rsid w:val="00A6692D"/>
    <w:rsid w:val="00A66FB9"/>
    <w:rsid w:val="00A673F8"/>
    <w:rsid w:val="00A702AA"/>
    <w:rsid w:val="00A7061D"/>
    <w:rsid w:val="00A70D64"/>
    <w:rsid w:val="00A71336"/>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F42"/>
    <w:rsid w:val="00A77835"/>
    <w:rsid w:val="00A801E7"/>
    <w:rsid w:val="00A80D10"/>
    <w:rsid w:val="00A812E2"/>
    <w:rsid w:val="00A81C00"/>
    <w:rsid w:val="00A820D0"/>
    <w:rsid w:val="00A822DA"/>
    <w:rsid w:val="00A82DF0"/>
    <w:rsid w:val="00A82FBA"/>
    <w:rsid w:val="00A846D9"/>
    <w:rsid w:val="00A84A96"/>
    <w:rsid w:val="00A84CA3"/>
    <w:rsid w:val="00A8504B"/>
    <w:rsid w:val="00A854D1"/>
    <w:rsid w:val="00A85CEC"/>
    <w:rsid w:val="00A864CE"/>
    <w:rsid w:val="00A866F8"/>
    <w:rsid w:val="00A8670F"/>
    <w:rsid w:val="00A869D5"/>
    <w:rsid w:val="00A904B3"/>
    <w:rsid w:val="00A906B6"/>
    <w:rsid w:val="00A919F2"/>
    <w:rsid w:val="00A91A50"/>
    <w:rsid w:val="00A91AAC"/>
    <w:rsid w:val="00A91D54"/>
    <w:rsid w:val="00A91F7E"/>
    <w:rsid w:val="00A92B79"/>
    <w:rsid w:val="00A92BE2"/>
    <w:rsid w:val="00A930A8"/>
    <w:rsid w:val="00A942F1"/>
    <w:rsid w:val="00A94A89"/>
    <w:rsid w:val="00A94D0C"/>
    <w:rsid w:val="00A951A5"/>
    <w:rsid w:val="00A95A03"/>
    <w:rsid w:val="00A967C9"/>
    <w:rsid w:val="00A96870"/>
    <w:rsid w:val="00A969F4"/>
    <w:rsid w:val="00A96AE9"/>
    <w:rsid w:val="00A96B2D"/>
    <w:rsid w:val="00A97337"/>
    <w:rsid w:val="00A97356"/>
    <w:rsid w:val="00A974C6"/>
    <w:rsid w:val="00A974DA"/>
    <w:rsid w:val="00A97F24"/>
    <w:rsid w:val="00AA06FC"/>
    <w:rsid w:val="00AA09D8"/>
    <w:rsid w:val="00AA0FB3"/>
    <w:rsid w:val="00AA17CA"/>
    <w:rsid w:val="00AA21E2"/>
    <w:rsid w:val="00AA28D0"/>
    <w:rsid w:val="00AA2DC2"/>
    <w:rsid w:val="00AA362D"/>
    <w:rsid w:val="00AA37DD"/>
    <w:rsid w:val="00AA4431"/>
    <w:rsid w:val="00AA4635"/>
    <w:rsid w:val="00AA559D"/>
    <w:rsid w:val="00AA5A08"/>
    <w:rsid w:val="00AA6CB2"/>
    <w:rsid w:val="00AA7017"/>
    <w:rsid w:val="00AA71C8"/>
    <w:rsid w:val="00AA7215"/>
    <w:rsid w:val="00AA73AC"/>
    <w:rsid w:val="00AB0730"/>
    <w:rsid w:val="00AB1090"/>
    <w:rsid w:val="00AB111E"/>
    <w:rsid w:val="00AB11FF"/>
    <w:rsid w:val="00AB186D"/>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59D"/>
    <w:rsid w:val="00AD076C"/>
    <w:rsid w:val="00AD09A8"/>
    <w:rsid w:val="00AD28F9"/>
    <w:rsid w:val="00AD2CD8"/>
    <w:rsid w:val="00AD30EE"/>
    <w:rsid w:val="00AD39F2"/>
    <w:rsid w:val="00AD3EDA"/>
    <w:rsid w:val="00AD495E"/>
    <w:rsid w:val="00AD5524"/>
    <w:rsid w:val="00AD579E"/>
    <w:rsid w:val="00AD5810"/>
    <w:rsid w:val="00AD5C85"/>
    <w:rsid w:val="00AD66A9"/>
    <w:rsid w:val="00AD6D44"/>
    <w:rsid w:val="00AD7486"/>
    <w:rsid w:val="00AD75CE"/>
    <w:rsid w:val="00AD767E"/>
    <w:rsid w:val="00AD7694"/>
    <w:rsid w:val="00AD78B1"/>
    <w:rsid w:val="00AD7B9B"/>
    <w:rsid w:val="00AD7C92"/>
    <w:rsid w:val="00AD7DA2"/>
    <w:rsid w:val="00AE002B"/>
    <w:rsid w:val="00AE0C38"/>
    <w:rsid w:val="00AE0F59"/>
    <w:rsid w:val="00AE1A53"/>
    <w:rsid w:val="00AE1AE0"/>
    <w:rsid w:val="00AE2204"/>
    <w:rsid w:val="00AE2411"/>
    <w:rsid w:val="00AE2568"/>
    <w:rsid w:val="00AE272E"/>
    <w:rsid w:val="00AE2A62"/>
    <w:rsid w:val="00AE2CE5"/>
    <w:rsid w:val="00AE2D88"/>
    <w:rsid w:val="00AE2DC5"/>
    <w:rsid w:val="00AE2FEF"/>
    <w:rsid w:val="00AE3265"/>
    <w:rsid w:val="00AE388A"/>
    <w:rsid w:val="00AE3BE3"/>
    <w:rsid w:val="00AE4510"/>
    <w:rsid w:val="00AE49CE"/>
    <w:rsid w:val="00AE4D7A"/>
    <w:rsid w:val="00AE4E95"/>
    <w:rsid w:val="00AE69A1"/>
    <w:rsid w:val="00AE7238"/>
    <w:rsid w:val="00AE7FFD"/>
    <w:rsid w:val="00AF043C"/>
    <w:rsid w:val="00AF0B80"/>
    <w:rsid w:val="00AF1084"/>
    <w:rsid w:val="00AF2E85"/>
    <w:rsid w:val="00AF30DD"/>
    <w:rsid w:val="00AF4096"/>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13B"/>
    <w:rsid w:val="00B0530E"/>
    <w:rsid w:val="00B06B29"/>
    <w:rsid w:val="00B06CFF"/>
    <w:rsid w:val="00B10270"/>
    <w:rsid w:val="00B102BA"/>
    <w:rsid w:val="00B109A9"/>
    <w:rsid w:val="00B10DEF"/>
    <w:rsid w:val="00B112C4"/>
    <w:rsid w:val="00B1172B"/>
    <w:rsid w:val="00B117A5"/>
    <w:rsid w:val="00B11C78"/>
    <w:rsid w:val="00B120BF"/>
    <w:rsid w:val="00B142B9"/>
    <w:rsid w:val="00B14A6E"/>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371"/>
    <w:rsid w:val="00B226AF"/>
    <w:rsid w:val="00B22D61"/>
    <w:rsid w:val="00B23280"/>
    <w:rsid w:val="00B239BF"/>
    <w:rsid w:val="00B240F8"/>
    <w:rsid w:val="00B246D1"/>
    <w:rsid w:val="00B25DCC"/>
    <w:rsid w:val="00B260A2"/>
    <w:rsid w:val="00B26797"/>
    <w:rsid w:val="00B26D9F"/>
    <w:rsid w:val="00B273CD"/>
    <w:rsid w:val="00B27CA2"/>
    <w:rsid w:val="00B27E2E"/>
    <w:rsid w:val="00B30A6B"/>
    <w:rsid w:val="00B30BC9"/>
    <w:rsid w:val="00B30D82"/>
    <w:rsid w:val="00B30ED2"/>
    <w:rsid w:val="00B3163A"/>
    <w:rsid w:val="00B328E0"/>
    <w:rsid w:val="00B32956"/>
    <w:rsid w:val="00B32C68"/>
    <w:rsid w:val="00B33752"/>
    <w:rsid w:val="00B3380D"/>
    <w:rsid w:val="00B34638"/>
    <w:rsid w:val="00B34761"/>
    <w:rsid w:val="00B35091"/>
    <w:rsid w:val="00B35920"/>
    <w:rsid w:val="00B35C9F"/>
    <w:rsid w:val="00B366BC"/>
    <w:rsid w:val="00B36950"/>
    <w:rsid w:val="00B37882"/>
    <w:rsid w:val="00B37A37"/>
    <w:rsid w:val="00B37A3E"/>
    <w:rsid w:val="00B37ABC"/>
    <w:rsid w:val="00B37FD4"/>
    <w:rsid w:val="00B4002E"/>
    <w:rsid w:val="00B40182"/>
    <w:rsid w:val="00B40200"/>
    <w:rsid w:val="00B40BB5"/>
    <w:rsid w:val="00B40FC6"/>
    <w:rsid w:val="00B410F6"/>
    <w:rsid w:val="00B41142"/>
    <w:rsid w:val="00B41175"/>
    <w:rsid w:val="00B4168B"/>
    <w:rsid w:val="00B42EC0"/>
    <w:rsid w:val="00B432C4"/>
    <w:rsid w:val="00B44EEC"/>
    <w:rsid w:val="00B44FAB"/>
    <w:rsid w:val="00B44FDF"/>
    <w:rsid w:val="00B45E15"/>
    <w:rsid w:val="00B46973"/>
    <w:rsid w:val="00B46A70"/>
    <w:rsid w:val="00B46B52"/>
    <w:rsid w:val="00B4714F"/>
    <w:rsid w:val="00B4790A"/>
    <w:rsid w:val="00B47A2C"/>
    <w:rsid w:val="00B47F71"/>
    <w:rsid w:val="00B5009F"/>
    <w:rsid w:val="00B50CEA"/>
    <w:rsid w:val="00B50E67"/>
    <w:rsid w:val="00B50F6E"/>
    <w:rsid w:val="00B51316"/>
    <w:rsid w:val="00B530D3"/>
    <w:rsid w:val="00B53849"/>
    <w:rsid w:val="00B5398C"/>
    <w:rsid w:val="00B53D64"/>
    <w:rsid w:val="00B53D84"/>
    <w:rsid w:val="00B53DE2"/>
    <w:rsid w:val="00B54088"/>
    <w:rsid w:val="00B542C2"/>
    <w:rsid w:val="00B54809"/>
    <w:rsid w:val="00B54DFD"/>
    <w:rsid w:val="00B550CE"/>
    <w:rsid w:val="00B555AC"/>
    <w:rsid w:val="00B55FCC"/>
    <w:rsid w:val="00B56435"/>
    <w:rsid w:val="00B565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A64"/>
    <w:rsid w:val="00B64C50"/>
    <w:rsid w:val="00B64CCC"/>
    <w:rsid w:val="00B65145"/>
    <w:rsid w:val="00B6581E"/>
    <w:rsid w:val="00B6585B"/>
    <w:rsid w:val="00B65DB1"/>
    <w:rsid w:val="00B66446"/>
    <w:rsid w:val="00B66687"/>
    <w:rsid w:val="00B67BB3"/>
    <w:rsid w:val="00B67E52"/>
    <w:rsid w:val="00B70145"/>
    <w:rsid w:val="00B70180"/>
    <w:rsid w:val="00B708DE"/>
    <w:rsid w:val="00B71138"/>
    <w:rsid w:val="00B718D2"/>
    <w:rsid w:val="00B7234F"/>
    <w:rsid w:val="00B723EA"/>
    <w:rsid w:val="00B724E0"/>
    <w:rsid w:val="00B7260A"/>
    <w:rsid w:val="00B7269C"/>
    <w:rsid w:val="00B728B6"/>
    <w:rsid w:val="00B73338"/>
    <w:rsid w:val="00B737C6"/>
    <w:rsid w:val="00B73BAC"/>
    <w:rsid w:val="00B7457A"/>
    <w:rsid w:val="00B74597"/>
    <w:rsid w:val="00B74B6A"/>
    <w:rsid w:val="00B74DBD"/>
    <w:rsid w:val="00B75676"/>
    <w:rsid w:val="00B77159"/>
    <w:rsid w:val="00B77AC6"/>
    <w:rsid w:val="00B77B7D"/>
    <w:rsid w:val="00B77F3E"/>
    <w:rsid w:val="00B80F88"/>
    <w:rsid w:val="00B80FDF"/>
    <w:rsid w:val="00B80FED"/>
    <w:rsid w:val="00B8111C"/>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280F"/>
    <w:rsid w:val="00B9304B"/>
    <w:rsid w:val="00B931F8"/>
    <w:rsid w:val="00B93762"/>
    <w:rsid w:val="00B941FB"/>
    <w:rsid w:val="00B9437E"/>
    <w:rsid w:val="00B944AD"/>
    <w:rsid w:val="00B95B7A"/>
    <w:rsid w:val="00B96246"/>
    <w:rsid w:val="00B968D9"/>
    <w:rsid w:val="00B96962"/>
    <w:rsid w:val="00B96D9C"/>
    <w:rsid w:val="00BA0024"/>
    <w:rsid w:val="00BA08B5"/>
    <w:rsid w:val="00BA09FB"/>
    <w:rsid w:val="00BA0ACA"/>
    <w:rsid w:val="00BA0C9A"/>
    <w:rsid w:val="00BA2619"/>
    <w:rsid w:val="00BA2C3B"/>
    <w:rsid w:val="00BA3DB2"/>
    <w:rsid w:val="00BA4F87"/>
    <w:rsid w:val="00BA53F4"/>
    <w:rsid w:val="00BA5B8A"/>
    <w:rsid w:val="00BA5E33"/>
    <w:rsid w:val="00BA6D08"/>
    <w:rsid w:val="00BA75EA"/>
    <w:rsid w:val="00BA7883"/>
    <w:rsid w:val="00BB099C"/>
    <w:rsid w:val="00BB0E3A"/>
    <w:rsid w:val="00BB10CD"/>
    <w:rsid w:val="00BB10EB"/>
    <w:rsid w:val="00BB1536"/>
    <w:rsid w:val="00BB1802"/>
    <w:rsid w:val="00BB1EB3"/>
    <w:rsid w:val="00BB1F00"/>
    <w:rsid w:val="00BB36D0"/>
    <w:rsid w:val="00BB3953"/>
    <w:rsid w:val="00BB4F0E"/>
    <w:rsid w:val="00BB50A9"/>
    <w:rsid w:val="00BB5105"/>
    <w:rsid w:val="00BB62B5"/>
    <w:rsid w:val="00BB6339"/>
    <w:rsid w:val="00BB6493"/>
    <w:rsid w:val="00BB658B"/>
    <w:rsid w:val="00BB65B4"/>
    <w:rsid w:val="00BB6F02"/>
    <w:rsid w:val="00BB721E"/>
    <w:rsid w:val="00BB7566"/>
    <w:rsid w:val="00BB7AD0"/>
    <w:rsid w:val="00BB7E29"/>
    <w:rsid w:val="00BC0643"/>
    <w:rsid w:val="00BC13C7"/>
    <w:rsid w:val="00BC1593"/>
    <w:rsid w:val="00BC1A66"/>
    <w:rsid w:val="00BC1B8D"/>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970"/>
    <w:rsid w:val="00BC6D66"/>
    <w:rsid w:val="00BC7C56"/>
    <w:rsid w:val="00BD0A61"/>
    <w:rsid w:val="00BD0A82"/>
    <w:rsid w:val="00BD12A8"/>
    <w:rsid w:val="00BD1438"/>
    <w:rsid w:val="00BD167D"/>
    <w:rsid w:val="00BD1822"/>
    <w:rsid w:val="00BD1E02"/>
    <w:rsid w:val="00BD3FE7"/>
    <w:rsid w:val="00BD42CF"/>
    <w:rsid w:val="00BD4332"/>
    <w:rsid w:val="00BD44D3"/>
    <w:rsid w:val="00BD5E8C"/>
    <w:rsid w:val="00BD67FA"/>
    <w:rsid w:val="00BE03D5"/>
    <w:rsid w:val="00BE0AAB"/>
    <w:rsid w:val="00BE0F28"/>
    <w:rsid w:val="00BE130C"/>
    <w:rsid w:val="00BE1A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241"/>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1F"/>
    <w:rsid w:val="00C061E3"/>
    <w:rsid w:val="00C06319"/>
    <w:rsid w:val="00C0652A"/>
    <w:rsid w:val="00C06926"/>
    <w:rsid w:val="00C06C64"/>
    <w:rsid w:val="00C06D4A"/>
    <w:rsid w:val="00C06D4B"/>
    <w:rsid w:val="00C06FF1"/>
    <w:rsid w:val="00C07059"/>
    <w:rsid w:val="00C07775"/>
    <w:rsid w:val="00C07953"/>
    <w:rsid w:val="00C102D0"/>
    <w:rsid w:val="00C10B92"/>
    <w:rsid w:val="00C10C6C"/>
    <w:rsid w:val="00C112D9"/>
    <w:rsid w:val="00C11A80"/>
    <w:rsid w:val="00C12865"/>
    <w:rsid w:val="00C13086"/>
    <w:rsid w:val="00C13168"/>
    <w:rsid w:val="00C13960"/>
    <w:rsid w:val="00C13ED0"/>
    <w:rsid w:val="00C151BC"/>
    <w:rsid w:val="00C1539A"/>
    <w:rsid w:val="00C15D95"/>
    <w:rsid w:val="00C161AA"/>
    <w:rsid w:val="00C1669B"/>
    <w:rsid w:val="00C168DA"/>
    <w:rsid w:val="00C16A70"/>
    <w:rsid w:val="00C16CB7"/>
    <w:rsid w:val="00C1782C"/>
    <w:rsid w:val="00C17BE9"/>
    <w:rsid w:val="00C17EB4"/>
    <w:rsid w:val="00C17FD3"/>
    <w:rsid w:val="00C2012C"/>
    <w:rsid w:val="00C203DE"/>
    <w:rsid w:val="00C21641"/>
    <w:rsid w:val="00C21E28"/>
    <w:rsid w:val="00C21EDC"/>
    <w:rsid w:val="00C221BE"/>
    <w:rsid w:val="00C2287C"/>
    <w:rsid w:val="00C23351"/>
    <w:rsid w:val="00C23F23"/>
    <w:rsid w:val="00C24844"/>
    <w:rsid w:val="00C24F36"/>
    <w:rsid w:val="00C2532F"/>
    <w:rsid w:val="00C25970"/>
    <w:rsid w:val="00C26E30"/>
    <w:rsid w:val="00C3039D"/>
    <w:rsid w:val="00C30D70"/>
    <w:rsid w:val="00C316AE"/>
    <w:rsid w:val="00C31BFC"/>
    <w:rsid w:val="00C32392"/>
    <w:rsid w:val="00C32664"/>
    <w:rsid w:val="00C3271D"/>
    <w:rsid w:val="00C330F0"/>
    <w:rsid w:val="00C3379C"/>
    <w:rsid w:val="00C35733"/>
    <w:rsid w:val="00C362D1"/>
    <w:rsid w:val="00C366DD"/>
    <w:rsid w:val="00C369D4"/>
    <w:rsid w:val="00C37833"/>
    <w:rsid w:val="00C378D1"/>
    <w:rsid w:val="00C37957"/>
    <w:rsid w:val="00C41A5D"/>
    <w:rsid w:val="00C42009"/>
    <w:rsid w:val="00C42158"/>
    <w:rsid w:val="00C4288F"/>
    <w:rsid w:val="00C42BCA"/>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903"/>
    <w:rsid w:val="00C53B95"/>
    <w:rsid w:val="00C53BDA"/>
    <w:rsid w:val="00C55FD0"/>
    <w:rsid w:val="00C56032"/>
    <w:rsid w:val="00C561D2"/>
    <w:rsid w:val="00C5678E"/>
    <w:rsid w:val="00C56AD4"/>
    <w:rsid w:val="00C57621"/>
    <w:rsid w:val="00C5786A"/>
    <w:rsid w:val="00C57A48"/>
    <w:rsid w:val="00C57C2E"/>
    <w:rsid w:val="00C60742"/>
    <w:rsid w:val="00C607D4"/>
    <w:rsid w:val="00C610EA"/>
    <w:rsid w:val="00C615F5"/>
    <w:rsid w:val="00C6293E"/>
    <w:rsid w:val="00C62B00"/>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6A1B"/>
    <w:rsid w:val="00C77104"/>
    <w:rsid w:val="00C77DCD"/>
    <w:rsid w:val="00C77F16"/>
    <w:rsid w:val="00C8079E"/>
    <w:rsid w:val="00C810D2"/>
    <w:rsid w:val="00C811F0"/>
    <w:rsid w:val="00C82BA9"/>
    <w:rsid w:val="00C838EE"/>
    <w:rsid w:val="00C83961"/>
    <w:rsid w:val="00C844D0"/>
    <w:rsid w:val="00C850B3"/>
    <w:rsid w:val="00C85801"/>
    <w:rsid w:val="00C8635A"/>
    <w:rsid w:val="00C86FB6"/>
    <w:rsid w:val="00C87144"/>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77A"/>
    <w:rsid w:val="00CA19F8"/>
    <w:rsid w:val="00CA1D2C"/>
    <w:rsid w:val="00CA297D"/>
    <w:rsid w:val="00CA3887"/>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DCB"/>
    <w:rsid w:val="00CC6376"/>
    <w:rsid w:val="00CC63FA"/>
    <w:rsid w:val="00CC6B50"/>
    <w:rsid w:val="00CC6B91"/>
    <w:rsid w:val="00CC7380"/>
    <w:rsid w:val="00CC79AD"/>
    <w:rsid w:val="00CC7E55"/>
    <w:rsid w:val="00CD0555"/>
    <w:rsid w:val="00CD06E7"/>
    <w:rsid w:val="00CD0CB6"/>
    <w:rsid w:val="00CD0DCB"/>
    <w:rsid w:val="00CD10CB"/>
    <w:rsid w:val="00CD2A97"/>
    <w:rsid w:val="00CD4084"/>
    <w:rsid w:val="00CD4EC2"/>
    <w:rsid w:val="00CD506D"/>
    <w:rsid w:val="00CD5D51"/>
    <w:rsid w:val="00CD647C"/>
    <w:rsid w:val="00CD6AAE"/>
    <w:rsid w:val="00CD6EA9"/>
    <w:rsid w:val="00CD7157"/>
    <w:rsid w:val="00CD7868"/>
    <w:rsid w:val="00CE12C7"/>
    <w:rsid w:val="00CE134C"/>
    <w:rsid w:val="00CE13F3"/>
    <w:rsid w:val="00CE172B"/>
    <w:rsid w:val="00CE1C44"/>
    <w:rsid w:val="00CE25A0"/>
    <w:rsid w:val="00CE27C5"/>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781"/>
    <w:rsid w:val="00CF58E4"/>
    <w:rsid w:val="00CF70A8"/>
    <w:rsid w:val="00CF746D"/>
    <w:rsid w:val="00D001BD"/>
    <w:rsid w:val="00D0136F"/>
    <w:rsid w:val="00D0227E"/>
    <w:rsid w:val="00D02AAF"/>
    <w:rsid w:val="00D02ED2"/>
    <w:rsid w:val="00D03B1E"/>
    <w:rsid w:val="00D03CE4"/>
    <w:rsid w:val="00D04591"/>
    <w:rsid w:val="00D047CF"/>
    <w:rsid w:val="00D054DD"/>
    <w:rsid w:val="00D05CA6"/>
    <w:rsid w:val="00D0705A"/>
    <w:rsid w:val="00D07086"/>
    <w:rsid w:val="00D0725D"/>
    <w:rsid w:val="00D1007F"/>
    <w:rsid w:val="00D10C57"/>
    <w:rsid w:val="00D12A28"/>
    <w:rsid w:val="00D12A78"/>
    <w:rsid w:val="00D12B31"/>
    <w:rsid w:val="00D131C0"/>
    <w:rsid w:val="00D13223"/>
    <w:rsid w:val="00D15504"/>
    <w:rsid w:val="00D15950"/>
    <w:rsid w:val="00D15A72"/>
    <w:rsid w:val="00D16F80"/>
    <w:rsid w:val="00D16FB3"/>
    <w:rsid w:val="00D170BE"/>
    <w:rsid w:val="00D174B4"/>
    <w:rsid w:val="00D17F21"/>
    <w:rsid w:val="00D21525"/>
    <w:rsid w:val="00D22922"/>
    <w:rsid w:val="00D232E6"/>
    <w:rsid w:val="00D2384D"/>
    <w:rsid w:val="00D23AB7"/>
    <w:rsid w:val="00D23B5C"/>
    <w:rsid w:val="00D24C75"/>
    <w:rsid w:val="00D2637F"/>
    <w:rsid w:val="00D26C5C"/>
    <w:rsid w:val="00D27684"/>
    <w:rsid w:val="00D27FA7"/>
    <w:rsid w:val="00D3037D"/>
    <w:rsid w:val="00D30BB3"/>
    <w:rsid w:val="00D3131A"/>
    <w:rsid w:val="00D31CB7"/>
    <w:rsid w:val="00D324FF"/>
    <w:rsid w:val="00D328D4"/>
    <w:rsid w:val="00D3290D"/>
    <w:rsid w:val="00D32A4F"/>
    <w:rsid w:val="00D3396C"/>
    <w:rsid w:val="00D33B16"/>
    <w:rsid w:val="00D34494"/>
    <w:rsid w:val="00D347DB"/>
    <w:rsid w:val="00D3481A"/>
    <w:rsid w:val="00D350ED"/>
    <w:rsid w:val="00D364AF"/>
    <w:rsid w:val="00D36559"/>
    <w:rsid w:val="00D3655C"/>
    <w:rsid w:val="00D369A2"/>
    <w:rsid w:val="00D36A92"/>
    <w:rsid w:val="00D36C7F"/>
    <w:rsid w:val="00D37418"/>
    <w:rsid w:val="00D40325"/>
    <w:rsid w:val="00D408D3"/>
    <w:rsid w:val="00D40B0A"/>
    <w:rsid w:val="00D41500"/>
    <w:rsid w:val="00D4151B"/>
    <w:rsid w:val="00D4263D"/>
    <w:rsid w:val="00D43B48"/>
    <w:rsid w:val="00D44A58"/>
    <w:rsid w:val="00D455D8"/>
    <w:rsid w:val="00D45A12"/>
    <w:rsid w:val="00D45FEA"/>
    <w:rsid w:val="00D461A9"/>
    <w:rsid w:val="00D47796"/>
    <w:rsid w:val="00D47E1F"/>
    <w:rsid w:val="00D47FFE"/>
    <w:rsid w:val="00D503EB"/>
    <w:rsid w:val="00D50742"/>
    <w:rsid w:val="00D512FE"/>
    <w:rsid w:val="00D5212B"/>
    <w:rsid w:val="00D52B99"/>
    <w:rsid w:val="00D53406"/>
    <w:rsid w:val="00D53752"/>
    <w:rsid w:val="00D5394C"/>
    <w:rsid w:val="00D53F68"/>
    <w:rsid w:val="00D54A53"/>
    <w:rsid w:val="00D551CC"/>
    <w:rsid w:val="00D5588C"/>
    <w:rsid w:val="00D55C21"/>
    <w:rsid w:val="00D55F2D"/>
    <w:rsid w:val="00D5651C"/>
    <w:rsid w:val="00D5673A"/>
    <w:rsid w:val="00D5680F"/>
    <w:rsid w:val="00D56F5C"/>
    <w:rsid w:val="00D5706D"/>
    <w:rsid w:val="00D573C9"/>
    <w:rsid w:val="00D57945"/>
    <w:rsid w:val="00D57CFF"/>
    <w:rsid w:val="00D6079A"/>
    <w:rsid w:val="00D608BF"/>
    <w:rsid w:val="00D60CF0"/>
    <w:rsid w:val="00D61340"/>
    <w:rsid w:val="00D61DC8"/>
    <w:rsid w:val="00D62826"/>
    <w:rsid w:val="00D63254"/>
    <w:rsid w:val="00D6445A"/>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2D74"/>
    <w:rsid w:val="00D83933"/>
    <w:rsid w:val="00D83D37"/>
    <w:rsid w:val="00D83EBA"/>
    <w:rsid w:val="00D841C2"/>
    <w:rsid w:val="00D8468E"/>
    <w:rsid w:val="00D84856"/>
    <w:rsid w:val="00D8487F"/>
    <w:rsid w:val="00D8497A"/>
    <w:rsid w:val="00D85EAB"/>
    <w:rsid w:val="00D85EEA"/>
    <w:rsid w:val="00D8633D"/>
    <w:rsid w:val="00D86A57"/>
    <w:rsid w:val="00D86A60"/>
    <w:rsid w:val="00D86BE4"/>
    <w:rsid w:val="00D871BD"/>
    <w:rsid w:val="00D902BB"/>
    <w:rsid w:val="00D9067A"/>
    <w:rsid w:val="00D90E18"/>
    <w:rsid w:val="00D90EA4"/>
    <w:rsid w:val="00D92CD6"/>
    <w:rsid w:val="00D936E6"/>
    <w:rsid w:val="00D93E79"/>
    <w:rsid w:val="00D946E1"/>
    <w:rsid w:val="00D95382"/>
    <w:rsid w:val="00D95D6A"/>
    <w:rsid w:val="00D979BF"/>
    <w:rsid w:val="00DA033B"/>
    <w:rsid w:val="00DA0A9B"/>
    <w:rsid w:val="00DA0E2D"/>
    <w:rsid w:val="00DA1143"/>
    <w:rsid w:val="00DA2077"/>
    <w:rsid w:val="00DA2107"/>
    <w:rsid w:val="00DA23DF"/>
    <w:rsid w:val="00DA28CE"/>
    <w:rsid w:val="00DA300C"/>
    <w:rsid w:val="00DA38BD"/>
    <w:rsid w:val="00DA4443"/>
    <w:rsid w:val="00DA449F"/>
    <w:rsid w:val="00DA451B"/>
    <w:rsid w:val="00DA459A"/>
    <w:rsid w:val="00DA4D96"/>
    <w:rsid w:val="00DA5731"/>
    <w:rsid w:val="00DA577F"/>
    <w:rsid w:val="00DA5854"/>
    <w:rsid w:val="00DA6396"/>
    <w:rsid w:val="00DA67A1"/>
    <w:rsid w:val="00DA6F12"/>
    <w:rsid w:val="00DA7F72"/>
    <w:rsid w:val="00DB01C7"/>
    <w:rsid w:val="00DB0673"/>
    <w:rsid w:val="00DB179E"/>
    <w:rsid w:val="00DB21DD"/>
    <w:rsid w:val="00DB2A83"/>
    <w:rsid w:val="00DB2B72"/>
    <w:rsid w:val="00DB2B75"/>
    <w:rsid w:val="00DB30AF"/>
    <w:rsid w:val="00DB3469"/>
    <w:rsid w:val="00DB390F"/>
    <w:rsid w:val="00DB3E85"/>
    <w:rsid w:val="00DB4FA4"/>
    <w:rsid w:val="00DB56FB"/>
    <w:rsid w:val="00DB65E8"/>
    <w:rsid w:val="00DB7490"/>
    <w:rsid w:val="00DB75D8"/>
    <w:rsid w:val="00DB7990"/>
    <w:rsid w:val="00DB7E7F"/>
    <w:rsid w:val="00DC01AA"/>
    <w:rsid w:val="00DC084A"/>
    <w:rsid w:val="00DC243D"/>
    <w:rsid w:val="00DC27BC"/>
    <w:rsid w:val="00DC288D"/>
    <w:rsid w:val="00DC2A5B"/>
    <w:rsid w:val="00DC2CA8"/>
    <w:rsid w:val="00DC2D05"/>
    <w:rsid w:val="00DC3BC2"/>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5BE"/>
    <w:rsid w:val="00DD46FD"/>
    <w:rsid w:val="00DD482D"/>
    <w:rsid w:val="00DD48FD"/>
    <w:rsid w:val="00DD4C51"/>
    <w:rsid w:val="00DD4DD0"/>
    <w:rsid w:val="00DD515D"/>
    <w:rsid w:val="00DD5309"/>
    <w:rsid w:val="00DD6146"/>
    <w:rsid w:val="00DD6589"/>
    <w:rsid w:val="00DD6A3A"/>
    <w:rsid w:val="00DD6BCA"/>
    <w:rsid w:val="00DD6E18"/>
    <w:rsid w:val="00DD6FB0"/>
    <w:rsid w:val="00DD758B"/>
    <w:rsid w:val="00DD783E"/>
    <w:rsid w:val="00DD78FB"/>
    <w:rsid w:val="00DD7EDD"/>
    <w:rsid w:val="00DE0119"/>
    <w:rsid w:val="00DE08A2"/>
    <w:rsid w:val="00DE0C77"/>
    <w:rsid w:val="00DE0E28"/>
    <w:rsid w:val="00DE18C0"/>
    <w:rsid w:val="00DE1B91"/>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59E"/>
    <w:rsid w:val="00DF2735"/>
    <w:rsid w:val="00DF31C1"/>
    <w:rsid w:val="00DF3395"/>
    <w:rsid w:val="00DF3554"/>
    <w:rsid w:val="00DF365E"/>
    <w:rsid w:val="00DF4282"/>
    <w:rsid w:val="00DF474F"/>
    <w:rsid w:val="00DF55D0"/>
    <w:rsid w:val="00DF5A7F"/>
    <w:rsid w:val="00DF6521"/>
    <w:rsid w:val="00DF652F"/>
    <w:rsid w:val="00DF6BC5"/>
    <w:rsid w:val="00DF71A2"/>
    <w:rsid w:val="00E000B1"/>
    <w:rsid w:val="00E001DB"/>
    <w:rsid w:val="00E01107"/>
    <w:rsid w:val="00E02461"/>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49F"/>
    <w:rsid w:val="00E12743"/>
    <w:rsid w:val="00E13023"/>
    <w:rsid w:val="00E136EE"/>
    <w:rsid w:val="00E140F6"/>
    <w:rsid w:val="00E14B16"/>
    <w:rsid w:val="00E16014"/>
    <w:rsid w:val="00E16580"/>
    <w:rsid w:val="00E16EEB"/>
    <w:rsid w:val="00E176EB"/>
    <w:rsid w:val="00E20446"/>
    <w:rsid w:val="00E2153F"/>
    <w:rsid w:val="00E21A08"/>
    <w:rsid w:val="00E21D30"/>
    <w:rsid w:val="00E22126"/>
    <w:rsid w:val="00E2212B"/>
    <w:rsid w:val="00E229E0"/>
    <w:rsid w:val="00E22D4F"/>
    <w:rsid w:val="00E23806"/>
    <w:rsid w:val="00E241CC"/>
    <w:rsid w:val="00E24373"/>
    <w:rsid w:val="00E24663"/>
    <w:rsid w:val="00E24765"/>
    <w:rsid w:val="00E24898"/>
    <w:rsid w:val="00E25B38"/>
    <w:rsid w:val="00E2600E"/>
    <w:rsid w:val="00E26078"/>
    <w:rsid w:val="00E26148"/>
    <w:rsid w:val="00E26308"/>
    <w:rsid w:val="00E2685A"/>
    <w:rsid w:val="00E26E06"/>
    <w:rsid w:val="00E274E6"/>
    <w:rsid w:val="00E2780E"/>
    <w:rsid w:val="00E30150"/>
    <w:rsid w:val="00E30598"/>
    <w:rsid w:val="00E31332"/>
    <w:rsid w:val="00E313E8"/>
    <w:rsid w:val="00E31410"/>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16A"/>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4BB5"/>
    <w:rsid w:val="00E45123"/>
    <w:rsid w:val="00E45332"/>
    <w:rsid w:val="00E45474"/>
    <w:rsid w:val="00E45A1C"/>
    <w:rsid w:val="00E460D0"/>
    <w:rsid w:val="00E46B10"/>
    <w:rsid w:val="00E478BF"/>
    <w:rsid w:val="00E50DDC"/>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1E8"/>
    <w:rsid w:val="00E5749B"/>
    <w:rsid w:val="00E60825"/>
    <w:rsid w:val="00E614C9"/>
    <w:rsid w:val="00E615B7"/>
    <w:rsid w:val="00E62F6D"/>
    <w:rsid w:val="00E63142"/>
    <w:rsid w:val="00E63CE4"/>
    <w:rsid w:val="00E64485"/>
    <w:rsid w:val="00E64A4A"/>
    <w:rsid w:val="00E65A7C"/>
    <w:rsid w:val="00E667FC"/>
    <w:rsid w:val="00E66D29"/>
    <w:rsid w:val="00E66F4E"/>
    <w:rsid w:val="00E67184"/>
    <w:rsid w:val="00E6735B"/>
    <w:rsid w:val="00E70A4C"/>
    <w:rsid w:val="00E70AFC"/>
    <w:rsid w:val="00E70EE3"/>
    <w:rsid w:val="00E715B8"/>
    <w:rsid w:val="00E71A58"/>
    <w:rsid w:val="00E71E88"/>
    <w:rsid w:val="00E72A30"/>
    <w:rsid w:val="00E72B6F"/>
    <w:rsid w:val="00E72BF9"/>
    <w:rsid w:val="00E72EB4"/>
    <w:rsid w:val="00E748E2"/>
    <w:rsid w:val="00E74E31"/>
    <w:rsid w:val="00E75807"/>
    <w:rsid w:val="00E7589F"/>
    <w:rsid w:val="00E7597A"/>
    <w:rsid w:val="00E75CE2"/>
    <w:rsid w:val="00E75EFD"/>
    <w:rsid w:val="00E76AC9"/>
    <w:rsid w:val="00E77FD3"/>
    <w:rsid w:val="00E803FC"/>
    <w:rsid w:val="00E8053F"/>
    <w:rsid w:val="00E80B63"/>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5DA"/>
    <w:rsid w:val="00E91692"/>
    <w:rsid w:val="00E91C6B"/>
    <w:rsid w:val="00E92485"/>
    <w:rsid w:val="00E92B28"/>
    <w:rsid w:val="00E9447B"/>
    <w:rsid w:val="00E94538"/>
    <w:rsid w:val="00E94BAB"/>
    <w:rsid w:val="00E94D39"/>
    <w:rsid w:val="00E95883"/>
    <w:rsid w:val="00E95D6F"/>
    <w:rsid w:val="00E95DE2"/>
    <w:rsid w:val="00E96185"/>
    <w:rsid w:val="00E96BAC"/>
    <w:rsid w:val="00E971D4"/>
    <w:rsid w:val="00E97909"/>
    <w:rsid w:val="00E97F7F"/>
    <w:rsid w:val="00EA071E"/>
    <w:rsid w:val="00EA1CEE"/>
    <w:rsid w:val="00EA1D0B"/>
    <w:rsid w:val="00EA22C2"/>
    <w:rsid w:val="00EA24DA"/>
    <w:rsid w:val="00EA2A10"/>
    <w:rsid w:val="00EA310F"/>
    <w:rsid w:val="00EA3373"/>
    <w:rsid w:val="00EA340A"/>
    <w:rsid w:val="00EA3E5B"/>
    <w:rsid w:val="00EA3EF0"/>
    <w:rsid w:val="00EA4493"/>
    <w:rsid w:val="00EA44EC"/>
    <w:rsid w:val="00EA4922"/>
    <w:rsid w:val="00EA4B0A"/>
    <w:rsid w:val="00EA549E"/>
    <w:rsid w:val="00EA54DC"/>
    <w:rsid w:val="00EA5FB0"/>
    <w:rsid w:val="00EA5FCD"/>
    <w:rsid w:val="00EA670C"/>
    <w:rsid w:val="00EA680E"/>
    <w:rsid w:val="00EA715B"/>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0D"/>
    <w:rsid w:val="00EC3C67"/>
    <w:rsid w:val="00EC41CD"/>
    <w:rsid w:val="00EC47B0"/>
    <w:rsid w:val="00EC50B9"/>
    <w:rsid w:val="00EC5DF5"/>
    <w:rsid w:val="00EC64E5"/>
    <w:rsid w:val="00EC6B7B"/>
    <w:rsid w:val="00EC734F"/>
    <w:rsid w:val="00EC7949"/>
    <w:rsid w:val="00ED0398"/>
    <w:rsid w:val="00ED094C"/>
    <w:rsid w:val="00ED0A98"/>
    <w:rsid w:val="00ED0B19"/>
    <w:rsid w:val="00ED0C90"/>
    <w:rsid w:val="00ED0EA9"/>
    <w:rsid w:val="00ED0F28"/>
    <w:rsid w:val="00ED0FB0"/>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086"/>
    <w:rsid w:val="00EE11CF"/>
    <w:rsid w:val="00EE12A7"/>
    <w:rsid w:val="00EE131A"/>
    <w:rsid w:val="00EE1726"/>
    <w:rsid w:val="00EE271B"/>
    <w:rsid w:val="00EE32A8"/>
    <w:rsid w:val="00EE3380"/>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12B"/>
    <w:rsid w:val="00EF25E5"/>
    <w:rsid w:val="00EF28D9"/>
    <w:rsid w:val="00EF3372"/>
    <w:rsid w:val="00EF421C"/>
    <w:rsid w:val="00EF4C87"/>
    <w:rsid w:val="00EF5139"/>
    <w:rsid w:val="00EF5575"/>
    <w:rsid w:val="00EF5A8D"/>
    <w:rsid w:val="00EF5BE9"/>
    <w:rsid w:val="00EF629E"/>
    <w:rsid w:val="00EF6908"/>
    <w:rsid w:val="00EF6F9D"/>
    <w:rsid w:val="00EF7515"/>
    <w:rsid w:val="00EF755D"/>
    <w:rsid w:val="00EF7E6D"/>
    <w:rsid w:val="00EF7F9A"/>
    <w:rsid w:val="00F00375"/>
    <w:rsid w:val="00F00A16"/>
    <w:rsid w:val="00F02D25"/>
    <w:rsid w:val="00F02F77"/>
    <w:rsid w:val="00F0359B"/>
    <w:rsid w:val="00F03D37"/>
    <w:rsid w:val="00F04739"/>
    <w:rsid w:val="00F04A99"/>
    <w:rsid w:val="00F05073"/>
    <w:rsid w:val="00F05289"/>
    <w:rsid w:val="00F05A20"/>
    <w:rsid w:val="00F063C4"/>
    <w:rsid w:val="00F065A5"/>
    <w:rsid w:val="00F072D6"/>
    <w:rsid w:val="00F102EB"/>
    <w:rsid w:val="00F103B2"/>
    <w:rsid w:val="00F105B4"/>
    <w:rsid w:val="00F114EB"/>
    <w:rsid w:val="00F119B8"/>
    <w:rsid w:val="00F119D5"/>
    <w:rsid w:val="00F1210C"/>
    <w:rsid w:val="00F121D8"/>
    <w:rsid w:val="00F12637"/>
    <w:rsid w:val="00F1322C"/>
    <w:rsid w:val="00F13A41"/>
    <w:rsid w:val="00F14BE6"/>
    <w:rsid w:val="00F15B1D"/>
    <w:rsid w:val="00F16504"/>
    <w:rsid w:val="00F17B6B"/>
    <w:rsid w:val="00F17D62"/>
    <w:rsid w:val="00F2000F"/>
    <w:rsid w:val="00F2053B"/>
    <w:rsid w:val="00F20EC4"/>
    <w:rsid w:val="00F20F33"/>
    <w:rsid w:val="00F219F8"/>
    <w:rsid w:val="00F22233"/>
    <w:rsid w:val="00F2265D"/>
    <w:rsid w:val="00F22B29"/>
    <w:rsid w:val="00F22EEF"/>
    <w:rsid w:val="00F22F17"/>
    <w:rsid w:val="00F2329A"/>
    <w:rsid w:val="00F246D6"/>
    <w:rsid w:val="00F2494A"/>
    <w:rsid w:val="00F26098"/>
    <w:rsid w:val="00F26486"/>
    <w:rsid w:val="00F26F88"/>
    <w:rsid w:val="00F27782"/>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F70"/>
    <w:rsid w:val="00F55331"/>
    <w:rsid w:val="00F55E33"/>
    <w:rsid w:val="00F55F38"/>
    <w:rsid w:val="00F55FA4"/>
    <w:rsid w:val="00F5648F"/>
    <w:rsid w:val="00F5735D"/>
    <w:rsid w:val="00F57966"/>
    <w:rsid w:val="00F57A6E"/>
    <w:rsid w:val="00F60262"/>
    <w:rsid w:val="00F6045E"/>
    <w:rsid w:val="00F6188A"/>
    <w:rsid w:val="00F61DB0"/>
    <w:rsid w:val="00F61F60"/>
    <w:rsid w:val="00F621CE"/>
    <w:rsid w:val="00F625AA"/>
    <w:rsid w:val="00F62F9B"/>
    <w:rsid w:val="00F63662"/>
    <w:rsid w:val="00F6367D"/>
    <w:rsid w:val="00F63804"/>
    <w:rsid w:val="00F63F4F"/>
    <w:rsid w:val="00F6426C"/>
    <w:rsid w:val="00F649A5"/>
    <w:rsid w:val="00F65098"/>
    <w:rsid w:val="00F65177"/>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0EF"/>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24B2"/>
    <w:rsid w:val="00FA30BF"/>
    <w:rsid w:val="00FA338F"/>
    <w:rsid w:val="00FA354B"/>
    <w:rsid w:val="00FA3932"/>
    <w:rsid w:val="00FA3C9B"/>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D8F"/>
    <w:rsid w:val="00FD2C71"/>
    <w:rsid w:val="00FD2D9C"/>
    <w:rsid w:val="00FD40B5"/>
    <w:rsid w:val="00FD42C6"/>
    <w:rsid w:val="00FD454C"/>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668"/>
    <w:rsid w:val="00FE3142"/>
    <w:rsid w:val="00FE3A7F"/>
    <w:rsid w:val="00FE3C30"/>
    <w:rsid w:val="00FE3DAE"/>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77B"/>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319CD9F"/>
  <w15:chartTrackingRefBased/>
  <w15:docId w15:val="{924A7361-7CDC-4861-A44A-7D1DC6C4D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10"/>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5"/>
      </w:numPr>
      <w:suppressLineNumbers w:val="0"/>
      <w:tabs>
        <w:tab w:val="left" w:pos="284"/>
      </w:tabs>
      <w:suppressAutoHyphens w:val="0"/>
      <w:ind w:left="36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6"/>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892A35"/>
    <w:rPr>
      <w:vertAlign w:val="superscript"/>
    </w:rPr>
  </w:style>
  <w:style w:type="character" w:styleId="Hyperlnk">
    <w:name w:val="Hyperlink"/>
    <w:basedOn w:val="Standardstycketeckensnitt"/>
    <w:uiPriority w:val="99"/>
    <w:locked/>
    <w:rsid w:val="00776560"/>
    <w:rPr>
      <w:color w:val="0563C1" w:themeColor="hyperlink"/>
      <w:u w:val="single"/>
    </w:rPr>
  </w:style>
  <w:style w:type="character" w:styleId="Olstomnmnande">
    <w:name w:val="Unresolved Mention"/>
    <w:basedOn w:val="Standardstycketeckensnitt"/>
    <w:uiPriority w:val="99"/>
    <w:semiHidden/>
    <w:unhideWhenUsed/>
    <w:rsid w:val="007765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209868">
      <w:bodyDiv w:val="1"/>
      <w:marLeft w:val="0"/>
      <w:marRight w:val="0"/>
      <w:marTop w:val="0"/>
      <w:marBottom w:val="0"/>
      <w:divBdr>
        <w:top w:val="none" w:sz="0" w:space="0" w:color="auto"/>
        <w:left w:val="none" w:sz="0" w:space="0" w:color="auto"/>
        <w:bottom w:val="none" w:sz="0" w:space="0" w:color="auto"/>
        <w:right w:val="none" w:sz="0" w:space="0" w:color="auto"/>
      </w:divBdr>
    </w:div>
    <w:div w:id="765420498">
      <w:bodyDiv w:val="1"/>
      <w:marLeft w:val="0"/>
      <w:marRight w:val="0"/>
      <w:marTop w:val="0"/>
      <w:marBottom w:val="0"/>
      <w:divBdr>
        <w:top w:val="none" w:sz="0" w:space="0" w:color="auto"/>
        <w:left w:val="none" w:sz="0" w:space="0" w:color="auto"/>
        <w:bottom w:val="none" w:sz="0" w:space="0" w:color="auto"/>
        <w:right w:val="none" w:sz="0" w:space="0" w:color="auto"/>
      </w:divBdr>
    </w:div>
    <w:div w:id="845943471">
      <w:bodyDiv w:val="1"/>
      <w:marLeft w:val="0"/>
      <w:marRight w:val="0"/>
      <w:marTop w:val="0"/>
      <w:marBottom w:val="0"/>
      <w:divBdr>
        <w:top w:val="none" w:sz="0" w:space="0" w:color="auto"/>
        <w:left w:val="none" w:sz="0" w:space="0" w:color="auto"/>
        <w:bottom w:val="none" w:sz="0" w:space="0" w:color="auto"/>
        <w:right w:val="none" w:sz="0" w:space="0" w:color="auto"/>
      </w:divBdr>
      <w:divsChild>
        <w:div w:id="1719011706">
          <w:marLeft w:val="0"/>
          <w:marRight w:val="0"/>
          <w:marTop w:val="0"/>
          <w:marBottom w:val="0"/>
          <w:divBdr>
            <w:top w:val="single" w:sz="2" w:space="0" w:color="auto"/>
            <w:left w:val="single" w:sz="2" w:space="0" w:color="auto"/>
            <w:bottom w:val="single" w:sz="2" w:space="0" w:color="auto"/>
            <w:right w:val="single" w:sz="2" w:space="0" w:color="auto"/>
          </w:divBdr>
          <w:divsChild>
            <w:div w:id="32921672">
              <w:marLeft w:val="0"/>
              <w:marRight w:val="0"/>
              <w:marTop w:val="0"/>
              <w:marBottom w:val="0"/>
              <w:divBdr>
                <w:top w:val="single" w:sz="2" w:space="0" w:color="auto"/>
                <w:left w:val="single" w:sz="2" w:space="0" w:color="auto"/>
                <w:bottom w:val="single" w:sz="2" w:space="0" w:color="auto"/>
                <w:right w:val="single" w:sz="2" w:space="0" w:color="auto"/>
              </w:divBdr>
              <w:divsChild>
                <w:div w:id="1235972988">
                  <w:marLeft w:val="0"/>
                  <w:marRight w:val="0"/>
                  <w:marTop w:val="0"/>
                  <w:marBottom w:val="0"/>
                  <w:divBdr>
                    <w:top w:val="single" w:sz="2" w:space="0" w:color="auto"/>
                    <w:left w:val="single" w:sz="2" w:space="0" w:color="auto"/>
                    <w:bottom w:val="single" w:sz="2" w:space="0" w:color="auto"/>
                    <w:right w:val="single" w:sz="2" w:space="0" w:color="auto"/>
                  </w:divBdr>
                  <w:divsChild>
                    <w:div w:id="246231068">
                      <w:marLeft w:val="0"/>
                      <w:marRight w:val="0"/>
                      <w:marTop w:val="0"/>
                      <w:marBottom w:val="0"/>
                      <w:divBdr>
                        <w:top w:val="single" w:sz="2" w:space="0" w:color="auto"/>
                        <w:left w:val="single" w:sz="2" w:space="0" w:color="auto"/>
                        <w:bottom w:val="single" w:sz="2" w:space="0" w:color="auto"/>
                        <w:right w:val="single" w:sz="2" w:space="0" w:color="auto"/>
                      </w:divBdr>
                      <w:divsChild>
                        <w:div w:id="1822822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381104376">
          <w:marLeft w:val="0"/>
          <w:marRight w:val="0"/>
          <w:marTop w:val="0"/>
          <w:marBottom w:val="0"/>
          <w:divBdr>
            <w:top w:val="single" w:sz="2" w:space="0" w:color="auto"/>
            <w:left w:val="single" w:sz="2" w:space="0" w:color="auto"/>
            <w:bottom w:val="single" w:sz="2" w:space="0" w:color="auto"/>
            <w:right w:val="single" w:sz="2" w:space="0" w:color="auto"/>
          </w:divBdr>
          <w:divsChild>
            <w:div w:id="1277828439">
              <w:marLeft w:val="0"/>
              <w:marRight w:val="0"/>
              <w:marTop w:val="0"/>
              <w:marBottom w:val="0"/>
              <w:divBdr>
                <w:top w:val="single" w:sz="2" w:space="0" w:color="auto"/>
                <w:left w:val="single" w:sz="2" w:space="0" w:color="auto"/>
                <w:bottom w:val="single" w:sz="2" w:space="0" w:color="auto"/>
                <w:right w:val="single" w:sz="2" w:space="0" w:color="auto"/>
              </w:divBdr>
              <w:divsChild>
                <w:div w:id="781538862">
                  <w:marLeft w:val="0"/>
                  <w:marRight w:val="0"/>
                  <w:marTop w:val="0"/>
                  <w:marBottom w:val="0"/>
                  <w:divBdr>
                    <w:top w:val="single" w:sz="2" w:space="0" w:color="auto"/>
                    <w:left w:val="single" w:sz="2" w:space="0" w:color="auto"/>
                    <w:bottom w:val="single" w:sz="2" w:space="0" w:color="auto"/>
                    <w:right w:val="single" w:sz="2" w:space="0" w:color="auto"/>
                  </w:divBdr>
                  <w:divsChild>
                    <w:div w:id="974263659">
                      <w:marLeft w:val="0"/>
                      <w:marRight w:val="0"/>
                      <w:marTop w:val="0"/>
                      <w:marBottom w:val="0"/>
                      <w:divBdr>
                        <w:top w:val="single" w:sz="2" w:space="0" w:color="auto"/>
                        <w:left w:val="single" w:sz="2" w:space="0" w:color="auto"/>
                        <w:bottom w:val="single" w:sz="2" w:space="0" w:color="auto"/>
                        <w:right w:val="single" w:sz="2" w:space="0" w:color="auto"/>
                      </w:divBdr>
                      <w:divsChild>
                        <w:div w:id="333145392">
                          <w:marLeft w:val="0"/>
                          <w:marRight w:val="0"/>
                          <w:marTop w:val="0"/>
                          <w:marBottom w:val="0"/>
                          <w:divBdr>
                            <w:top w:val="single" w:sz="2" w:space="0" w:color="auto"/>
                            <w:left w:val="single" w:sz="2" w:space="0" w:color="auto"/>
                            <w:bottom w:val="single" w:sz="2" w:space="0" w:color="auto"/>
                            <w:right w:val="single" w:sz="2" w:space="0" w:color="auto"/>
                          </w:divBdr>
                        </w:div>
                        <w:div w:id="2792598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16909687">
      <w:bodyDiv w:val="1"/>
      <w:marLeft w:val="0"/>
      <w:marRight w:val="0"/>
      <w:marTop w:val="0"/>
      <w:marBottom w:val="0"/>
      <w:divBdr>
        <w:top w:val="none" w:sz="0" w:space="0" w:color="auto"/>
        <w:left w:val="none" w:sz="0" w:space="0" w:color="auto"/>
        <w:bottom w:val="none" w:sz="0" w:space="0" w:color="auto"/>
        <w:right w:val="none" w:sz="0" w:space="0" w:color="auto"/>
      </w:divBdr>
      <w:divsChild>
        <w:div w:id="1252547908">
          <w:marLeft w:val="0"/>
          <w:marRight w:val="0"/>
          <w:marTop w:val="0"/>
          <w:marBottom w:val="0"/>
          <w:divBdr>
            <w:top w:val="single" w:sz="2" w:space="0" w:color="auto"/>
            <w:left w:val="single" w:sz="2" w:space="0" w:color="auto"/>
            <w:bottom w:val="single" w:sz="2" w:space="0" w:color="auto"/>
            <w:right w:val="single" w:sz="2" w:space="0" w:color="auto"/>
          </w:divBdr>
        </w:div>
        <w:div w:id="236743349">
          <w:marLeft w:val="0"/>
          <w:marRight w:val="0"/>
          <w:marTop w:val="0"/>
          <w:marBottom w:val="0"/>
          <w:divBdr>
            <w:top w:val="single" w:sz="2" w:space="0" w:color="auto"/>
            <w:left w:val="single" w:sz="2" w:space="0" w:color="auto"/>
            <w:bottom w:val="single" w:sz="2" w:space="0" w:color="auto"/>
            <w:right w:val="single" w:sz="2" w:space="0" w:color="auto"/>
          </w:divBdr>
        </w:div>
        <w:div w:id="1547253223">
          <w:marLeft w:val="0"/>
          <w:marRight w:val="0"/>
          <w:marTop w:val="0"/>
          <w:marBottom w:val="0"/>
          <w:divBdr>
            <w:top w:val="single" w:sz="2" w:space="0" w:color="auto"/>
            <w:left w:val="single" w:sz="2" w:space="0" w:color="auto"/>
            <w:bottom w:val="single" w:sz="2" w:space="0" w:color="auto"/>
            <w:right w:val="single" w:sz="2" w:space="0" w:color="auto"/>
          </w:divBdr>
        </w:div>
        <w:div w:id="15541629">
          <w:marLeft w:val="0"/>
          <w:marRight w:val="0"/>
          <w:marTop w:val="0"/>
          <w:marBottom w:val="0"/>
          <w:divBdr>
            <w:top w:val="single" w:sz="2" w:space="0" w:color="auto"/>
            <w:left w:val="single" w:sz="2" w:space="0" w:color="auto"/>
            <w:bottom w:val="single" w:sz="2" w:space="0" w:color="auto"/>
            <w:right w:val="single" w:sz="2" w:space="0" w:color="auto"/>
          </w:divBdr>
        </w:div>
        <w:div w:id="848175185">
          <w:marLeft w:val="0"/>
          <w:marRight w:val="0"/>
          <w:marTop w:val="0"/>
          <w:marBottom w:val="0"/>
          <w:divBdr>
            <w:top w:val="single" w:sz="2" w:space="0" w:color="auto"/>
            <w:left w:val="single" w:sz="2" w:space="0" w:color="auto"/>
            <w:bottom w:val="single" w:sz="2" w:space="0" w:color="auto"/>
            <w:right w:val="single" w:sz="2" w:space="0" w:color="auto"/>
          </w:divBdr>
        </w:div>
        <w:div w:id="1697192350">
          <w:marLeft w:val="0"/>
          <w:marRight w:val="0"/>
          <w:marTop w:val="0"/>
          <w:marBottom w:val="0"/>
          <w:divBdr>
            <w:top w:val="single" w:sz="2" w:space="0" w:color="auto"/>
            <w:left w:val="single" w:sz="2" w:space="0" w:color="auto"/>
            <w:bottom w:val="single" w:sz="2" w:space="0" w:color="auto"/>
            <w:right w:val="single" w:sz="2" w:space="0" w:color="auto"/>
          </w:divBdr>
        </w:div>
        <w:div w:id="1112481509">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A23BB1902646EE968281C07CE4D80B"/>
        <w:category>
          <w:name w:val="Allmänt"/>
          <w:gallery w:val="placeholder"/>
        </w:category>
        <w:types>
          <w:type w:val="bbPlcHdr"/>
        </w:types>
        <w:behaviors>
          <w:behavior w:val="content"/>
        </w:behaviors>
        <w:guid w:val="{4D4C3AE8-51EB-4313-A42B-36A0B906C4BC}"/>
      </w:docPartPr>
      <w:docPartBody>
        <w:p w:rsidR="0097229B" w:rsidRDefault="0097229B">
          <w:pPr>
            <w:pStyle w:val="1AA23BB1902646EE968281C07CE4D80B"/>
          </w:pPr>
          <w:r w:rsidRPr="005A0A93">
            <w:rPr>
              <w:rStyle w:val="Platshllartext"/>
            </w:rPr>
            <w:t>Förslag till riksdagsbeslut</w:t>
          </w:r>
        </w:p>
      </w:docPartBody>
    </w:docPart>
    <w:docPart>
      <w:docPartPr>
        <w:name w:val="2810D3B30DF040C6845213EA63FB5BB9"/>
        <w:category>
          <w:name w:val="Allmänt"/>
          <w:gallery w:val="placeholder"/>
        </w:category>
        <w:types>
          <w:type w:val="bbPlcHdr"/>
        </w:types>
        <w:behaviors>
          <w:behavior w:val="content"/>
        </w:behaviors>
        <w:guid w:val="{FA2FF8C5-89CD-41FC-B1FA-8405AAD25538}"/>
      </w:docPartPr>
      <w:docPartBody>
        <w:p w:rsidR="0097229B" w:rsidRDefault="0097229B">
          <w:r w:rsidRPr="005A0A93">
            <w:rPr>
              <w:rStyle w:val="Platshllartext"/>
            </w:rPr>
            <w:t>Motivering</w:t>
          </w:r>
        </w:p>
      </w:docPartBody>
    </w:docPart>
    <w:docPart>
      <w:docPartPr>
        <w:name w:val="9573722988AC4C78AEEA39F112413A97"/>
        <w:category>
          <w:name w:val="Allmänt"/>
          <w:gallery w:val="placeholder"/>
        </w:category>
        <w:types>
          <w:type w:val="bbPlcHdr"/>
        </w:types>
        <w:behaviors>
          <w:behavior w:val="content"/>
        </w:behaviors>
        <w:guid w:val="{F8DD36C5-6019-4E5C-A6E8-3C11E5E737F7}"/>
      </w:docPartPr>
      <w:docPartBody>
        <w:p w:rsidR="0097229B" w:rsidRDefault="0097229B">
          <w:r>
            <w:rPr>
              <w:rStyle w:val="Platshllartext"/>
            </w:rPr>
            <w:t xml:space="preserve"> </w:t>
          </w:r>
        </w:p>
      </w:docPartBody>
    </w:docPart>
    <w:docPart>
      <w:docPartPr>
        <w:name w:val="8BAE092FA6554660B07370796B4DD8BA"/>
        <w:category>
          <w:name w:val="Allmänt"/>
          <w:gallery w:val="placeholder"/>
        </w:category>
        <w:types>
          <w:type w:val="bbPlcHdr"/>
        </w:types>
        <w:behaviors>
          <w:behavior w:val="content"/>
        </w:behaviors>
        <w:guid w:val="{F00211A4-E1E4-4C2C-B880-B29CC575AA56}"/>
      </w:docPartPr>
      <w:docPartBody>
        <w:p w:rsidR="0097229B" w:rsidRDefault="0097229B">
          <w:r>
            <w:t xml:space="preserve"> </w:t>
          </w:r>
        </w:p>
      </w:docPartBody>
    </w:docPart>
    <w:docPart>
      <w:docPartPr>
        <w:name w:val="D75D7C59711A4A4AA392C29B5CEC3066"/>
        <w:category>
          <w:name w:val="Allmänt"/>
          <w:gallery w:val="placeholder"/>
        </w:category>
        <w:types>
          <w:type w:val="bbPlcHdr"/>
        </w:types>
        <w:behaviors>
          <w:behavior w:val="content"/>
        </w:behaviors>
        <w:guid w:val="{EABD3F4E-EBBD-4141-B207-7877F618DE77}"/>
      </w:docPartPr>
      <w:docPartBody>
        <w:p w:rsidR="00E579B6" w:rsidRDefault="00E579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29B"/>
    <w:rsid w:val="00087E3C"/>
    <w:rsid w:val="00245486"/>
    <w:rsid w:val="002C1AC8"/>
    <w:rsid w:val="003038BE"/>
    <w:rsid w:val="003278C2"/>
    <w:rsid w:val="00445B26"/>
    <w:rsid w:val="005D298B"/>
    <w:rsid w:val="00727567"/>
    <w:rsid w:val="00775DF7"/>
    <w:rsid w:val="008D2DBB"/>
    <w:rsid w:val="0097229B"/>
    <w:rsid w:val="00E579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D2DBB"/>
    <w:rPr>
      <w:color w:val="F4B083" w:themeColor="accent2" w:themeTint="99"/>
    </w:rPr>
  </w:style>
  <w:style w:type="paragraph" w:customStyle="1" w:styleId="1AA23BB1902646EE968281C07CE4D80B">
    <w:name w:val="1AA23BB1902646EE968281C07CE4D8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A81738-9781-4EA9-9484-CF8E6F85F8BF}"/>
</file>

<file path=customXml/itemProps2.xml><?xml version="1.0" encoding="utf-8"?>
<ds:datastoreItem xmlns:ds="http://schemas.openxmlformats.org/officeDocument/2006/customXml" ds:itemID="{BBF2EF88-EB80-4EE9-9FE0-030E47BF957C}"/>
</file>

<file path=customXml/itemProps3.xml><?xml version="1.0" encoding="utf-8"?>
<ds:datastoreItem xmlns:ds="http://schemas.openxmlformats.org/officeDocument/2006/customXml" ds:itemID="{16964757-C9B9-4BE2-A12D-64322D15586E}"/>
</file>

<file path=docProps/app.xml><?xml version="1.0" encoding="utf-8"?>
<Properties xmlns="http://schemas.openxmlformats.org/officeDocument/2006/extended-properties" xmlns:vt="http://schemas.openxmlformats.org/officeDocument/2006/docPropsVTypes">
  <Template>Normal</Template>
  <TotalTime>95</TotalTime>
  <Pages>15</Pages>
  <Words>5382</Words>
  <Characters>32243</Characters>
  <Application>Microsoft Office Word</Application>
  <DocSecurity>0</DocSecurity>
  <Lines>632</Lines>
  <Paragraphs>296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V704 Skatteflykt</vt:lpstr>
      <vt:lpstr>
      </vt:lpstr>
    </vt:vector>
  </TitlesOfParts>
  <Company>Sveriges riksdag</Company>
  <LinksUpToDate>false</LinksUpToDate>
  <CharactersWithSpaces>37329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