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0842">
        <w:tblPrEx>
          <w:tblCellMar>
            <w:top w:w="0" w:type="dxa"/>
            <w:left w:w="0" w:type="dxa"/>
            <w:bottom w:w="0" w:type="dxa"/>
            <w:right w:w="0" w:type="dxa"/>
          </w:tblCellMar>
        </w:tblPrEx>
        <w:trPr>
          <w:gridAfter w:val="2"/>
          <w:wAfter w:w="1758" w:type="dxa"/>
          <w:cantSplit/>
          <w:trHeight w:val="1320"/>
        </w:trPr>
        <w:tc>
          <w:tcPr>
            <w:tcW w:w="5897" w:type="dxa"/>
          </w:tcPr>
          <w:p w:rsidR="000E7B36" w:rsidRPr="00180842" w:rsidRDefault="000E7B36">
            <w:pPr>
              <w:pStyle w:val="HuvudRubrik"/>
            </w:pPr>
            <w:r w:rsidRPr="00180842">
              <w:t>Regeringskansliet</w:t>
            </w:r>
          </w:p>
          <w:p w:rsidR="000E7B36" w:rsidRPr="00180842" w:rsidRDefault="000E7B36">
            <w:pPr>
              <w:pStyle w:val="HuvudRubrik"/>
            </w:pPr>
            <w:r w:rsidRPr="00180842">
              <w:t>Faktapromemoria 2003/04:FPM66</w:t>
            </w:r>
          </w:p>
        </w:tc>
      </w:tr>
      <w:tr w:rsidR="00000000" w:rsidRPr="00180842">
        <w:tblPrEx>
          <w:tblCellMar>
            <w:top w:w="0" w:type="dxa"/>
            <w:left w:w="0" w:type="dxa"/>
            <w:bottom w:w="0" w:type="dxa"/>
            <w:right w:w="0" w:type="dxa"/>
          </w:tblCellMar>
        </w:tblPrEx>
        <w:trPr>
          <w:gridAfter w:val="2"/>
          <w:wAfter w:w="1758" w:type="dxa"/>
          <w:cantSplit/>
          <w:trHeight w:val="240"/>
        </w:trPr>
        <w:tc>
          <w:tcPr>
            <w:tcW w:w="5897" w:type="dxa"/>
          </w:tcPr>
          <w:p w:rsidR="000E7B36" w:rsidRPr="00180842" w:rsidRDefault="000E7B36">
            <w:pPr>
              <w:pStyle w:val="HuvudRubrik"/>
              <w:rPr>
                <w:sz w:val="28"/>
              </w:rPr>
            </w:pPr>
            <w:r w:rsidRPr="00180842">
              <w:t>Förslag till ändring av fusionsdirektivet</w:t>
            </w:r>
          </w:p>
        </w:tc>
      </w:tr>
      <w:tr w:rsidR="00000000" w:rsidRPr="00180842">
        <w:tblPrEx>
          <w:tblCellMar>
            <w:top w:w="0" w:type="dxa"/>
            <w:left w:w="0" w:type="dxa"/>
            <w:bottom w:w="0" w:type="dxa"/>
            <w:right w:w="0" w:type="dxa"/>
          </w:tblCellMar>
        </w:tblPrEx>
        <w:trPr>
          <w:cantSplit/>
          <w:trHeight w:val="285"/>
        </w:trPr>
        <w:tc>
          <w:tcPr>
            <w:tcW w:w="7655" w:type="dxa"/>
            <w:gridSpan w:val="3"/>
          </w:tcPr>
          <w:p w:rsidR="000E7B36" w:rsidRPr="00180842" w:rsidRDefault="000E7B36">
            <w:pPr>
              <w:pStyle w:val="Departement"/>
              <w:rPr>
                <w:sz w:val="28"/>
              </w:rPr>
            </w:pPr>
            <w:r w:rsidRPr="00180842">
              <w:t>Finansdepartementet</w:t>
            </w:r>
          </w:p>
        </w:tc>
      </w:tr>
      <w:tr w:rsidR="00000000" w:rsidRPr="00180842">
        <w:tblPrEx>
          <w:tblCellMar>
            <w:top w:w="0" w:type="dxa"/>
            <w:left w:w="0" w:type="dxa"/>
            <w:bottom w:w="0" w:type="dxa"/>
            <w:right w:w="0" w:type="dxa"/>
          </w:tblCellMar>
        </w:tblPrEx>
        <w:trPr>
          <w:cantSplit/>
          <w:trHeight w:val="240"/>
        </w:trPr>
        <w:tc>
          <w:tcPr>
            <w:tcW w:w="7655" w:type="dxa"/>
            <w:gridSpan w:val="3"/>
          </w:tcPr>
          <w:p w:rsidR="000E7B36" w:rsidRPr="00180842" w:rsidRDefault="000E7B36">
            <w:pPr>
              <w:pStyle w:val="Dokumentdatum"/>
            </w:pPr>
            <w:r w:rsidRPr="00180842">
              <w:t>2003-12-17</w:t>
            </w:r>
          </w:p>
        </w:tc>
      </w:tr>
      <w:tr w:rsidR="00000000" w:rsidRPr="00180842">
        <w:tblPrEx>
          <w:tblCellMar>
            <w:top w:w="0" w:type="dxa"/>
            <w:left w:w="0" w:type="dxa"/>
            <w:bottom w:w="0" w:type="dxa"/>
            <w:right w:w="0" w:type="dxa"/>
          </w:tblCellMar>
        </w:tblPrEx>
        <w:trPr>
          <w:cantSplit/>
          <w:trHeight w:val="726"/>
        </w:trPr>
        <w:tc>
          <w:tcPr>
            <w:tcW w:w="7655" w:type="dxa"/>
            <w:gridSpan w:val="3"/>
            <w:vAlign w:val="bottom"/>
          </w:tcPr>
          <w:p w:rsidR="000E7B36" w:rsidRPr="00180842" w:rsidRDefault="000E7B36">
            <w:pPr>
              <w:pStyle w:val="Dokumentbeteckning"/>
            </w:pPr>
            <w:r w:rsidRPr="00180842">
              <w:t>Dokumentbeteckning</w:t>
            </w:r>
          </w:p>
        </w:tc>
      </w:tr>
      <w:tr w:rsidR="00000000" w:rsidRPr="00180842">
        <w:tblPrEx>
          <w:tblCellMar>
            <w:top w:w="0" w:type="dxa"/>
            <w:left w:w="0" w:type="dxa"/>
            <w:bottom w:w="0" w:type="dxa"/>
            <w:right w:w="0" w:type="dxa"/>
          </w:tblCellMar>
        </w:tblPrEx>
        <w:trPr>
          <w:gridAfter w:val="1"/>
          <w:wAfter w:w="1560" w:type="dxa"/>
          <w:trHeight w:val="120"/>
        </w:trPr>
        <w:tc>
          <w:tcPr>
            <w:tcW w:w="6095" w:type="dxa"/>
            <w:gridSpan w:val="2"/>
          </w:tcPr>
          <w:p w:rsidR="000E7B36" w:rsidRPr="00180842" w:rsidRDefault="000E7B36">
            <w:bookmarkStart w:id="0" w:name="KomNr"/>
            <w:bookmarkEnd w:id="0"/>
            <w:r w:rsidRPr="00180842">
              <w:t>KOM (2003) 613 slutlig</w:t>
            </w:r>
          </w:p>
        </w:tc>
      </w:tr>
      <w:tr w:rsidR="00000000" w:rsidRPr="00180842">
        <w:tblPrEx>
          <w:tblCellMar>
            <w:top w:w="0" w:type="dxa"/>
            <w:left w:w="0" w:type="dxa"/>
            <w:bottom w:w="0" w:type="dxa"/>
            <w:right w:w="0" w:type="dxa"/>
          </w:tblCellMar>
        </w:tblPrEx>
        <w:trPr>
          <w:gridAfter w:val="1"/>
          <w:wAfter w:w="1560" w:type="dxa"/>
          <w:trHeight w:val="120"/>
        </w:trPr>
        <w:tc>
          <w:tcPr>
            <w:tcW w:w="6095" w:type="dxa"/>
            <w:gridSpan w:val="2"/>
          </w:tcPr>
          <w:p w:rsidR="000E7B36" w:rsidRPr="00180842" w:rsidRDefault="000E7B36">
            <w:pPr>
              <w:pStyle w:val="Dokumentbeteckning-titel"/>
            </w:pPr>
            <w:r w:rsidRPr="00180842">
              <w:t>Förslag till rådets direktiv om ändring av rådets direktiv 90/434/EEG av den 23 juli 1990 om ett gemensamt beskattningssystem för fusion, fission, överföring av tillgångar och utbyte av aktier eller andelar som berör bolag i olika medlemsstater</w:t>
            </w:r>
          </w:p>
        </w:tc>
      </w:tr>
    </w:tbl>
    <w:p w:rsidR="000E7B36" w:rsidRPr="00180842" w:rsidRDefault="000E7B36">
      <w:pPr>
        <w:pStyle w:val="Rubrik1"/>
        <w:numPr>
          <w:ilvl w:val="0"/>
          <w:numId w:val="0"/>
        </w:numPr>
      </w:pPr>
      <w:r w:rsidRPr="00180842">
        <w:t>Sammanfattning</w:t>
      </w:r>
    </w:p>
    <w:p w:rsidR="000E7B36" w:rsidRPr="00180842" w:rsidRDefault="000E7B36">
      <w:r w:rsidRPr="00180842">
        <w:t>Kommissionen har den 17 oktober 2003 lagt fram ett förslag om ändringar i direktivet (90/434/EEG) om ett gemensamt beskattningssystem för fusion, fission, överföring av tillgångar och utbyte av aktier eller andelar som berör bolag i olika medlemsstater (fusionsdirektivet) i syfte att uppdatera, klargöra och bredda direktivets tillämpningsområde.</w:t>
      </w:r>
    </w:p>
    <w:p w:rsidR="000E7B36" w:rsidRPr="00180842" w:rsidRDefault="000E7B36">
      <w:pPr>
        <w:pStyle w:val="Rubrik1"/>
      </w:pPr>
      <w:r w:rsidRPr="00180842">
        <w:t>Förslaget</w:t>
      </w:r>
    </w:p>
    <w:p w:rsidR="000E7B36" w:rsidRPr="00180842" w:rsidRDefault="000E7B36">
      <w:pPr>
        <w:pStyle w:val="Rubrik2"/>
      </w:pPr>
      <w:r w:rsidRPr="00180842">
        <w:t>Innehåll</w:t>
      </w:r>
    </w:p>
    <w:p w:rsidR="000E7B36" w:rsidRPr="00180842" w:rsidRDefault="000E7B36">
      <w:r w:rsidRPr="00180842">
        <w:t>Fusionsdirektivet (90/435/EEG) syftar till att gränsöverskridande omstruktureringar av bolag i olika medlemsstater inte skall missgynnas skattemässigt jämfört med sådana förfaranden som avser bolag i samma medlemsstat. Det gemensamma skattesystemet undviker beskattning vid fusioner, fissioner, verksamhetsöverlåtelser, överlåtelser av ett fast driftställe och andelsbyten samtidigt som det är tänkt att värna om den stats ekonomiska intressen där överlåtande eller övertaget bolag är hemmahörande. Systemet inn</w:t>
      </w:r>
      <w:r w:rsidRPr="00180842">
        <w:t>ebär uppskov med beskattningen vid sådana omstruktureringar. Beskattning skall ske först när överförda tillgångar verkligen avyttras. Detta säkerställer att tillgångarna till slut blir beskattade i den stat där det överlåtande bolaget hör hemma vid den tidpunkt då de avyttras.</w:t>
      </w:r>
    </w:p>
    <w:p w:rsidR="000E7B36" w:rsidRPr="00180842" w:rsidRDefault="000E7B36">
      <w:r w:rsidRPr="00180842">
        <w:t>Kommissionen har den 17 oktober 2003 lagt fram ett förslag om ändringar i syfte att uppdatera, klargöra och bredda direktivets tillämpningsområde.</w:t>
      </w:r>
    </w:p>
    <w:p w:rsidR="000E7B36" w:rsidRPr="00180842" w:rsidRDefault="000E7B36">
      <w:r w:rsidRPr="00180842">
        <w:lastRenderedPageBreak/>
        <w:t>Förslaget innebär i korthet följande:</w:t>
      </w:r>
    </w:p>
    <w:p w:rsidR="000E7B36" w:rsidRPr="00180842" w:rsidRDefault="000E7B36"/>
    <w:p w:rsidR="000E7B36" w:rsidRPr="00180842" w:rsidRDefault="000E7B36">
      <w:r w:rsidRPr="00180842">
        <w:t>Direktivets räckvidd utsträcks till att omfatta en ny slags transaktion, s.k. begränsad eller partiell fission. En sådan innebär att det överlåtande bolaget som alltså fortsätter att existera efter transaktionen överlåter en eller flera verksamhetsgrenar till ett eller flera nya eller befintliga bolag. Ett övertagande bolag betalar ersättning i form av egna aktier direkt till ägarna av det överlåtande bolaget.</w:t>
      </w:r>
    </w:p>
    <w:p w:rsidR="000E7B36" w:rsidRPr="00180842" w:rsidRDefault="000E7B36"/>
    <w:p w:rsidR="000E7B36" w:rsidRPr="00180842" w:rsidRDefault="000E7B36">
      <w:r w:rsidRPr="00180842">
        <w:t>Flera nya företagsformer skall omfattas av direktivet.</w:t>
      </w:r>
    </w:p>
    <w:p w:rsidR="000E7B36" w:rsidRPr="00180842" w:rsidRDefault="000E7B36"/>
    <w:p w:rsidR="000E7B36" w:rsidRPr="00180842" w:rsidRDefault="000E7B36">
      <w:r w:rsidRPr="00180842">
        <w:t xml:space="preserve">Direktivet skall även omfatta de s.k. europabolagen som är en typ av bolag som fr.o.m. år 2004 kan bildas av två (eller flera) bolag som hör hemma i skilda medlemsstater, bl.a. genom fusion, genom bildande av holdingbolag eller dotterbolag och genom ombildning av ett publikt aktiebolag. Europabolag får flytta sitt säte till en annan medlemsstat utan att bolaget avvecklas eller en ny juridisk person bildas. </w:t>
      </w:r>
    </w:p>
    <w:p w:rsidR="000E7B36" w:rsidRPr="00180842" w:rsidRDefault="000E7B36"/>
    <w:p w:rsidR="000E7B36" w:rsidRPr="00180842" w:rsidRDefault="000E7B36">
      <w:r w:rsidRPr="00180842">
        <w:t>Vidare skall direktivet omfatta europeiska kooperativa föreningar som fr.o.m. år 2006 kan bildas av fysiska personer, bolag och andra offentligrättsliga eller privaträttsliga enheter som hör hemma i minst två medlemsstater. Föreningarna kan också bildas genom fusion mellan kooperativ som hör hemma i minst två medlemsstater samt genom ombildning av ett kooperativ som hör hemma i en medlemsstat och som sedan minst två år har en driftsenhet eller dotterföretag som hör hemma i en annan medlemsstat. Liksom eurob</w:t>
      </w:r>
      <w:r w:rsidRPr="00180842">
        <w:t>olagen får en sådan förening flytta sitt säte till en annan medlemsstat utan att den avvecklas eller en ny juridisk person bildas.</w:t>
      </w:r>
    </w:p>
    <w:p w:rsidR="000E7B36" w:rsidRPr="00180842" w:rsidRDefault="000E7B36"/>
    <w:p w:rsidR="000E7B36" w:rsidRPr="00180842" w:rsidRDefault="000E7B36">
      <w:r w:rsidRPr="00180842">
        <w:t>En flyttning av ett europabolags eller en europeisk kooperativ förenings säte från en medlemsstat till en annan skall inte leda till en omedelbar beskattning av kapitalvinsten. Möjligheten att göra en sådan flyttning skall inte förhindras av diskriminerande skatteregler eller restriktioner eller snedvridningar som kan vara i strid med EG-fördraget.</w:t>
      </w:r>
    </w:p>
    <w:p w:rsidR="000E7B36" w:rsidRPr="00180842" w:rsidRDefault="000E7B36"/>
    <w:p w:rsidR="000E7B36" w:rsidRPr="00180842" w:rsidRDefault="000E7B36">
      <w:r w:rsidRPr="00180842">
        <w:t>Det klargörs att direktivet kan tillämpas vid ombildning av en filial till ett dotterbolag.</w:t>
      </w:r>
    </w:p>
    <w:p w:rsidR="000E7B36" w:rsidRPr="00180842" w:rsidRDefault="000E7B36"/>
    <w:p w:rsidR="000E7B36" w:rsidRPr="00180842" w:rsidRDefault="000E7B36">
      <w:r w:rsidRPr="00180842">
        <w:t>Det garanteras att värdepapper och tillgångar som byts vid gränsöverskridande fusioner och fissioner värderas på samma sätt i olika medlemsstater när de slutligen blir föremål för kapitalvinstbeskattning.</w:t>
      </w:r>
    </w:p>
    <w:p w:rsidR="000E7B36" w:rsidRPr="00180842" w:rsidRDefault="000E7B36">
      <w:pPr>
        <w:pStyle w:val="Rubrik2"/>
      </w:pPr>
      <w:r w:rsidRPr="00180842">
        <w:t>Gällande svenska regler och förslagets effekt på dessa</w:t>
      </w:r>
    </w:p>
    <w:p w:rsidR="000E7B36" w:rsidRPr="00180842" w:rsidRDefault="000E7B36">
      <w:r w:rsidRPr="00180842">
        <w:t>Följdändringar måste göras så att samtliga företagsformer som finns med på den nya listan omfattas av den svenska lagstiftningen. Dessutom kommer helt nya regler om flyttning av säte för europabolag och europeiska kooperativa föreningar samt nya regler om partiell fission och bolagisering av filialer att behöva införas. Reglerna om värdering av tillgångar och värdepapper kan i vissa delar behöva ändras. Eventuellt kan även reglerna om avräkning av utländsk skatt behöva ändras.</w:t>
      </w:r>
    </w:p>
    <w:p w:rsidR="000E7B36" w:rsidRPr="00180842" w:rsidRDefault="000E7B36">
      <w:pPr>
        <w:pStyle w:val="Rubrik2"/>
      </w:pPr>
      <w:r w:rsidRPr="00180842">
        <w:t>Budgetära konsekvenser</w:t>
      </w:r>
    </w:p>
    <w:p w:rsidR="000E7B36" w:rsidRPr="00180842" w:rsidRDefault="000E7B36">
      <w:r w:rsidRPr="00180842">
        <w:t>Inga eller försumbara enligt en mycket preliminär bedömning.</w:t>
      </w:r>
    </w:p>
    <w:p w:rsidR="000E7B36" w:rsidRPr="00180842" w:rsidRDefault="000E7B36">
      <w:pPr>
        <w:pStyle w:val="Rubrik1"/>
      </w:pPr>
      <w:r w:rsidRPr="00180842">
        <w:t>Ståndpunkter</w:t>
      </w:r>
    </w:p>
    <w:p w:rsidR="000E7B36" w:rsidRPr="00180842" w:rsidRDefault="000E7B36">
      <w:pPr>
        <w:pStyle w:val="Rubrik2"/>
      </w:pPr>
      <w:r w:rsidRPr="00180842">
        <w:t>Svensk ståndpunkt</w:t>
      </w:r>
    </w:p>
    <w:p w:rsidR="000E7B36" w:rsidRPr="00180842" w:rsidRDefault="000E7B36">
      <w:r w:rsidRPr="00180842">
        <w:t>Reglerna i direktivet är tekniskt mycket komplicerade och det behövs mer tid för att analysera de konsekvenser förslagen kan få. Rent allmänt ser dock Sverige positivt på syftet med förslagen och vad kommissionen vill åstadkomma. Denna ståndpunkt skall ses mot bakgrund av att Sverige anser att det är viktigt att de olika medlemsstaternas företagsskattesystem inte hindrar att den inre marknaden fungerar smidigt.</w:t>
      </w:r>
    </w:p>
    <w:p w:rsidR="000E7B36" w:rsidRPr="00180842" w:rsidRDefault="000E7B36">
      <w:pPr>
        <w:pStyle w:val="Rubrik2"/>
      </w:pPr>
      <w:r w:rsidRPr="00180842">
        <w:t>Medlemsstaternas ståndpunkter</w:t>
      </w:r>
    </w:p>
    <w:p w:rsidR="000E7B36" w:rsidRPr="00180842" w:rsidRDefault="000E7B36">
      <w:r w:rsidRPr="00180842">
        <w:t>Även övriga medlemsstater verkar vara allmänt positiva till förslaget men liksom Sverige har ingen medlemsstat ännu avgett en slutlig ståndpunkt till förslaget på grund av att reglerna i direktivet är tekniskt mycket komplicerade.</w:t>
      </w:r>
    </w:p>
    <w:p w:rsidR="000E7B36" w:rsidRPr="00180842" w:rsidRDefault="000E7B36">
      <w:pPr>
        <w:pStyle w:val="Rubrik2"/>
      </w:pPr>
      <w:r w:rsidRPr="00180842">
        <w:t>Institutionernas ståndpunkter</w:t>
      </w:r>
    </w:p>
    <w:p w:rsidR="000E7B36" w:rsidRPr="00180842" w:rsidRDefault="000E7B36">
      <w:r w:rsidRPr="00180842">
        <w:t>Eftersom det är kommissionens förslag är dess inställning naturligtvis positiv. I övrigt inte känt.</w:t>
      </w:r>
    </w:p>
    <w:p w:rsidR="000E7B36" w:rsidRPr="00180842" w:rsidRDefault="000E7B36">
      <w:pPr>
        <w:pStyle w:val="Rubrik2"/>
      </w:pPr>
      <w:r w:rsidRPr="00180842">
        <w:t>Remissinstansernas ståndpunkter</w:t>
      </w:r>
    </w:p>
    <w:p w:rsidR="000E7B36" w:rsidRPr="00180842" w:rsidRDefault="000E7B36">
      <w:r w:rsidRPr="00180842">
        <w:t>Inte tillämpligt.</w:t>
      </w:r>
    </w:p>
    <w:p w:rsidR="000E7B36" w:rsidRPr="00180842" w:rsidRDefault="000E7B36">
      <w:pPr>
        <w:pStyle w:val="Rubrik1"/>
      </w:pPr>
      <w:r w:rsidRPr="00180842">
        <w:t>Övrigt</w:t>
      </w:r>
    </w:p>
    <w:p w:rsidR="000E7B36" w:rsidRPr="00180842" w:rsidRDefault="000E7B36">
      <w:pPr>
        <w:pStyle w:val="Rubrik2"/>
      </w:pPr>
      <w:r w:rsidRPr="00180842">
        <w:t>Fortsatt behandling av ärendet</w:t>
      </w:r>
    </w:p>
    <w:p w:rsidR="000E7B36" w:rsidRPr="00180842" w:rsidRDefault="000E7B36">
      <w:r w:rsidRPr="00180842">
        <w:t>Förslaget diskuteras i rådsarbetsgruppen som handhar frågor om direkt skatt.</w:t>
      </w:r>
    </w:p>
    <w:p w:rsidR="000E7B36" w:rsidRPr="00180842" w:rsidRDefault="000E7B36">
      <w:pPr>
        <w:pStyle w:val="Rubrik2"/>
      </w:pPr>
      <w:r w:rsidRPr="00180842">
        <w:t>Rättslig grund och beslutsförfarande</w:t>
      </w:r>
    </w:p>
    <w:p w:rsidR="000E7B36" w:rsidRPr="00180842" w:rsidRDefault="000E7B36">
      <w:r w:rsidRPr="00180842">
        <w:t>Artikel 94. Enhällighet.</w:t>
      </w:r>
    </w:p>
    <w:p w:rsidR="000E7B36" w:rsidRPr="00180842" w:rsidRDefault="000E7B36"/>
    <w:sectPr w:rsidR="000E7B36" w:rsidRPr="0018084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B36" w:rsidRPr="00180842" w:rsidRDefault="000E7B36">
      <w:pPr>
        <w:spacing w:before="0" w:line="240" w:lineRule="auto"/>
      </w:pPr>
      <w:r w:rsidRPr="00180842">
        <w:separator/>
      </w:r>
    </w:p>
  </w:endnote>
  <w:endnote w:type="continuationSeparator" w:id="0">
    <w:p w:rsidR="000E7B36" w:rsidRPr="00180842" w:rsidRDefault="000E7B36">
      <w:pPr>
        <w:spacing w:before="0" w:line="240" w:lineRule="auto"/>
      </w:pPr>
      <w:r w:rsidRPr="00180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36" w:rsidRPr="00180842" w:rsidRDefault="000E7B36">
    <w:pPr>
      <w:pStyle w:val="SidfotH"/>
      <w:framePr w:wrap="around"/>
    </w:pPr>
    <w:r w:rsidRPr="00180842">
      <w:t>2</w:t>
    </w:r>
  </w:p>
  <w:p w:rsidR="000E7B36" w:rsidRPr="00180842" w:rsidRDefault="000E7B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36" w:rsidRPr="00180842" w:rsidRDefault="000E7B36">
    <w:pPr>
      <w:pStyle w:val="SidfotH"/>
      <w:framePr w:wrap="around"/>
    </w:pPr>
    <w:r w:rsidRPr="00180842">
      <w:t>1</w:t>
    </w:r>
  </w:p>
  <w:p w:rsidR="000E7B36" w:rsidRPr="00180842" w:rsidRDefault="000E7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B36" w:rsidRPr="00180842" w:rsidRDefault="000E7B36">
      <w:pPr>
        <w:spacing w:before="0" w:line="240" w:lineRule="auto"/>
      </w:pPr>
      <w:r w:rsidRPr="00180842">
        <w:separator/>
      </w:r>
    </w:p>
  </w:footnote>
  <w:footnote w:type="continuationSeparator" w:id="0">
    <w:p w:rsidR="000E7B36" w:rsidRPr="00180842" w:rsidRDefault="000E7B36">
      <w:pPr>
        <w:spacing w:before="0" w:line="240" w:lineRule="auto"/>
      </w:pPr>
      <w:r w:rsidRPr="00180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36" w:rsidRPr="00180842" w:rsidRDefault="000E7B36">
    <w:pPr>
      <w:pStyle w:val="Kantrubrik"/>
      <w:framePr w:h="1157" w:hRule="exact" w:wrap="around" w:y="738"/>
    </w:pPr>
    <w:r w:rsidRPr="00180842">
      <w:t>2003/04:FPM66</w:t>
    </w:r>
  </w:p>
  <w:p w:rsidR="000E7B36" w:rsidRPr="00180842" w:rsidRDefault="000E7B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B36" w:rsidRPr="00180842" w:rsidRDefault="00180842">
    <w:pPr>
      <w:pStyle w:val="Sidhuvud"/>
    </w:pPr>
    <w:r w:rsidRPr="0018084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68892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E7B36" w:rsidRDefault="000E7B3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E7B36" w:rsidRDefault="000E7B36">
                    <w:pPr>
                      <w:pStyle w:val="Logo"/>
                    </w:pPr>
                    <w:r>
                      <w:object w:dxaOrig="840" w:dyaOrig="1545">
                        <v:shape id="_x0000_i1025" type="#_x0000_t75" style="width:42pt;height:77.15pt" fillcolor="window">
                          <v:imagedata r:id="rId1" o:title=""/>
                        </v:shape>
                        <o:OLEObject Type="Embed" ProgID="Word.Picture.8" ShapeID="_x0000_i1025" DrawAspect="Content" ObjectID="_18274183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36158F5"/>
    <w:multiLevelType w:val="hybridMultilevel"/>
    <w:tmpl w:val="CE040B1E"/>
    <w:lvl w:ilvl="0" w:tplc="FFFFFFFF">
      <w:start w:val="1"/>
      <w:numFmt w:val="bullet"/>
      <w:lvlText w:val=""/>
      <w:lvlJc w:val="left"/>
      <w:pPr>
        <w:tabs>
          <w:tab w:val="num" w:pos="530"/>
        </w:tabs>
        <w:ind w:left="530" w:hanging="360"/>
      </w:pPr>
      <w:rPr>
        <w:rFonts w:ascii="Symbol" w:hAnsi="Symbol" w:hint="default"/>
      </w:rPr>
    </w:lvl>
    <w:lvl w:ilvl="1" w:tplc="FFFFFFFF" w:tentative="1">
      <w:start w:val="1"/>
      <w:numFmt w:val="bullet"/>
      <w:lvlText w:val="o"/>
      <w:lvlJc w:val="left"/>
      <w:pPr>
        <w:tabs>
          <w:tab w:val="num" w:pos="1250"/>
        </w:tabs>
        <w:ind w:left="1250" w:hanging="360"/>
      </w:pPr>
      <w:rPr>
        <w:rFonts w:ascii="Courier New" w:hAnsi="Courier New" w:hint="default"/>
      </w:rPr>
    </w:lvl>
    <w:lvl w:ilvl="2" w:tplc="FFFFFFFF" w:tentative="1">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3A95A8C"/>
    <w:multiLevelType w:val="hybridMultilevel"/>
    <w:tmpl w:val="CB8AE79E"/>
    <w:lvl w:ilvl="0" w:tplc="FFFFFFFF">
      <w:start w:val="1"/>
      <w:numFmt w:val="bullet"/>
      <w:lvlText w:val=""/>
      <w:lvlJc w:val="left"/>
      <w:pPr>
        <w:tabs>
          <w:tab w:val="num" w:pos="530"/>
        </w:tabs>
        <w:ind w:left="530" w:hanging="360"/>
      </w:pPr>
      <w:rPr>
        <w:rFonts w:ascii="Symbol" w:hAnsi="Symbol" w:hint="default"/>
      </w:rPr>
    </w:lvl>
    <w:lvl w:ilvl="1" w:tplc="FFFFFFFF" w:tentative="1">
      <w:start w:val="1"/>
      <w:numFmt w:val="bullet"/>
      <w:lvlText w:val="o"/>
      <w:lvlJc w:val="left"/>
      <w:pPr>
        <w:tabs>
          <w:tab w:val="num" w:pos="1250"/>
        </w:tabs>
        <w:ind w:left="1250" w:hanging="360"/>
      </w:pPr>
      <w:rPr>
        <w:rFonts w:ascii="Courier New" w:hAnsi="Courier New" w:hint="default"/>
      </w:rPr>
    </w:lvl>
    <w:lvl w:ilvl="2" w:tplc="FFFFFFFF" w:tentative="1">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4341646">
    <w:abstractNumId w:val="6"/>
  </w:num>
  <w:num w:numId="2" w16cid:durableId="641545203">
    <w:abstractNumId w:val="1"/>
  </w:num>
  <w:num w:numId="3" w16cid:durableId="958994298">
    <w:abstractNumId w:val="3"/>
  </w:num>
  <w:num w:numId="4" w16cid:durableId="1326974441">
    <w:abstractNumId w:val="4"/>
  </w:num>
  <w:num w:numId="5" w16cid:durableId="1841118720">
    <w:abstractNumId w:val="7"/>
  </w:num>
  <w:num w:numId="6" w16cid:durableId="943151764">
    <w:abstractNumId w:val="0"/>
  </w:num>
  <w:num w:numId="7" w16cid:durableId="776218524">
    <w:abstractNumId w:val="5"/>
  </w:num>
  <w:num w:numId="8" w16cid:durableId="859046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20"/>
    <w:docVar w:name="Ar" w:val="2003/04"/>
    <w:docVar w:name="Dep" w:val="Finansdepartementet"/>
    <w:docVar w:name="DepWeb" w:val="Finansdepartementet"/>
    <w:docVar w:name="GDB1" w:val="KOM (2003) 61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rådets direktiv 90/434/EEG av den 23 juli 1990 om ett gemensamt beskattningssystem för fusion, fission, överföring av tillgångar och utbyte av aktier eller andelar som berör bolag i olika medlemssta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13 slutlig"/>
    <w:docVar w:name="Nr" w:val="66"/>
    <w:docVar w:name="Rub" w:val="Förslag till ändring av fusionsdirektivet"/>
    <w:docVar w:name="UppDat" w:val="2003-12-17"/>
    <w:docVar w:name="Utsk" w:val="Skatteutskottet"/>
  </w:docVars>
  <w:rsids>
    <w:rsidRoot w:val="006723CC"/>
    <w:rsid w:val="000E7B36"/>
    <w:rsid w:val="00180842"/>
    <w:rsid w:val="006723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0EAF6-97C9-470F-80AB-BAECC42E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788</Words>
  <Characters>4847</Characters>
  <Application>Microsoft Office Word</Application>
  <DocSecurity>4</DocSecurity>
  <Lines>105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2004-02-20T13:05:00Z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 (2003) 613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ändring av fusionsdirektivet</vt:lpwstr>
  </property>
  <property fmtid="{D5CDD505-2E9C-101B-9397-08002B2CF9AE}" pid="8" name="UppDat">
    <vt:lpwstr>2003-12-17</vt:lpwstr>
  </property>
  <property fmtid="{D5CDD505-2E9C-101B-9397-08002B2CF9AE}" pid="9" name="AnkDat">
    <vt:lpwstr>2004-02-20</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