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E90528">
        <w:tblPrEx>
          <w:tblCellMar>
            <w:top w:w="0" w:type="dxa"/>
            <w:bottom w:w="0" w:type="dxa"/>
          </w:tblCellMar>
        </w:tblPrEx>
        <w:tc>
          <w:tcPr>
            <w:tcW w:w="2268" w:type="dxa"/>
          </w:tcPr>
          <w:p w:rsidR="00ED44D4" w:rsidRPr="00E90528" w:rsidRDefault="00ED44D4">
            <w:pPr>
              <w:framePr w:w="4400" w:h="1644" w:wrap="notBeside" w:vAnchor="page" w:hAnchor="page" w:x="6573" w:y="721"/>
              <w:rPr>
                <w:rFonts w:ascii="TradeGothic" w:hAnsi="TradeGothic"/>
                <w:i/>
                <w:sz w:val="18"/>
              </w:rPr>
            </w:pPr>
          </w:p>
        </w:tc>
        <w:tc>
          <w:tcPr>
            <w:tcW w:w="2347" w:type="dxa"/>
            <w:gridSpan w:val="2"/>
          </w:tcPr>
          <w:p w:rsidR="00ED44D4" w:rsidRPr="00E90528" w:rsidRDefault="00ED44D4">
            <w:pPr>
              <w:framePr w:w="4400" w:h="1644" w:wrap="notBeside" w:vAnchor="page" w:hAnchor="page" w:x="6573" w:y="721"/>
              <w:rPr>
                <w:rFonts w:ascii="TradeGothic" w:hAnsi="TradeGothic"/>
                <w:i/>
                <w:sz w:val="18"/>
              </w:rPr>
            </w:pPr>
          </w:p>
        </w:tc>
      </w:tr>
      <w:tr w:rsidR="00000000" w:rsidRPr="00E90528">
        <w:tblPrEx>
          <w:tblCellMar>
            <w:top w:w="0" w:type="dxa"/>
            <w:bottom w:w="0" w:type="dxa"/>
          </w:tblCellMar>
        </w:tblPrEx>
        <w:tc>
          <w:tcPr>
            <w:tcW w:w="2268" w:type="dxa"/>
          </w:tcPr>
          <w:p w:rsidR="00ED44D4" w:rsidRPr="00E90528" w:rsidRDefault="00ED44D4">
            <w:pPr>
              <w:framePr w:w="4400" w:h="1644" w:wrap="notBeside" w:vAnchor="page" w:hAnchor="page" w:x="6573" w:y="721"/>
              <w:rPr>
                <w:rFonts w:ascii="TradeGothic" w:hAnsi="TradeGothic"/>
                <w:b/>
                <w:sz w:val="22"/>
              </w:rPr>
            </w:pPr>
            <w:r w:rsidRPr="00E90528">
              <w:rPr>
                <w:rFonts w:ascii="TradeGothic" w:hAnsi="TradeGothic"/>
                <w:b/>
                <w:sz w:val="22"/>
              </w:rPr>
              <w:t xml:space="preserve">Promemoria </w:t>
            </w:r>
          </w:p>
        </w:tc>
        <w:tc>
          <w:tcPr>
            <w:tcW w:w="2347" w:type="dxa"/>
            <w:gridSpan w:val="2"/>
          </w:tcPr>
          <w:p w:rsidR="00ED44D4" w:rsidRPr="00E90528" w:rsidRDefault="00ED44D4">
            <w:pPr>
              <w:framePr w:w="4400" w:h="1644" w:wrap="notBeside" w:vAnchor="page" w:hAnchor="page" w:x="6573" w:y="721"/>
              <w:rPr>
                <w:rFonts w:ascii="TradeGothic" w:hAnsi="TradeGothic"/>
                <w:b/>
                <w:sz w:val="22"/>
              </w:rPr>
            </w:pPr>
          </w:p>
        </w:tc>
      </w:tr>
      <w:tr w:rsidR="00000000" w:rsidRPr="00E90528">
        <w:tblPrEx>
          <w:tblCellMar>
            <w:top w:w="0" w:type="dxa"/>
            <w:bottom w:w="0" w:type="dxa"/>
          </w:tblCellMar>
        </w:tblPrEx>
        <w:tc>
          <w:tcPr>
            <w:tcW w:w="3402" w:type="dxa"/>
            <w:gridSpan w:val="2"/>
          </w:tcPr>
          <w:p w:rsidR="00ED44D4" w:rsidRPr="00E90528" w:rsidRDefault="00ED44D4">
            <w:pPr>
              <w:framePr w:w="4400" w:h="1644" w:wrap="notBeside" w:vAnchor="page" w:hAnchor="page" w:x="6573" w:y="721"/>
            </w:pPr>
          </w:p>
        </w:tc>
        <w:tc>
          <w:tcPr>
            <w:tcW w:w="1213" w:type="dxa"/>
          </w:tcPr>
          <w:p w:rsidR="00ED44D4" w:rsidRPr="00E90528" w:rsidRDefault="00ED44D4">
            <w:pPr>
              <w:framePr w:w="4400" w:h="1644" w:wrap="notBeside" w:vAnchor="page" w:hAnchor="page" w:x="6573" w:y="721"/>
            </w:pPr>
          </w:p>
        </w:tc>
      </w:tr>
      <w:tr w:rsidR="00000000" w:rsidRPr="00E90528">
        <w:tblPrEx>
          <w:tblCellMar>
            <w:top w:w="0" w:type="dxa"/>
            <w:bottom w:w="0" w:type="dxa"/>
          </w:tblCellMar>
        </w:tblPrEx>
        <w:tc>
          <w:tcPr>
            <w:tcW w:w="2268" w:type="dxa"/>
          </w:tcPr>
          <w:p w:rsidR="00ED44D4" w:rsidRPr="00E90528" w:rsidRDefault="00ED44D4">
            <w:pPr>
              <w:framePr w:w="4400" w:h="1644" w:wrap="notBeside" w:vAnchor="page" w:hAnchor="page" w:x="6573" w:y="721"/>
            </w:pPr>
            <w:r w:rsidRPr="00E90528">
              <w:t>2006-05-22</w:t>
            </w:r>
          </w:p>
        </w:tc>
        <w:tc>
          <w:tcPr>
            <w:tcW w:w="2347" w:type="dxa"/>
            <w:gridSpan w:val="2"/>
          </w:tcPr>
          <w:p w:rsidR="00ED44D4" w:rsidRPr="00E90528" w:rsidRDefault="00ED44D4">
            <w:pPr>
              <w:framePr w:w="4400" w:h="1644" w:wrap="notBeside" w:vAnchor="page" w:hAnchor="page" w:x="6573" w:y="721"/>
            </w:pPr>
            <w:r w:rsidRPr="00E90528">
              <w:rPr>
                <w:rFonts w:ascii="Helv" w:hAnsi="Helv"/>
                <w:color w:val="000000"/>
                <w:sz w:val="20"/>
              </w:rPr>
              <w:t>N2006/4126/EIS</w:t>
            </w:r>
          </w:p>
        </w:tc>
      </w:tr>
      <w:tr w:rsidR="00000000" w:rsidRPr="00E90528">
        <w:tblPrEx>
          <w:tblCellMar>
            <w:top w:w="0" w:type="dxa"/>
            <w:bottom w:w="0" w:type="dxa"/>
          </w:tblCellMar>
        </w:tblPrEx>
        <w:tc>
          <w:tcPr>
            <w:tcW w:w="2268" w:type="dxa"/>
          </w:tcPr>
          <w:p w:rsidR="00ED44D4" w:rsidRPr="00E90528" w:rsidRDefault="00ED44D4">
            <w:pPr>
              <w:framePr w:w="4400" w:h="1644" w:wrap="notBeside" w:vAnchor="page" w:hAnchor="page" w:x="6573" w:y="721"/>
            </w:pPr>
          </w:p>
        </w:tc>
        <w:tc>
          <w:tcPr>
            <w:tcW w:w="2347" w:type="dxa"/>
            <w:gridSpan w:val="2"/>
          </w:tcPr>
          <w:p w:rsidR="00ED44D4" w:rsidRPr="00E90528" w:rsidRDefault="00ED44D4">
            <w:pPr>
              <w:framePr w:w="4400" w:h="1644" w:wrap="notBeside" w:vAnchor="page" w:hAnchor="page" w:x="6573" w:y="721"/>
            </w:pPr>
          </w:p>
        </w:tc>
      </w:tr>
    </w:tbl>
    <w:tbl>
      <w:tblPr>
        <w:tblW w:w="4992" w:type="dxa"/>
        <w:tblLayout w:type="fixed"/>
        <w:tblLook w:val="0000" w:firstRow="0" w:lastRow="0" w:firstColumn="0" w:lastColumn="0" w:noHBand="0" w:noVBand="0"/>
      </w:tblPr>
      <w:tblGrid>
        <w:gridCol w:w="4992"/>
      </w:tblGrid>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
                <w:i w:val="0"/>
                <w:sz w:val="22"/>
              </w:rPr>
            </w:pPr>
            <w:r w:rsidRPr="00E90528">
              <w:rPr>
                <w:b/>
                <w:i w:val="0"/>
                <w:sz w:val="22"/>
              </w:rPr>
              <w:t>Näringsdepartementet</w:t>
            </w:r>
          </w:p>
          <w:p w:rsidR="00ED44D4" w:rsidRPr="00E90528" w:rsidRDefault="00ED44D4">
            <w:pPr>
              <w:pStyle w:val="Avsndare"/>
              <w:framePr w:h="2483" w:wrap="notBeside" w:x="1504"/>
              <w:rPr>
                <w:b/>
                <w:i w:val="0"/>
                <w:sz w:val="22"/>
              </w:rPr>
            </w:pPr>
            <w:r w:rsidRPr="00E90528">
              <w:rPr>
                <w:b/>
                <w:i w:val="0"/>
                <w:sz w:val="22"/>
              </w:rPr>
              <w:t>Jordbruksdepartementet</w:t>
            </w:r>
          </w:p>
          <w:p w:rsidR="00ED44D4" w:rsidRPr="00E90528" w:rsidRDefault="00ED44D4">
            <w:pPr>
              <w:pStyle w:val="Avsndare"/>
              <w:framePr w:h="2483" w:wrap="notBeside" w:x="1504"/>
              <w:rPr>
                <w:b/>
                <w:i w:val="0"/>
                <w:sz w:val="22"/>
              </w:rPr>
            </w:pPr>
            <w:r w:rsidRPr="00E90528">
              <w:rPr>
                <w:b/>
                <w:i w:val="0"/>
                <w:sz w:val="22"/>
              </w:rPr>
              <w:t>Socialdepartementet</w:t>
            </w: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r w:rsidR="00000000" w:rsidRPr="00E90528">
        <w:tblPrEx>
          <w:tblCellMar>
            <w:top w:w="0" w:type="dxa"/>
            <w:bottom w:w="0" w:type="dxa"/>
          </w:tblCellMar>
        </w:tblPrEx>
        <w:trPr>
          <w:trHeight w:val="290"/>
        </w:trPr>
        <w:tc>
          <w:tcPr>
            <w:tcW w:w="4992" w:type="dxa"/>
          </w:tcPr>
          <w:p w:rsidR="00ED44D4" w:rsidRPr="00E90528" w:rsidRDefault="00ED44D4">
            <w:pPr>
              <w:pStyle w:val="Avsndare"/>
              <w:framePr w:h="2483" w:wrap="notBeside" w:x="1504"/>
              <w:rPr>
                <w:bCs/>
                <w:iCs/>
              </w:rPr>
            </w:pPr>
          </w:p>
        </w:tc>
      </w:tr>
    </w:tbl>
    <w:p w:rsidR="00ED44D4" w:rsidRPr="00E90528" w:rsidRDefault="00ED44D4">
      <w:pPr>
        <w:framePr w:w="4400" w:h="2523" w:wrap="notBeside" w:vAnchor="page" w:hAnchor="page" w:x="6453" w:y="2445"/>
        <w:ind w:left="142"/>
      </w:pPr>
      <w:r w:rsidRPr="00E90528">
        <w:t>Sveriges riksdag (EU-nämnden)</w:t>
      </w:r>
    </w:p>
    <w:p w:rsidR="00ED44D4" w:rsidRPr="00E90528" w:rsidRDefault="00ED44D4">
      <w:pPr>
        <w:pStyle w:val="RKrubrik"/>
        <w:pBdr>
          <w:bottom w:val="single" w:sz="4" w:space="1" w:color="000000"/>
        </w:pBdr>
        <w:spacing w:before="0" w:after="0"/>
      </w:pPr>
      <w:r w:rsidRPr="00E90528">
        <w:t>EPSCO-rådet den 1-2 juni 2006 - Kommenterad dagordning</w:t>
      </w:r>
    </w:p>
    <w:p w:rsidR="00ED44D4" w:rsidRPr="00E90528" w:rsidRDefault="00ED44D4">
      <w:pPr>
        <w:pStyle w:val="RKnormal"/>
      </w:pPr>
    </w:p>
    <w:p w:rsidR="00ED44D4" w:rsidRPr="00E90528" w:rsidRDefault="00ED44D4">
      <w:pPr>
        <w:pStyle w:val="Par-number1"/>
        <w:numPr>
          <w:ilvl w:val="0"/>
          <w:numId w:val="44"/>
        </w:numPr>
        <w:rPr>
          <w:b/>
          <w:bCs/>
        </w:rPr>
      </w:pPr>
      <w:r w:rsidRPr="00E90528">
        <w:rPr>
          <w:b/>
          <w:bCs/>
        </w:rPr>
        <w:t>Godkännande av dagordningen</w:t>
      </w:r>
    </w:p>
    <w:p w:rsidR="00ED44D4" w:rsidRPr="00E90528" w:rsidRDefault="00ED44D4">
      <w:pPr>
        <w:tabs>
          <w:tab w:val="left" w:pos="567"/>
          <w:tab w:val="left" w:pos="1134"/>
          <w:tab w:val="left" w:pos="1701"/>
        </w:tabs>
        <w:spacing w:line="240" w:lineRule="auto"/>
        <w:rPr>
          <w:b/>
          <w:bCs/>
        </w:rPr>
      </w:pPr>
    </w:p>
    <w:p w:rsidR="00ED44D4" w:rsidRPr="00E90528" w:rsidRDefault="00ED44D4">
      <w:pPr>
        <w:tabs>
          <w:tab w:val="left" w:pos="567"/>
          <w:tab w:val="left" w:pos="1134"/>
          <w:tab w:val="left" w:pos="1701"/>
        </w:tabs>
        <w:spacing w:line="240" w:lineRule="auto"/>
        <w:rPr>
          <w:b/>
          <w:bCs/>
        </w:rPr>
      </w:pPr>
    </w:p>
    <w:p w:rsidR="00ED44D4" w:rsidRPr="00E90528" w:rsidRDefault="00ED44D4">
      <w:pPr>
        <w:numPr>
          <w:ilvl w:val="0"/>
          <w:numId w:val="44"/>
        </w:numPr>
        <w:tabs>
          <w:tab w:val="left" w:pos="1134"/>
          <w:tab w:val="left" w:pos="1701"/>
        </w:tabs>
        <w:spacing w:line="240" w:lineRule="auto"/>
        <w:rPr>
          <w:b/>
          <w:bCs/>
        </w:rPr>
      </w:pPr>
      <w:r w:rsidRPr="00E90528">
        <w:rPr>
          <w:b/>
          <w:bCs/>
        </w:rPr>
        <w:t>(ev.) Godkännande av A-punktslistan</w:t>
      </w:r>
    </w:p>
    <w:p w:rsidR="00ED44D4" w:rsidRPr="00E90528" w:rsidRDefault="00ED44D4">
      <w:pPr>
        <w:spacing w:line="240" w:lineRule="auto"/>
        <w:rPr>
          <w:b/>
          <w:u w:val="single"/>
        </w:rPr>
      </w:pPr>
    </w:p>
    <w:p w:rsidR="00ED44D4" w:rsidRPr="00E90528" w:rsidRDefault="00ED44D4">
      <w:pPr>
        <w:spacing w:line="240" w:lineRule="auto"/>
        <w:rPr>
          <w:b/>
          <w:u w:val="single"/>
        </w:rPr>
      </w:pPr>
      <w:r w:rsidRPr="00E90528">
        <w:rPr>
          <w:b/>
          <w:u w:val="single"/>
        </w:rPr>
        <w:t>Torsdagen den 1 juni 2006: SYSSELSÄTTNING OCH SOCIALPOLITIK</w:t>
      </w:r>
    </w:p>
    <w:p w:rsidR="00ED44D4" w:rsidRPr="00E90528" w:rsidRDefault="00ED44D4">
      <w:pPr>
        <w:spacing w:line="240" w:lineRule="auto"/>
        <w:outlineLvl w:val="0"/>
        <w:rPr>
          <w:b/>
          <w:u w:val="single"/>
        </w:rPr>
      </w:pPr>
    </w:p>
    <w:p w:rsidR="00ED44D4" w:rsidRPr="00E90528" w:rsidRDefault="00ED44D4">
      <w:pPr>
        <w:spacing w:line="240" w:lineRule="auto"/>
      </w:pPr>
    </w:p>
    <w:p w:rsidR="00ED44D4" w:rsidRPr="00E90528" w:rsidRDefault="00ED44D4">
      <w:pPr>
        <w:pStyle w:val="Par-number1"/>
        <w:numPr>
          <w:ilvl w:val="0"/>
          <w:numId w:val="46"/>
        </w:numPr>
        <w:spacing w:line="240" w:lineRule="auto"/>
        <w:rPr>
          <w:b/>
          <w:bCs/>
        </w:rPr>
      </w:pPr>
      <w:r w:rsidRPr="00E90528">
        <w:rPr>
          <w:b/>
          <w:bCs/>
        </w:rPr>
        <w:t>Översyn av EU:s strategi för hållbar utveckling: social integration</w:t>
      </w:r>
    </w:p>
    <w:p w:rsidR="00ED44D4" w:rsidRPr="00E90528" w:rsidRDefault="00ED44D4">
      <w:pPr>
        <w:pStyle w:val="Par-dash"/>
        <w:tabs>
          <w:tab w:val="num" w:pos="1134"/>
        </w:tabs>
        <w:spacing w:line="240" w:lineRule="auto"/>
        <w:ind w:left="1134" w:hanging="567"/>
        <w:rPr>
          <w:b/>
          <w:bCs/>
        </w:rPr>
      </w:pPr>
      <w:r w:rsidRPr="00E90528">
        <w:rPr>
          <w:b/>
          <w:bCs/>
        </w:rPr>
        <w:t>Riktlinjedebatt</w:t>
      </w:r>
    </w:p>
    <w:p w:rsidR="00ED44D4" w:rsidRPr="00E90528" w:rsidRDefault="00ED44D4">
      <w:pPr>
        <w:pStyle w:val="Par-dash"/>
        <w:tabs>
          <w:tab w:val="num" w:pos="1134"/>
        </w:tabs>
        <w:spacing w:line="240" w:lineRule="auto"/>
        <w:ind w:left="1134" w:hanging="567"/>
        <w:rPr>
          <w:b/>
          <w:bCs/>
        </w:rPr>
      </w:pPr>
      <w:r w:rsidRPr="00E90528">
        <w:rPr>
          <w:b/>
          <w:bCs/>
        </w:rPr>
        <w:t>Godkännande av det gemensamma yttrandet från kommittén för socialt skydd och sysselsättningskommittén</w:t>
      </w:r>
    </w:p>
    <w:p w:rsidR="00ED44D4" w:rsidRPr="00E90528" w:rsidRDefault="00ED44D4">
      <w:pPr>
        <w:spacing w:line="240" w:lineRule="auto"/>
        <w:ind w:left="1287" w:hanging="720"/>
        <w:rPr>
          <w:b/>
          <w:bCs/>
        </w:rPr>
      </w:pPr>
      <w:r w:rsidRPr="00E90528">
        <w:rPr>
          <w:b/>
          <w:bCs/>
        </w:rPr>
        <w:t>(Offentlig debatt)</w:t>
      </w:r>
    </w:p>
    <w:p w:rsidR="00ED44D4" w:rsidRPr="00E90528" w:rsidRDefault="00ED44D4">
      <w:pPr>
        <w:tabs>
          <w:tab w:val="left" w:pos="1440"/>
          <w:tab w:val="left" w:pos="2160"/>
          <w:tab w:val="left" w:pos="3360"/>
        </w:tabs>
        <w:spacing w:line="240" w:lineRule="auto"/>
        <w:rPr>
          <w:b/>
          <w:bCs/>
        </w:rPr>
      </w:pPr>
      <w:r w:rsidRPr="00E90528">
        <w:rPr>
          <w:b/>
          <w:bCs/>
        </w:rPr>
        <w:t xml:space="preserve">15796/1/05 </w:t>
      </w:r>
      <w:r w:rsidRPr="00E90528">
        <w:rPr>
          <w:b/>
          <w:bCs/>
        </w:rPr>
        <w:tab/>
        <w:t xml:space="preserve">ENV 601 AGRI 355 ECO 159 ECOFIN 412 ENER 203 </w:t>
      </w:r>
    </w:p>
    <w:p w:rsidR="00ED44D4" w:rsidRPr="00E90528" w:rsidRDefault="00ED44D4">
      <w:pPr>
        <w:tabs>
          <w:tab w:val="left" w:pos="1440"/>
          <w:tab w:val="left" w:pos="2160"/>
          <w:tab w:val="left" w:pos="2640"/>
          <w:tab w:val="left" w:pos="3360"/>
        </w:tabs>
        <w:spacing w:line="240" w:lineRule="auto"/>
        <w:ind w:left="720"/>
        <w:rPr>
          <w:b/>
          <w:bCs/>
        </w:rPr>
      </w:pPr>
      <w:r w:rsidRPr="00E90528">
        <w:rPr>
          <w:b/>
          <w:bCs/>
        </w:rPr>
        <w:tab/>
        <w:t xml:space="preserve">DEVGEN 254 MI 143 PECHE 285 RELEX 766 SAN 217 </w:t>
      </w:r>
    </w:p>
    <w:p w:rsidR="00ED44D4" w:rsidRPr="00E90528" w:rsidRDefault="00ED44D4">
      <w:pPr>
        <w:tabs>
          <w:tab w:val="left" w:pos="1418"/>
          <w:tab w:val="left" w:pos="3360"/>
        </w:tabs>
        <w:spacing w:line="240" w:lineRule="auto"/>
        <w:rPr>
          <w:b/>
          <w:bCs/>
        </w:rPr>
      </w:pPr>
      <w:r w:rsidRPr="00E90528">
        <w:rPr>
          <w:b/>
          <w:bCs/>
        </w:rPr>
        <w:tab/>
        <w:t>SOC 516 TRANS 285 RECH 242 EDUC 196 REV 1</w:t>
      </w:r>
    </w:p>
    <w:p w:rsidR="00ED44D4" w:rsidRPr="00E90528" w:rsidRDefault="00ED44D4">
      <w:pPr>
        <w:tabs>
          <w:tab w:val="left" w:pos="1418"/>
          <w:tab w:val="left" w:pos="3360"/>
        </w:tabs>
        <w:spacing w:line="240" w:lineRule="auto"/>
        <w:ind w:left="1418" w:hanging="1418"/>
        <w:rPr>
          <w:b/>
          <w:bCs/>
        </w:rPr>
      </w:pPr>
      <w:r w:rsidRPr="00E90528">
        <w:rPr>
          <w:b/>
          <w:bCs/>
        </w:rPr>
        <w:t xml:space="preserve">9224/06 </w:t>
      </w:r>
      <w:r w:rsidRPr="00E90528">
        <w:rPr>
          <w:b/>
          <w:bCs/>
        </w:rPr>
        <w:tab/>
        <w:t xml:space="preserve">SOC 226 SAN 109 ENV 274 EDUC 106 AGRI 166 ECO 85  ECOFIN 161 ENER 152 DEVGEN 129 MI 107 PECHE 149 RELEX 303 TRANS 115 RECH 123 POLGEN 57 </w:t>
      </w:r>
    </w:p>
    <w:p w:rsidR="00ED44D4" w:rsidRPr="00E90528" w:rsidRDefault="00ED44D4">
      <w:pPr>
        <w:tabs>
          <w:tab w:val="left" w:pos="1418"/>
          <w:tab w:val="left" w:pos="3360"/>
        </w:tabs>
        <w:spacing w:line="240" w:lineRule="auto"/>
        <w:rPr>
          <w:b/>
          <w:bCs/>
        </w:rPr>
      </w:pPr>
      <w:r w:rsidRPr="00E90528">
        <w:rPr>
          <w:b/>
          <w:bCs/>
        </w:rPr>
        <w:t xml:space="preserve">9330/06 </w:t>
      </w:r>
      <w:r w:rsidRPr="00E90528">
        <w:rPr>
          <w:b/>
          <w:bCs/>
        </w:rPr>
        <w:tab/>
        <w:t>SOC 231 ECOFIN 163 ENV 280</w:t>
      </w:r>
    </w:p>
    <w:p w:rsidR="00ED44D4" w:rsidRPr="00E90528" w:rsidRDefault="00ED44D4">
      <w:pPr>
        <w:tabs>
          <w:tab w:val="left" w:pos="3360"/>
        </w:tabs>
        <w:spacing w:line="240" w:lineRule="auto"/>
        <w:ind w:left="720" w:hanging="720"/>
      </w:pPr>
    </w:p>
    <w:p w:rsidR="00ED44D4" w:rsidRPr="00E90528" w:rsidRDefault="00ED44D4">
      <w:r w:rsidRPr="00E90528">
        <w:rPr>
          <w:i/>
          <w:iCs/>
        </w:rPr>
        <w:t>På rådet kommer en debatt att hållas om EU:s strategi för hållbar utveckling och ministrarna ombeds särskilt att belysa hur samtliga berörda aktörer kan involveras i processen för social delaktighet. Rådet föreläggs också ett yttrande från kommittén för social trygghet och sysselsättningskommittén beträffande revideringen av hållbarhetsstrategin.</w:t>
      </w:r>
      <w:r w:rsidRPr="00E90528">
        <w:t xml:space="preserve"> </w:t>
      </w:r>
    </w:p>
    <w:p w:rsidR="00ED44D4" w:rsidRPr="00E90528" w:rsidRDefault="00ED44D4"/>
    <w:p w:rsidR="00ED44D4" w:rsidRPr="00E90528" w:rsidRDefault="00ED44D4">
      <w:r w:rsidRPr="00E90528">
        <w:rPr>
          <w:i/>
          <w:iCs/>
        </w:rPr>
        <w:lastRenderedPageBreak/>
        <w:t>Förslag till svensk ståndpunkt: Sverige välkomnar debatten och möjligheten att utbyta exempel och erfarenheter beträffande hur samtliga aktörer kan involveras i processen för social delaktighet</w:t>
      </w:r>
    </w:p>
    <w:p w:rsidR="00ED44D4" w:rsidRPr="00E90528" w:rsidRDefault="00ED44D4">
      <w:pPr>
        <w:spacing w:line="240" w:lineRule="auto"/>
        <w:ind w:left="720" w:hanging="720"/>
      </w:pPr>
    </w:p>
    <w:p w:rsidR="00ED44D4" w:rsidRPr="00E90528" w:rsidRDefault="00ED44D4">
      <w:pPr>
        <w:pStyle w:val="Par-number1"/>
        <w:numPr>
          <w:ilvl w:val="0"/>
          <w:numId w:val="45"/>
        </w:numPr>
        <w:spacing w:line="240" w:lineRule="auto"/>
        <w:rPr>
          <w:b/>
          <w:bCs/>
        </w:rPr>
      </w:pPr>
      <w:r w:rsidRPr="00E90528">
        <w:rPr>
          <w:b/>
          <w:bCs/>
        </w:rPr>
        <w:t>Meddelande från kommissionen: Genomförande av gemenskapens Lissabonprogram: Sociala tjänster av allmänt intresse i Europeiska union</w:t>
      </w:r>
    </w:p>
    <w:p w:rsidR="00ED44D4" w:rsidRPr="00E90528" w:rsidRDefault="00ED44D4">
      <w:pPr>
        <w:pStyle w:val="Par-dash"/>
        <w:tabs>
          <w:tab w:val="num" w:pos="1134"/>
        </w:tabs>
        <w:spacing w:line="240" w:lineRule="auto"/>
        <w:ind w:left="1134" w:hanging="567"/>
        <w:rPr>
          <w:b/>
          <w:bCs/>
        </w:rPr>
      </w:pPr>
      <w:r w:rsidRPr="00E90528">
        <w:rPr>
          <w:b/>
          <w:bCs/>
        </w:rPr>
        <w:t>Föredragning av kommissionen</w:t>
      </w:r>
    </w:p>
    <w:p w:rsidR="00ED44D4" w:rsidRPr="00E90528" w:rsidRDefault="00ED44D4">
      <w:pPr>
        <w:pStyle w:val="Par-dash"/>
        <w:tabs>
          <w:tab w:val="num" w:pos="1134"/>
        </w:tabs>
        <w:spacing w:line="240" w:lineRule="auto"/>
        <w:ind w:left="1134" w:hanging="567"/>
        <w:rPr>
          <w:b/>
          <w:bCs/>
        </w:rPr>
      </w:pPr>
      <w:r w:rsidRPr="00E90528">
        <w:rPr>
          <w:b/>
          <w:bCs/>
          <w:color w:val="000000"/>
        </w:rPr>
        <w:t>Yttrande från kommittén för socialt skydd: muntlig föredragning av ordföranden</w:t>
      </w:r>
    </w:p>
    <w:p w:rsidR="00ED44D4" w:rsidRPr="00E90528" w:rsidRDefault="00ED44D4">
      <w:pPr>
        <w:spacing w:line="240" w:lineRule="auto"/>
        <w:ind w:left="1701" w:firstLine="22"/>
        <w:rPr>
          <w:b/>
          <w:bCs/>
        </w:rPr>
      </w:pPr>
      <w:r w:rsidRPr="00E90528">
        <w:rPr>
          <w:b/>
          <w:bCs/>
        </w:rPr>
        <w:t>9038/06 SOC 213 COMPET 107</w:t>
      </w:r>
    </w:p>
    <w:p w:rsidR="00ED44D4" w:rsidRPr="00E90528" w:rsidRDefault="00ED44D4">
      <w:pPr>
        <w:rPr>
          <w:b/>
          <w:bCs/>
          <w:i/>
          <w:iCs/>
        </w:rPr>
      </w:pPr>
    </w:p>
    <w:p w:rsidR="00ED44D4" w:rsidRPr="00E90528" w:rsidRDefault="00ED44D4">
      <w:pPr>
        <w:spacing w:line="240" w:lineRule="auto"/>
        <w:rPr>
          <w:i/>
          <w:iCs/>
        </w:rPr>
      </w:pPr>
      <w:r w:rsidRPr="00E90528">
        <w:rPr>
          <w:i/>
          <w:iCs/>
        </w:rPr>
        <w:t>Kommissionen kommer att presentera sitt meddelande och ordföranden i kommittén för social trygghet kommer att muntligen att yttra sig över hur frågan skall hanteras inom ramen för kommittén för social trygghet.</w:t>
      </w:r>
    </w:p>
    <w:p w:rsidR="00ED44D4" w:rsidRPr="00E90528" w:rsidRDefault="00ED44D4">
      <w:pPr>
        <w:spacing w:line="240" w:lineRule="auto"/>
        <w:ind w:left="720" w:hanging="720"/>
      </w:pPr>
    </w:p>
    <w:p w:rsidR="00ED44D4" w:rsidRPr="00E90528" w:rsidRDefault="00ED44D4">
      <w:pPr>
        <w:spacing w:line="240" w:lineRule="auto"/>
        <w:ind w:left="720" w:hanging="720"/>
        <w:rPr>
          <w:b/>
          <w:bCs/>
          <w:i/>
        </w:rPr>
      </w:pPr>
    </w:p>
    <w:p w:rsidR="00ED44D4" w:rsidRPr="00E90528" w:rsidRDefault="00ED44D4">
      <w:pPr>
        <w:pStyle w:val="Par-number1"/>
        <w:numPr>
          <w:ilvl w:val="0"/>
          <w:numId w:val="47"/>
        </w:numPr>
        <w:spacing w:line="240" w:lineRule="auto"/>
        <w:rPr>
          <w:b/>
          <w:bCs/>
        </w:rPr>
      </w:pPr>
      <w:r w:rsidRPr="00E90528">
        <w:rPr>
          <w:b/>
          <w:bCs/>
          <w:color w:val="000000"/>
        </w:rPr>
        <w:t>Förslag till Europaparlamentets och rådets förordning om tillämpningsbestämmelser till förordning (EG) nr 883/2004 om samordning av de sociala trygghetssystemen (R)</w:t>
      </w:r>
    </w:p>
    <w:p w:rsidR="00ED44D4" w:rsidRPr="00E90528" w:rsidRDefault="00ED44D4">
      <w:pPr>
        <w:pStyle w:val="Par-number1"/>
        <w:tabs>
          <w:tab w:val="clear" w:pos="360"/>
        </w:tabs>
        <w:spacing w:line="240" w:lineRule="auto"/>
        <w:ind w:left="1287" w:hanging="720"/>
        <w:rPr>
          <w:b/>
          <w:bCs/>
        </w:rPr>
      </w:pPr>
      <w:r w:rsidRPr="00E90528">
        <w:rPr>
          <w:b/>
          <w:bCs/>
        </w:rPr>
        <w:t>(Kommissionens förslag till rättslig grund: a</w:t>
      </w:r>
      <w:r w:rsidRPr="00E90528">
        <w:rPr>
          <w:b/>
          <w:bCs/>
          <w:color w:val="000000"/>
        </w:rPr>
        <w:t>rtiklarna 42 och 308 i fördraget)</w:t>
      </w:r>
    </w:p>
    <w:p w:rsidR="00ED44D4" w:rsidRPr="00E90528" w:rsidRDefault="00ED44D4">
      <w:pPr>
        <w:pStyle w:val="Par-dash"/>
        <w:tabs>
          <w:tab w:val="num" w:pos="1134"/>
        </w:tabs>
        <w:spacing w:line="240" w:lineRule="auto"/>
        <w:ind w:left="1134" w:hanging="567"/>
        <w:rPr>
          <w:b/>
          <w:bCs/>
        </w:rPr>
      </w:pPr>
      <w:r w:rsidRPr="00E90528">
        <w:rPr>
          <w:b/>
          <w:bCs/>
        </w:rPr>
        <w:t>P</w:t>
      </w:r>
      <w:r w:rsidRPr="00E90528">
        <w:rPr>
          <w:b/>
          <w:bCs/>
          <w:color w:val="000000"/>
        </w:rPr>
        <w:t>artiell allmän riktlinje</w:t>
      </w:r>
    </w:p>
    <w:p w:rsidR="00ED44D4" w:rsidRPr="00E90528" w:rsidRDefault="00ED44D4">
      <w:pPr>
        <w:pStyle w:val="Par-dash"/>
        <w:tabs>
          <w:tab w:val="clear" w:pos="360"/>
        </w:tabs>
        <w:spacing w:line="240" w:lineRule="auto"/>
        <w:ind w:left="1701"/>
        <w:rPr>
          <w:b/>
          <w:bCs/>
        </w:rPr>
      </w:pPr>
      <w:r w:rsidRPr="00E90528">
        <w:rPr>
          <w:b/>
          <w:bCs/>
        </w:rPr>
        <w:t>5896/06 SOC 44 CODEC 93</w:t>
      </w:r>
    </w:p>
    <w:p w:rsidR="00ED44D4" w:rsidRPr="00E90528" w:rsidRDefault="00ED44D4">
      <w:pPr>
        <w:rPr>
          <w:i/>
          <w:iCs/>
        </w:rPr>
      </w:pPr>
    </w:p>
    <w:p w:rsidR="00ED44D4" w:rsidRPr="00E90528" w:rsidRDefault="00ED44D4">
      <w:pPr>
        <w:rPr>
          <w:i/>
          <w:iCs/>
        </w:rPr>
      </w:pPr>
      <w:r w:rsidRPr="00E90528">
        <w:rPr>
          <w:i/>
          <w:iCs/>
        </w:rPr>
        <w:t>Kommissionen presenterade i januari 2006 ett förslag till tillämpningsförordning till förordning 883/04 om samordning av de sociala trygghetssystemen. Förslaget avser framförallt att definiera och klargöra för samtliga berörda parter (försäkrade personer, arbetsgivare och tillämpande</w:t>
      </w:r>
    </w:p>
    <w:p w:rsidR="00ED44D4" w:rsidRPr="00E90528" w:rsidRDefault="00ED44D4">
      <w:pPr>
        <w:rPr>
          <w:i/>
          <w:iCs/>
        </w:rPr>
      </w:pPr>
      <w:r w:rsidRPr="00E90528">
        <w:rPr>
          <w:i/>
          <w:iCs/>
        </w:rPr>
        <w:t>myndigheter i medlemsländerna) vilket ansvar och vilka skyldigheter som gäller vid tillämpningen av förordningen 883/2004 om samordning av de sociala trygghetssystemen. Under det österrikiska ordförandeskapet har avdelning I och II av förslaget behandlats. Vid rådsmötet skall en partiell</w:t>
      </w:r>
    </w:p>
    <w:p w:rsidR="00ED44D4" w:rsidRPr="00E90528" w:rsidRDefault="00ED44D4">
      <w:pPr>
        <w:rPr>
          <w:i/>
          <w:iCs/>
        </w:rPr>
      </w:pPr>
      <w:r w:rsidRPr="00E90528">
        <w:rPr>
          <w:i/>
          <w:iCs/>
        </w:rPr>
        <w:t xml:space="preserve">allmän riktlinje antas vad gäller förslagets avdelning I och II. </w:t>
      </w:r>
    </w:p>
    <w:p w:rsidR="00ED44D4" w:rsidRPr="00E90528" w:rsidRDefault="00ED44D4">
      <w:pPr>
        <w:rPr>
          <w:i/>
          <w:iCs/>
        </w:rPr>
      </w:pPr>
    </w:p>
    <w:p w:rsidR="00ED44D4" w:rsidRPr="00E90528" w:rsidRDefault="00ED44D4">
      <w:r w:rsidRPr="00E90528">
        <w:rPr>
          <w:i/>
          <w:iCs/>
        </w:rPr>
        <w:t>Förslag till svensk ståndpunkt: Regeringen kan ställa sig bakom den partiella allmänna riktlinjen.</w:t>
      </w:r>
    </w:p>
    <w:p w:rsidR="00ED44D4" w:rsidRPr="00E90528" w:rsidRDefault="00ED44D4">
      <w:pPr>
        <w:pStyle w:val="Par-dash"/>
        <w:tabs>
          <w:tab w:val="clear" w:pos="360"/>
        </w:tabs>
        <w:spacing w:line="240" w:lineRule="auto"/>
      </w:pPr>
    </w:p>
    <w:p w:rsidR="00ED44D4" w:rsidRPr="00E90528" w:rsidRDefault="00ED44D4">
      <w:pPr>
        <w:spacing w:line="240" w:lineRule="auto"/>
        <w:ind w:left="720" w:hanging="720"/>
      </w:pPr>
    </w:p>
    <w:p w:rsidR="00ED44D4" w:rsidRPr="00E90528" w:rsidRDefault="00ED44D4">
      <w:pPr>
        <w:pStyle w:val="Par-number1"/>
        <w:numPr>
          <w:ilvl w:val="0"/>
          <w:numId w:val="47"/>
        </w:numPr>
        <w:spacing w:line="240" w:lineRule="auto"/>
        <w:rPr>
          <w:b/>
          <w:bCs/>
        </w:rPr>
      </w:pPr>
      <w:r w:rsidRPr="00E90528">
        <w:rPr>
          <w:b/>
          <w:bCs/>
          <w:color w:val="000000"/>
        </w:rPr>
        <w:t>Förslag till Europaparlamentets och rådets förordning om ändring av förordning (EG) nr 883/2004 om samordning av de sociala trygghetssystemen och om fastställande av innehållet i bilaga XI (R)</w:t>
      </w:r>
    </w:p>
    <w:p w:rsidR="00ED44D4" w:rsidRPr="00E90528" w:rsidRDefault="00ED44D4">
      <w:pPr>
        <w:pStyle w:val="Par-number1"/>
        <w:tabs>
          <w:tab w:val="clear" w:pos="360"/>
        </w:tabs>
        <w:spacing w:line="240" w:lineRule="auto"/>
        <w:ind w:left="1287" w:hanging="720"/>
        <w:rPr>
          <w:b/>
          <w:bCs/>
        </w:rPr>
      </w:pPr>
      <w:r w:rsidRPr="00E90528">
        <w:rPr>
          <w:b/>
          <w:bCs/>
        </w:rPr>
        <w:t>(Kommissionens förslag till rättslig grund: a</w:t>
      </w:r>
      <w:r w:rsidRPr="00E90528">
        <w:rPr>
          <w:b/>
          <w:bCs/>
          <w:color w:val="000000"/>
        </w:rPr>
        <w:t xml:space="preserve">rtiklarna 42 och 308 i fördraget)) </w:t>
      </w:r>
    </w:p>
    <w:p w:rsidR="00ED44D4" w:rsidRPr="00E90528" w:rsidRDefault="00ED44D4">
      <w:pPr>
        <w:pStyle w:val="Par-dash"/>
        <w:tabs>
          <w:tab w:val="num" w:pos="1134"/>
        </w:tabs>
        <w:spacing w:line="240" w:lineRule="auto"/>
        <w:ind w:left="1134" w:hanging="567"/>
        <w:rPr>
          <w:b/>
          <w:bCs/>
        </w:rPr>
      </w:pPr>
      <w:r w:rsidRPr="00E90528">
        <w:rPr>
          <w:b/>
          <w:bCs/>
        </w:rPr>
        <w:t>P</w:t>
      </w:r>
      <w:r w:rsidRPr="00E90528">
        <w:rPr>
          <w:b/>
          <w:bCs/>
          <w:color w:val="000000"/>
        </w:rPr>
        <w:t>artiell allmän riktlinje</w:t>
      </w:r>
    </w:p>
    <w:p w:rsidR="00ED44D4" w:rsidRPr="00E90528" w:rsidRDefault="00ED44D4">
      <w:pPr>
        <w:pStyle w:val="Par-dash"/>
        <w:tabs>
          <w:tab w:val="clear" w:pos="360"/>
        </w:tabs>
        <w:spacing w:line="240" w:lineRule="auto"/>
        <w:ind w:left="1701"/>
        <w:rPr>
          <w:b/>
          <w:bCs/>
        </w:rPr>
      </w:pPr>
      <w:r w:rsidRPr="00E90528">
        <w:rPr>
          <w:b/>
          <w:bCs/>
        </w:rPr>
        <w:t>5672/06 SOC 28 CODEC 66</w:t>
      </w:r>
    </w:p>
    <w:p w:rsidR="00ED44D4" w:rsidRPr="00E90528" w:rsidRDefault="00ED44D4">
      <w:pPr>
        <w:rPr>
          <w:i/>
          <w:iCs/>
        </w:rPr>
      </w:pPr>
      <w:r w:rsidRPr="00E90528">
        <w:rPr>
          <w:i/>
          <w:iCs/>
        </w:rPr>
        <w:t>Kommissionen har presenterat ett förslag till en ny bilaga XI till förordningen 883/2004. Bilagan syftar till att beakta särdragen i medlemsstaternas sociala trygghetssystem och förslaget behandlas</w:t>
      </w:r>
    </w:p>
    <w:p w:rsidR="00ED44D4" w:rsidRPr="00E90528" w:rsidRDefault="00ED44D4">
      <w:pPr>
        <w:rPr>
          <w:i/>
          <w:iCs/>
        </w:rPr>
      </w:pPr>
      <w:r w:rsidRPr="00E90528">
        <w:rPr>
          <w:i/>
          <w:iCs/>
        </w:rPr>
        <w:t xml:space="preserve">parallellt med diskussionerna kring tillämpningsförordningen. Vid rådsmötet förväntas en allmän riklinje antas vad gäller de delar av förslaget som gäller i förhållande till avsnitt I och II i tillämpningsförordningen. </w:t>
      </w:r>
    </w:p>
    <w:p w:rsidR="00ED44D4" w:rsidRPr="00E90528" w:rsidRDefault="00ED44D4">
      <w:pPr>
        <w:rPr>
          <w:i/>
          <w:iCs/>
        </w:rPr>
      </w:pPr>
    </w:p>
    <w:p w:rsidR="00ED44D4" w:rsidRPr="00E90528" w:rsidRDefault="00ED44D4">
      <w:r w:rsidRPr="00E90528">
        <w:rPr>
          <w:i/>
          <w:iCs/>
        </w:rPr>
        <w:t>Förslag till svensk ståndpunkt: Regeringen kan ställa sig bakom den partiella allmänna riktlinjen.</w:t>
      </w:r>
    </w:p>
    <w:p w:rsidR="00ED44D4" w:rsidRPr="00E90528" w:rsidRDefault="00ED44D4"/>
    <w:p w:rsidR="00ED44D4" w:rsidRPr="00E90528" w:rsidRDefault="00ED44D4">
      <w:pPr>
        <w:pStyle w:val="Par-number1"/>
        <w:tabs>
          <w:tab w:val="clear" w:pos="360"/>
        </w:tabs>
        <w:spacing w:line="240" w:lineRule="auto"/>
        <w:ind w:left="708" w:hanging="708"/>
      </w:pPr>
    </w:p>
    <w:p w:rsidR="00ED44D4" w:rsidRPr="00E90528" w:rsidRDefault="00ED44D4">
      <w:pPr>
        <w:pStyle w:val="Par-number1"/>
        <w:numPr>
          <w:ilvl w:val="0"/>
          <w:numId w:val="47"/>
        </w:numPr>
        <w:spacing w:line="240" w:lineRule="auto"/>
        <w:rPr>
          <w:b/>
          <w:bCs/>
        </w:rPr>
      </w:pPr>
      <w:r w:rsidRPr="00E90528">
        <w:rPr>
          <w:b/>
          <w:bCs/>
          <w:color w:val="000000"/>
        </w:rPr>
        <w:t>Ändrat förslag till Europaparlamentets och rådets förordning om inrättande av ett europeiskt jämställdhetsinstitut (R)</w:t>
      </w:r>
      <w:r w:rsidRPr="00E90528">
        <w:rPr>
          <w:b/>
          <w:bCs/>
        </w:rPr>
        <w:t xml:space="preserve"> (*)</w:t>
      </w:r>
    </w:p>
    <w:p w:rsidR="00ED44D4" w:rsidRPr="00E90528" w:rsidRDefault="00ED44D4">
      <w:pPr>
        <w:pStyle w:val="Par-number1"/>
        <w:tabs>
          <w:tab w:val="clear" w:pos="360"/>
        </w:tabs>
        <w:spacing w:line="240" w:lineRule="auto"/>
        <w:ind w:left="1287" w:hanging="720"/>
        <w:rPr>
          <w:b/>
          <w:bCs/>
          <w:color w:val="000000"/>
        </w:rPr>
      </w:pPr>
      <w:r w:rsidRPr="00E90528">
        <w:rPr>
          <w:b/>
          <w:bCs/>
        </w:rPr>
        <w:t>(Kommissionens förslag till rättslig grund: artiklarna</w:t>
      </w:r>
      <w:r w:rsidRPr="00E90528">
        <w:rPr>
          <w:b/>
          <w:bCs/>
          <w:color w:val="000000"/>
        </w:rPr>
        <w:t xml:space="preserve"> 13.2 och 141.3 i fördraget) </w:t>
      </w:r>
    </w:p>
    <w:p w:rsidR="00ED44D4" w:rsidRPr="00E90528" w:rsidRDefault="00ED44D4">
      <w:pPr>
        <w:pStyle w:val="Par-dash"/>
        <w:tabs>
          <w:tab w:val="num" w:pos="1134"/>
        </w:tabs>
        <w:spacing w:line="240" w:lineRule="auto"/>
        <w:ind w:left="1134" w:hanging="567"/>
        <w:rPr>
          <w:b/>
          <w:bCs/>
        </w:rPr>
      </w:pPr>
      <w:r w:rsidRPr="00E90528">
        <w:rPr>
          <w:b/>
          <w:bCs/>
        </w:rPr>
        <w:t>Politisk överenskommelse</w:t>
      </w:r>
    </w:p>
    <w:p w:rsidR="00ED44D4" w:rsidRPr="00E90528" w:rsidRDefault="00ED44D4">
      <w:pPr>
        <w:pStyle w:val="Par-dash"/>
        <w:tabs>
          <w:tab w:val="clear" w:pos="360"/>
        </w:tabs>
        <w:spacing w:line="240" w:lineRule="auto"/>
        <w:ind w:left="1134"/>
        <w:rPr>
          <w:b/>
          <w:bCs/>
        </w:rPr>
      </w:pPr>
      <w:r w:rsidRPr="00E90528">
        <w:rPr>
          <w:b/>
          <w:bCs/>
        </w:rPr>
        <w:t>(Offentlig överläggning)</w:t>
      </w:r>
    </w:p>
    <w:p w:rsidR="00ED44D4" w:rsidRPr="00E90528" w:rsidRDefault="00ED44D4">
      <w:pPr>
        <w:spacing w:line="240" w:lineRule="auto"/>
        <w:ind w:left="1701" w:firstLine="22"/>
        <w:rPr>
          <w:b/>
          <w:bCs/>
        </w:rPr>
      </w:pPr>
      <w:r w:rsidRPr="00E90528">
        <w:rPr>
          <w:b/>
          <w:bCs/>
        </w:rPr>
        <w:t>9195/06 SOC 225 CODEC 463</w:t>
      </w:r>
    </w:p>
    <w:p w:rsidR="00ED44D4" w:rsidRPr="00E90528" w:rsidRDefault="00ED44D4">
      <w:pPr>
        <w:spacing w:line="240" w:lineRule="auto"/>
        <w:ind w:left="1701" w:firstLine="22"/>
      </w:pPr>
    </w:p>
    <w:p w:rsidR="00ED44D4" w:rsidRPr="00E90528" w:rsidRDefault="00ED44D4">
      <w:pPr>
        <w:pStyle w:val="RKnormal"/>
        <w:rPr>
          <w:i/>
          <w:iCs/>
        </w:rPr>
      </w:pPr>
      <w:r w:rsidRPr="00E90528">
        <w:rPr>
          <w:i/>
          <w:iCs/>
        </w:rPr>
        <w:t>Vid rådsmötet den 1 juni skall EPSCO-rådet nå en politisk överenskommelse om ändrat förslag till förordning om inrättande av ett europeiskt jämställdhetsinstitut.</w:t>
      </w:r>
    </w:p>
    <w:p w:rsidR="00ED44D4" w:rsidRPr="00E90528" w:rsidRDefault="00ED44D4">
      <w:pPr>
        <w:pStyle w:val="RKnormal"/>
        <w:rPr>
          <w:i/>
          <w:iCs/>
        </w:rPr>
      </w:pPr>
    </w:p>
    <w:p w:rsidR="00ED44D4" w:rsidRPr="00E90528" w:rsidRDefault="00ED44D4">
      <w:pPr>
        <w:pStyle w:val="RKnormal"/>
        <w:rPr>
          <w:i/>
          <w:iCs/>
        </w:rPr>
      </w:pPr>
      <w:r w:rsidRPr="00E90528">
        <w:rPr>
          <w:i/>
          <w:iCs/>
        </w:rPr>
        <w:t>Se även särskild rådsPM</w:t>
      </w:r>
    </w:p>
    <w:p w:rsidR="00ED44D4" w:rsidRPr="00E90528" w:rsidRDefault="00ED44D4">
      <w:pPr>
        <w:pStyle w:val="RKnormal"/>
        <w:rPr>
          <w:i/>
          <w:iCs/>
        </w:rPr>
      </w:pPr>
    </w:p>
    <w:p w:rsidR="00ED44D4" w:rsidRPr="00E90528" w:rsidRDefault="00ED44D4">
      <w:pPr>
        <w:pStyle w:val="RKnormal"/>
        <w:rPr>
          <w:i/>
          <w:iCs/>
        </w:rPr>
      </w:pPr>
      <w:r w:rsidRPr="00E90528">
        <w:rPr>
          <w:i/>
          <w:iCs/>
        </w:rPr>
        <w:t xml:space="preserve">Förslag till svensk ståndpunkt : </w:t>
      </w:r>
    </w:p>
    <w:p w:rsidR="00ED44D4" w:rsidRPr="00E90528" w:rsidRDefault="00ED44D4">
      <w:pPr>
        <w:pStyle w:val="RKnormal"/>
        <w:rPr>
          <w:i/>
          <w:iCs/>
        </w:rPr>
      </w:pPr>
      <w:r w:rsidRPr="00E90528">
        <w:rPr>
          <w:i/>
          <w:iCs/>
        </w:rPr>
        <w:t>Sverige välkomnar förslaget till förordning om inrättande av ett europeiskt jämställdhetsinstitut och stödjer förslaget till beslut.</w:t>
      </w:r>
    </w:p>
    <w:p w:rsidR="00ED44D4" w:rsidRPr="00E90528" w:rsidRDefault="00ED44D4">
      <w:pPr>
        <w:spacing w:line="240" w:lineRule="auto"/>
        <w:ind w:firstLine="22"/>
      </w:pPr>
    </w:p>
    <w:p w:rsidR="00ED44D4" w:rsidRPr="00E90528" w:rsidRDefault="00ED44D4">
      <w:pPr>
        <w:pStyle w:val="EntEmet"/>
        <w:numPr>
          <w:ilvl w:val="0"/>
          <w:numId w:val="47"/>
        </w:numPr>
        <w:tabs>
          <w:tab w:val="clear" w:pos="284"/>
          <w:tab w:val="clear" w:pos="851"/>
          <w:tab w:val="clear" w:pos="1134"/>
          <w:tab w:val="clear" w:pos="1418"/>
        </w:tabs>
        <w:rPr>
          <w:b/>
          <w:bCs/>
        </w:rPr>
      </w:pPr>
      <w:r w:rsidRPr="00E90528">
        <w:rPr>
          <w:b/>
          <w:bCs/>
        </w:rPr>
        <w:t>Översyn av medlemsstaternas och EU-institutionernas genomförande av handlingsplanen från Peking</w:t>
      </w:r>
    </w:p>
    <w:p w:rsidR="00ED44D4" w:rsidRPr="00E90528" w:rsidRDefault="00ED44D4">
      <w:pPr>
        <w:pStyle w:val="Par-dash"/>
        <w:tabs>
          <w:tab w:val="num" w:pos="1134"/>
        </w:tabs>
        <w:spacing w:line="240" w:lineRule="auto"/>
        <w:ind w:left="1134" w:hanging="567"/>
        <w:rPr>
          <w:b/>
          <w:bCs/>
        </w:rPr>
      </w:pPr>
      <w:r w:rsidRPr="00E90528">
        <w:rPr>
          <w:b/>
          <w:bCs/>
        </w:rPr>
        <w:t>Rådets slutsatser</w:t>
      </w:r>
    </w:p>
    <w:p w:rsidR="00ED44D4" w:rsidRPr="00E90528" w:rsidRDefault="00ED44D4">
      <w:pPr>
        <w:spacing w:line="240" w:lineRule="auto"/>
        <w:ind w:left="720" w:hanging="720"/>
        <w:outlineLvl w:val="0"/>
        <w:rPr>
          <w:b/>
          <w:bCs/>
        </w:rPr>
      </w:pPr>
    </w:p>
    <w:p w:rsidR="00ED44D4" w:rsidRPr="00E90528" w:rsidRDefault="00ED44D4">
      <w:pPr>
        <w:pStyle w:val="RKnormal"/>
        <w:rPr>
          <w:i/>
          <w:iCs/>
        </w:rPr>
      </w:pPr>
      <w:r w:rsidRPr="00E90528">
        <w:rPr>
          <w:i/>
          <w:iCs/>
        </w:rPr>
        <w:t xml:space="preserve">Vid rådsmötet den 1 juni skall EPSCO-rådet anta slutsatser om granskningen av medlemsstaternas och EU-institutionernas genomförande av handlingsplanen från Peking.  </w:t>
      </w:r>
    </w:p>
    <w:p w:rsidR="00ED44D4" w:rsidRPr="00E90528" w:rsidRDefault="00ED44D4">
      <w:pPr>
        <w:pStyle w:val="RKnormal"/>
        <w:rPr>
          <w:i/>
          <w:iCs/>
        </w:rPr>
      </w:pPr>
    </w:p>
    <w:p w:rsidR="00ED44D4" w:rsidRPr="00E90528" w:rsidRDefault="00ED44D4">
      <w:pPr>
        <w:pStyle w:val="RKnormal"/>
        <w:rPr>
          <w:i/>
          <w:iCs/>
        </w:rPr>
      </w:pPr>
      <w:r w:rsidRPr="00E90528">
        <w:rPr>
          <w:i/>
          <w:iCs/>
        </w:rPr>
        <w:t>Förslag till beslut: Sverige välkomnar de föreslagna slutsatserna.</w:t>
      </w:r>
    </w:p>
    <w:p w:rsidR="00ED44D4" w:rsidRPr="00E90528" w:rsidRDefault="00ED44D4">
      <w:pPr>
        <w:spacing w:line="240" w:lineRule="auto"/>
        <w:ind w:left="720" w:hanging="720"/>
        <w:outlineLvl w:val="0"/>
        <w:rPr>
          <w:b/>
          <w:bCs/>
        </w:rPr>
      </w:pPr>
    </w:p>
    <w:p w:rsidR="00ED44D4" w:rsidRPr="00E90528" w:rsidRDefault="00ED44D4">
      <w:pPr>
        <w:numPr>
          <w:ilvl w:val="0"/>
          <w:numId w:val="47"/>
        </w:numPr>
        <w:spacing w:line="240" w:lineRule="auto"/>
        <w:outlineLvl w:val="0"/>
        <w:rPr>
          <w:b/>
          <w:bCs/>
        </w:rPr>
      </w:pPr>
      <w:r w:rsidRPr="00E90528">
        <w:rPr>
          <w:b/>
          <w:bCs/>
          <w:color w:val="000000"/>
          <w:szCs w:val="24"/>
        </w:rPr>
        <w:t>Flexibilitet och trygghet</w:t>
      </w:r>
    </w:p>
    <w:p w:rsidR="00ED44D4" w:rsidRPr="00E90528" w:rsidRDefault="00ED44D4">
      <w:pPr>
        <w:pStyle w:val="Par-dash"/>
        <w:tabs>
          <w:tab w:val="num" w:pos="1134"/>
        </w:tabs>
        <w:spacing w:line="240" w:lineRule="auto"/>
        <w:ind w:left="1134" w:hanging="567"/>
        <w:rPr>
          <w:b/>
          <w:bCs/>
        </w:rPr>
      </w:pPr>
      <w:r w:rsidRPr="00E90528">
        <w:rPr>
          <w:b/>
          <w:bCs/>
        </w:rPr>
        <w:t>Godkännande av det gemensamma bidraget från sysselsättningskommittén och kommittén för socialt skydd</w:t>
      </w:r>
    </w:p>
    <w:p w:rsidR="00ED44D4" w:rsidRPr="00E90528" w:rsidRDefault="00ED44D4">
      <w:pPr>
        <w:pStyle w:val="RKnormal"/>
        <w:rPr>
          <w:i/>
          <w:iCs/>
        </w:rPr>
      </w:pPr>
    </w:p>
    <w:p w:rsidR="00ED44D4" w:rsidRPr="00E90528" w:rsidRDefault="00ED44D4">
      <w:pPr>
        <w:pStyle w:val="RKnormal"/>
        <w:rPr>
          <w:i/>
          <w:iCs/>
        </w:rPr>
      </w:pPr>
      <w:r w:rsidRPr="00E90528">
        <w:rPr>
          <w:i/>
          <w:iCs/>
        </w:rPr>
        <w:t xml:space="preserve">Vid rådsmötet den 1 juni kommer ett gemensamt yttrande från Sysselsättningskommittén och Kommittén för social trygghet om kombinationen av flexibilitet och trygghet på arbetsmarknaden att presenteras. </w:t>
      </w:r>
    </w:p>
    <w:p w:rsidR="00ED44D4" w:rsidRPr="00E90528" w:rsidRDefault="00ED44D4">
      <w:pPr>
        <w:pStyle w:val="RKnormal"/>
        <w:rPr>
          <w:i/>
          <w:iCs/>
        </w:rPr>
      </w:pPr>
    </w:p>
    <w:p w:rsidR="00ED44D4" w:rsidRPr="00E90528" w:rsidRDefault="00ED44D4">
      <w:pPr>
        <w:pStyle w:val="RKnormal"/>
        <w:rPr>
          <w:i/>
          <w:iCs/>
        </w:rPr>
      </w:pPr>
      <w:r w:rsidRPr="00E90528">
        <w:rPr>
          <w:i/>
          <w:iCs/>
        </w:rPr>
        <w:t xml:space="preserve">Det österrikiska ordförandeskapet har uppmärksammat kombinationen mellan flexibilitet och trygghet under sitt ordförandeskap. I slutsatserna från vårtoppmötet uppmanas kommissionen att ta fram gemensamma principer tillsammans med rådet och arbetsmarknadens parter. Detta kommer att ske nästa år. </w:t>
      </w:r>
    </w:p>
    <w:p w:rsidR="00ED44D4" w:rsidRPr="00E90528" w:rsidRDefault="00ED44D4">
      <w:pPr>
        <w:pStyle w:val="RKnormal"/>
        <w:rPr>
          <w:i/>
          <w:iCs/>
        </w:rPr>
      </w:pPr>
    </w:p>
    <w:p w:rsidR="00ED44D4" w:rsidRPr="00E90528" w:rsidRDefault="00ED44D4">
      <w:pPr>
        <w:pStyle w:val="RKnormal"/>
        <w:tabs>
          <w:tab w:val="num" w:pos="851"/>
        </w:tabs>
        <w:rPr>
          <w:i/>
          <w:iCs/>
        </w:rPr>
      </w:pPr>
      <w:r w:rsidRPr="00E90528">
        <w:rPr>
          <w:i/>
          <w:iCs/>
        </w:rPr>
        <w:t>Förslag till ståndpunkt: Regeringen stödjer det gemensamma yttrandet från Sysselsättningskommittén och Kommittén för social trygghet och ser fram emot vidare diskussioner framöver.</w:t>
      </w:r>
    </w:p>
    <w:p w:rsidR="00ED44D4" w:rsidRPr="00E90528" w:rsidRDefault="00ED44D4">
      <w:pPr>
        <w:spacing w:line="240" w:lineRule="auto"/>
        <w:ind w:left="720" w:hanging="720"/>
      </w:pPr>
    </w:p>
    <w:p w:rsidR="00ED44D4" w:rsidRPr="00E90528" w:rsidRDefault="00ED44D4">
      <w:pPr>
        <w:spacing w:line="240" w:lineRule="auto"/>
        <w:ind w:left="720" w:hanging="720"/>
      </w:pPr>
    </w:p>
    <w:p w:rsidR="00ED44D4" w:rsidRPr="00E90528" w:rsidRDefault="00ED44D4">
      <w:pPr>
        <w:pStyle w:val="Par-number1"/>
        <w:numPr>
          <w:ilvl w:val="0"/>
          <w:numId w:val="47"/>
        </w:numPr>
        <w:spacing w:line="240" w:lineRule="auto"/>
        <w:rPr>
          <w:b/>
          <w:bCs/>
        </w:rPr>
      </w:pPr>
      <w:r w:rsidRPr="00E90528">
        <w:rPr>
          <w:b/>
          <w:bCs/>
          <w:color w:val="000000"/>
        </w:rPr>
        <w:t>Förslag till Europaparlamentets och rådets direktiv om bättre möjligheter att överföra kompletterande pensionsrättigheter (R)</w:t>
      </w:r>
    </w:p>
    <w:p w:rsidR="00ED44D4" w:rsidRPr="00E90528" w:rsidRDefault="00ED44D4">
      <w:pPr>
        <w:pStyle w:val="Par-number1"/>
        <w:tabs>
          <w:tab w:val="clear" w:pos="360"/>
        </w:tabs>
        <w:spacing w:line="240" w:lineRule="auto"/>
        <w:ind w:left="1287" w:hanging="720"/>
        <w:rPr>
          <w:b/>
          <w:bCs/>
          <w:color w:val="000000"/>
        </w:rPr>
      </w:pPr>
      <w:r w:rsidRPr="00E90528">
        <w:rPr>
          <w:b/>
          <w:bCs/>
        </w:rPr>
        <w:t>(Kommissionens förslag till rättslig grund: a</w:t>
      </w:r>
      <w:r w:rsidRPr="00E90528">
        <w:rPr>
          <w:b/>
          <w:bCs/>
          <w:color w:val="000000"/>
        </w:rPr>
        <w:t>rtiklarna 42 och 94 i</w:t>
      </w:r>
    </w:p>
    <w:p w:rsidR="00ED44D4" w:rsidRPr="00E90528" w:rsidRDefault="00ED44D4">
      <w:pPr>
        <w:pStyle w:val="Par-number1"/>
        <w:tabs>
          <w:tab w:val="clear" w:pos="360"/>
        </w:tabs>
        <w:spacing w:line="240" w:lineRule="auto"/>
        <w:ind w:left="1287" w:hanging="720"/>
        <w:rPr>
          <w:b/>
          <w:bCs/>
        </w:rPr>
      </w:pPr>
      <w:r w:rsidRPr="00E90528">
        <w:rPr>
          <w:b/>
          <w:bCs/>
          <w:color w:val="000000"/>
        </w:rPr>
        <w:t xml:space="preserve">fördraget) </w:t>
      </w:r>
    </w:p>
    <w:p w:rsidR="00ED44D4" w:rsidRPr="00E90528" w:rsidRDefault="00ED44D4">
      <w:pPr>
        <w:pStyle w:val="Par-dash"/>
        <w:tabs>
          <w:tab w:val="num" w:pos="1134"/>
        </w:tabs>
        <w:spacing w:line="240" w:lineRule="auto"/>
        <w:ind w:left="1134" w:hanging="567"/>
        <w:rPr>
          <w:b/>
          <w:bCs/>
        </w:rPr>
      </w:pPr>
      <w:r w:rsidRPr="00E90528">
        <w:rPr>
          <w:b/>
          <w:bCs/>
        </w:rPr>
        <w:t>Lägesrapport</w:t>
      </w:r>
    </w:p>
    <w:p w:rsidR="00ED44D4" w:rsidRPr="00E90528" w:rsidRDefault="00ED44D4">
      <w:pPr>
        <w:spacing w:line="240" w:lineRule="auto"/>
        <w:ind w:left="1701" w:firstLine="22"/>
        <w:rPr>
          <w:b/>
          <w:bCs/>
        </w:rPr>
      </w:pPr>
      <w:r w:rsidRPr="00E90528">
        <w:rPr>
          <w:b/>
          <w:bCs/>
        </w:rPr>
        <w:t>13686/05 SOC 412 ECOFIN 324 CODEC 933</w:t>
      </w:r>
    </w:p>
    <w:p w:rsidR="00ED44D4" w:rsidRPr="00E90528" w:rsidRDefault="00ED44D4">
      <w:pPr>
        <w:spacing w:line="240" w:lineRule="auto"/>
        <w:ind w:left="2268"/>
        <w:rPr>
          <w:b/>
          <w:bCs/>
        </w:rPr>
      </w:pPr>
      <w:r w:rsidRPr="00E90528">
        <w:rPr>
          <w:b/>
          <w:bCs/>
        </w:rPr>
        <w:t>+ REV 1 (en,de)</w:t>
      </w:r>
    </w:p>
    <w:p w:rsidR="00ED44D4" w:rsidRPr="00E90528" w:rsidRDefault="00ED44D4">
      <w:pPr>
        <w:tabs>
          <w:tab w:val="left" w:pos="600"/>
        </w:tabs>
        <w:spacing w:line="240" w:lineRule="auto"/>
        <w:ind w:left="720" w:hanging="720"/>
        <w:rPr>
          <w:bCs/>
          <w:i/>
          <w:iCs/>
        </w:rPr>
      </w:pPr>
    </w:p>
    <w:p w:rsidR="00ED44D4" w:rsidRPr="00E90528" w:rsidRDefault="00ED44D4">
      <w:pPr>
        <w:tabs>
          <w:tab w:val="left" w:pos="600"/>
        </w:tabs>
        <w:spacing w:line="240" w:lineRule="auto"/>
        <w:ind w:left="720" w:hanging="720"/>
        <w:rPr>
          <w:bCs/>
          <w:i/>
          <w:iCs/>
        </w:rPr>
      </w:pPr>
      <w:r w:rsidRPr="00E90528">
        <w:rPr>
          <w:bCs/>
          <w:i/>
          <w:iCs/>
        </w:rPr>
        <w:t xml:space="preserve">Förslaget behandlades i EU-nämnden inför EPSCO-rådsmötet den 8 </w:t>
      </w:r>
    </w:p>
    <w:p w:rsidR="00ED44D4" w:rsidRPr="00E90528" w:rsidRDefault="00ED44D4">
      <w:pPr>
        <w:tabs>
          <w:tab w:val="left" w:pos="600"/>
        </w:tabs>
        <w:spacing w:line="240" w:lineRule="auto"/>
        <w:ind w:left="720" w:hanging="720"/>
        <w:rPr>
          <w:bCs/>
          <w:i/>
          <w:iCs/>
        </w:rPr>
      </w:pPr>
      <w:r w:rsidRPr="00E90528">
        <w:rPr>
          <w:bCs/>
          <w:i/>
          <w:iCs/>
        </w:rPr>
        <w:t xml:space="preserve">december 2005. </w:t>
      </w:r>
    </w:p>
    <w:p w:rsidR="00ED44D4" w:rsidRPr="00E90528" w:rsidRDefault="00ED44D4">
      <w:pPr>
        <w:tabs>
          <w:tab w:val="left" w:pos="600"/>
        </w:tabs>
        <w:spacing w:line="240" w:lineRule="auto"/>
        <w:ind w:left="720" w:hanging="720"/>
        <w:rPr>
          <w:bCs/>
          <w:i/>
          <w:iCs/>
        </w:rPr>
      </w:pPr>
    </w:p>
    <w:p w:rsidR="00ED44D4" w:rsidRPr="00E90528" w:rsidRDefault="00ED44D4">
      <w:pPr>
        <w:tabs>
          <w:tab w:val="left" w:pos="600"/>
        </w:tabs>
        <w:spacing w:line="240" w:lineRule="auto"/>
        <w:ind w:left="720" w:hanging="720"/>
        <w:rPr>
          <w:bCs/>
          <w:i/>
          <w:iCs/>
        </w:rPr>
      </w:pPr>
      <w:r w:rsidRPr="00E90528">
        <w:rPr>
          <w:bCs/>
          <w:i/>
          <w:iCs/>
        </w:rPr>
        <w:t>På rådsmötet den 1 juni kommer ordförandeskapet att presentera en rapport</w:t>
      </w:r>
    </w:p>
    <w:p w:rsidR="00ED44D4" w:rsidRPr="00E90528" w:rsidRDefault="00ED44D4">
      <w:pPr>
        <w:tabs>
          <w:tab w:val="left" w:pos="600"/>
        </w:tabs>
        <w:spacing w:line="240" w:lineRule="auto"/>
        <w:ind w:left="720" w:hanging="720"/>
        <w:rPr>
          <w:bCs/>
          <w:i/>
          <w:iCs/>
        </w:rPr>
      </w:pPr>
      <w:r w:rsidRPr="00E90528">
        <w:rPr>
          <w:bCs/>
          <w:i/>
          <w:iCs/>
        </w:rPr>
        <w:t xml:space="preserve">om läget i förhandlingarna. Rapporten tar upp vad som bedöms vara de </w:t>
      </w:r>
    </w:p>
    <w:p w:rsidR="00ED44D4" w:rsidRPr="00E90528" w:rsidRDefault="00ED44D4">
      <w:pPr>
        <w:tabs>
          <w:tab w:val="left" w:pos="600"/>
        </w:tabs>
        <w:spacing w:line="240" w:lineRule="auto"/>
        <w:ind w:left="720" w:hanging="720"/>
        <w:rPr>
          <w:bCs/>
          <w:i/>
          <w:iCs/>
        </w:rPr>
      </w:pPr>
      <w:r w:rsidRPr="00E90528">
        <w:rPr>
          <w:bCs/>
          <w:i/>
          <w:iCs/>
        </w:rPr>
        <w:t xml:space="preserve">huvudsakliga knäckfrågorna. Svensk uppfattning är att lägesrapporten väl </w:t>
      </w:r>
    </w:p>
    <w:p w:rsidR="00ED44D4" w:rsidRPr="00E90528" w:rsidRDefault="00ED44D4">
      <w:pPr>
        <w:tabs>
          <w:tab w:val="left" w:pos="600"/>
        </w:tabs>
        <w:spacing w:line="240" w:lineRule="auto"/>
        <w:ind w:left="720" w:hanging="720"/>
        <w:rPr>
          <w:bCs/>
          <w:i/>
          <w:iCs/>
        </w:rPr>
      </w:pPr>
      <w:r w:rsidRPr="00E90528">
        <w:rPr>
          <w:bCs/>
          <w:i/>
          <w:iCs/>
        </w:rPr>
        <w:t>återspeglar de diskussioner som hittills förts.</w:t>
      </w:r>
    </w:p>
    <w:p w:rsidR="00ED44D4" w:rsidRPr="00E90528" w:rsidRDefault="00ED44D4">
      <w:pPr>
        <w:tabs>
          <w:tab w:val="left" w:pos="600"/>
        </w:tabs>
        <w:spacing w:line="240" w:lineRule="auto"/>
        <w:ind w:left="720" w:hanging="720"/>
        <w:rPr>
          <w:bCs/>
          <w:i/>
          <w:iCs/>
        </w:rPr>
      </w:pPr>
    </w:p>
    <w:p w:rsidR="00ED44D4" w:rsidRPr="00E90528" w:rsidRDefault="00ED44D4">
      <w:pPr>
        <w:tabs>
          <w:tab w:val="left" w:pos="600"/>
        </w:tabs>
        <w:spacing w:line="240" w:lineRule="auto"/>
        <w:ind w:left="720" w:hanging="720"/>
        <w:rPr>
          <w:bCs/>
          <w:i/>
          <w:iCs/>
        </w:rPr>
      </w:pPr>
      <w:r w:rsidRPr="00E90528">
        <w:rPr>
          <w:bCs/>
          <w:i/>
          <w:iCs/>
        </w:rPr>
        <w:t xml:space="preserve">Direktivet syftar till att underlätta den fria rörligheten för arbetstagare inom </w:t>
      </w:r>
    </w:p>
    <w:p w:rsidR="00ED44D4" w:rsidRPr="00E90528" w:rsidRDefault="00ED44D4">
      <w:pPr>
        <w:tabs>
          <w:tab w:val="left" w:pos="600"/>
        </w:tabs>
        <w:spacing w:line="240" w:lineRule="auto"/>
        <w:ind w:left="720" w:hanging="720"/>
        <w:rPr>
          <w:bCs/>
          <w:i/>
          <w:iCs/>
        </w:rPr>
      </w:pPr>
      <w:r w:rsidRPr="00E90528">
        <w:rPr>
          <w:bCs/>
          <w:i/>
          <w:iCs/>
        </w:rPr>
        <w:t xml:space="preserve">EU genom att minska sådana hinder som kan följa av hur </w:t>
      </w:r>
    </w:p>
    <w:p w:rsidR="00ED44D4" w:rsidRPr="00E90528" w:rsidRDefault="00ED44D4">
      <w:pPr>
        <w:tabs>
          <w:tab w:val="left" w:pos="600"/>
        </w:tabs>
        <w:spacing w:line="240" w:lineRule="auto"/>
        <w:ind w:left="720" w:hanging="720"/>
        <w:rPr>
          <w:bCs/>
          <w:i/>
          <w:iCs/>
        </w:rPr>
      </w:pPr>
      <w:r w:rsidRPr="00E90528">
        <w:rPr>
          <w:bCs/>
          <w:i/>
          <w:iCs/>
        </w:rPr>
        <w:t xml:space="preserve">tjänstepensionssystem är utformade. Förslaget innebär att arbetstagare skall </w:t>
      </w:r>
    </w:p>
    <w:p w:rsidR="00ED44D4" w:rsidRPr="00E90528" w:rsidRDefault="00ED44D4">
      <w:pPr>
        <w:tabs>
          <w:tab w:val="left" w:pos="600"/>
        </w:tabs>
        <w:spacing w:line="240" w:lineRule="auto"/>
        <w:ind w:left="720" w:hanging="720"/>
        <w:rPr>
          <w:bCs/>
          <w:i/>
          <w:iCs/>
        </w:rPr>
      </w:pPr>
      <w:r w:rsidRPr="00E90528">
        <w:rPr>
          <w:bCs/>
          <w:i/>
          <w:iCs/>
        </w:rPr>
        <w:t xml:space="preserve">kunna flytta sitt pensionskapital från ett tjänstepensionssystem till ett annat, </w:t>
      </w:r>
    </w:p>
    <w:p w:rsidR="00ED44D4" w:rsidRPr="00E90528" w:rsidRDefault="00ED44D4">
      <w:pPr>
        <w:tabs>
          <w:tab w:val="left" w:pos="600"/>
        </w:tabs>
        <w:spacing w:line="240" w:lineRule="auto"/>
        <w:ind w:left="720" w:hanging="720"/>
        <w:rPr>
          <w:bCs/>
          <w:i/>
          <w:iCs/>
        </w:rPr>
      </w:pPr>
      <w:r w:rsidRPr="00E90528">
        <w:rPr>
          <w:bCs/>
          <w:i/>
          <w:iCs/>
        </w:rPr>
        <w:t xml:space="preserve">i samband med byte av anställning. I övrigt innehåller förslaget regler om </w:t>
      </w:r>
    </w:p>
    <w:p w:rsidR="00ED44D4" w:rsidRPr="00E90528" w:rsidRDefault="00ED44D4">
      <w:pPr>
        <w:tabs>
          <w:tab w:val="left" w:pos="600"/>
        </w:tabs>
        <w:spacing w:line="240" w:lineRule="auto"/>
        <w:ind w:left="720" w:hanging="720"/>
        <w:rPr>
          <w:bCs/>
          <w:i/>
          <w:iCs/>
        </w:rPr>
      </w:pPr>
      <w:r w:rsidRPr="00E90528">
        <w:rPr>
          <w:bCs/>
          <w:i/>
          <w:iCs/>
        </w:rPr>
        <w:t xml:space="preserve">intjänande av pensionsrätt, t.ex. hur långa eventuella kvalifikationstider får </w:t>
      </w:r>
    </w:p>
    <w:p w:rsidR="00ED44D4" w:rsidRPr="00E90528" w:rsidRDefault="00ED44D4">
      <w:pPr>
        <w:tabs>
          <w:tab w:val="left" w:pos="600"/>
        </w:tabs>
        <w:spacing w:line="240" w:lineRule="auto"/>
        <w:ind w:left="720" w:hanging="720"/>
        <w:rPr>
          <w:bCs/>
          <w:i/>
          <w:iCs/>
        </w:rPr>
      </w:pPr>
      <w:r w:rsidRPr="00E90528">
        <w:rPr>
          <w:bCs/>
          <w:i/>
          <w:iCs/>
        </w:rPr>
        <w:t xml:space="preserve">vara, och regler om bevarande av vilande pensionsrätt i de fall arbetstagaren </w:t>
      </w:r>
    </w:p>
    <w:p w:rsidR="00ED44D4" w:rsidRPr="00E90528" w:rsidRDefault="00ED44D4">
      <w:pPr>
        <w:tabs>
          <w:tab w:val="left" w:pos="600"/>
        </w:tabs>
        <w:spacing w:line="240" w:lineRule="auto"/>
        <w:ind w:left="720" w:hanging="720"/>
        <w:rPr>
          <w:bCs/>
          <w:i/>
          <w:iCs/>
        </w:rPr>
      </w:pPr>
      <w:r w:rsidRPr="00E90528">
        <w:rPr>
          <w:bCs/>
          <w:i/>
          <w:iCs/>
        </w:rPr>
        <w:t xml:space="preserve">byter anställning och samtidigt avslutar sitt pensionssparande. Därtill </w:t>
      </w:r>
    </w:p>
    <w:p w:rsidR="00ED44D4" w:rsidRPr="00E90528" w:rsidRDefault="00ED44D4">
      <w:pPr>
        <w:tabs>
          <w:tab w:val="left" w:pos="600"/>
        </w:tabs>
        <w:spacing w:line="240" w:lineRule="auto"/>
        <w:ind w:left="720" w:hanging="720"/>
        <w:rPr>
          <w:bCs/>
          <w:i/>
          <w:iCs/>
        </w:rPr>
      </w:pPr>
      <w:r w:rsidRPr="00E90528">
        <w:rPr>
          <w:bCs/>
          <w:i/>
          <w:iCs/>
        </w:rPr>
        <w:t xml:space="preserve">föreslås regler om vilken information arbetstagare har rätt till om hur </w:t>
      </w:r>
    </w:p>
    <w:p w:rsidR="00ED44D4" w:rsidRPr="00E90528" w:rsidRDefault="00ED44D4">
      <w:pPr>
        <w:tabs>
          <w:tab w:val="left" w:pos="600"/>
        </w:tabs>
        <w:spacing w:line="240" w:lineRule="auto"/>
        <w:ind w:left="720" w:hanging="720"/>
        <w:rPr>
          <w:bCs/>
          <w:i/>
          <w:iCs/>
        </w:rPr>
      </w:pPr>
      <w:r w:rsidRPr="00E90528">
        <w:rPr>
          <w:bCs/>
          <w:i/>
          <w:iCs/>
        </w:rPr>
        <w:t>anställnings upphörande påverkar tjänstepensionen.</w:t>
      </w:r>
    </w:p>
    <w:p w:rsidR="00ED44D4" w:rsidRPr="00E90528" w:rsidRDefault="00ED44D4">
      <w:pPr>
        <w:spacing w:line="240" w:lineRule="auto"/>
      </w:pPr>
    </w:p>
    <w:p w:rsidR="00ED44D4" w:rsidRPr="00E90528" w:rsidRDefault="00ED44D4">
      <w:pPr>
        <w:spacing w:line="240" w:lineRule="auto"/>
        <w:rPr>
          <w:i/>
          <w:iCs/>
        </w:rPr>
      </w:pPr>
      <w:r w:rsidRPr="00E90528">
        <w:rPr>
          <w:i/>
          <w:iCs/>
        </w:rPr>
        <w:t>Förslag till svensk ståndpunkt: Sverige välkomnar ordförandeskapets sammanfattande rapport.</w:t>
      </w:r>
    </w:p>
    <w:p w:rsidR="00ED44D4" w:rsidRPr="00E90528" w:rsidRDefault="00ED44D4">
      <w:pPr>
        <w:spacing w:line="240" w:lineRule="auto"/>
      </w:pPr>
    </w:p>
    <w:p w:rsidR="00ED44D4" w:rsidRPr="00E90528" w:rsidRDefault="00ED44D4">
      <w:pPr>
        <w:pStyle w:val="Par-number1"/>
        <w:numPr>
          <w:ilvl w:val="0"/>
          <w:numId w:val="47"/>
        </w:numPr>
        <w:spacing w:line="240" w:lineRule="auto"/>
        <w:rPr>
          <w:b/>
          <w:bCs/>
        </w:rPr>
      </w:pPr>
      <w:r w:rsidRPr="00E90528">
        <w:rPr>
          <w:b/>
          <w:bCs/>
          <w:color w:val="000000"/>
        </w:rPr>
        <w:t>Ändrat förslag till Europaparlamentets och rådets beslut om inrättande av ett gemenskapsprogram för sysselsättning och social solidaritet – PROGRESS (R)</w:t>
      </w:r>
      <w:r w:rsidRPr="00E90528">
        <w:rPr>
          <w:b/>
          <w:bCs/>
        </w:rPr>
        <w:t xml:space="preserve"> (*)</w:t>
      </w:r>
    </w:p>
    <w:p w:rsidR="00ED44D4" w:rsidRPr="00E90528" w:rsidRDefault="00ED44D4">
      <w:pPr>
        <w:pStyle w:val="Par-number1"/>
        <w:tabs>
          <w:tab w:val="clear" w:pos="360"/>
        </w:tabs>
        <w:spacing w:line="240" w:lineRule="auto"/>
        <w:ind w:left="567"/>
        <w:rPr>
          <w:b/>
          <w:bCs/>
        </w:rPr>
      </w:pPr>
      <w:r w:rsidRPr="00E90528">
        <w:rPr>
          <w:b/>
          <w:bCs/>
        </w:rPr>
        <w:t>(Kommissionens förslag till rättslig grund: artikel</w:t>
      </w:r>
      <w:r w:rsidRPr="00E90528">
        <w:rPr>
          <w:b/>
          <w:bCs/>
          <w:color w:val="000000"/>
        </w:rPr>
        <w:t xml:space="preserve"> 13.2, artikel 129 och artikel 137.2 a i fördraget)</w:t>
      </w:r>
    </w:p>
    <w:p w:rsidR="00ED44D4" w:rsidRPr="00E90528" w:rsidRDefault="00ED44D4">
      <w:pPr>
        <w:pStyle w:val="Par-dash"/>
        <w:tabs>
          <w:tab w:val="num" w:pos="1134"/>
        </w:tabs>
        <w:spacing w:line="240" w:lineRule="auto"/>
        <w:ind w:left="1134" w:hanging="567"/>
        <w:rPr>
          <w:b/>
          <w:bCs/>
        </w:rPr>
      </w:pPr>
      <w:r w:rsidRPr="00E90528">
        <w:rPr>
          <w:b/>
          <w:bCs/>
        </w:rPr>
        <w:t>Politisk överenskommelse</w:t>
      </w:r>
    </w:p>
    <w:p w:rsidR="00ED44D4" w:rsidRPr="00E90528" w:rsidRDefault="00ED44D4">
      <w:pPr>
        <w:pStyle w:val="Par-number1"/>
        <w:tabs>
          <w:tab w:val="clear" w:pos="360"/>
        </w:tabs>
        <w:spacing w:line="240" w:lineRule="auto"/>
        <w:ind w:left="1842" w:hanging="708"/>
        <w:rPr>
          <w:b/>
          <w:bCs/>
        </w:rPr>
      </w:pPr>
      <w:r w:rsidRPr="00E90528">
        <w:rPr>
          <w:b/>
          <w:bCs/>
        </w:rPr>
        <w:t>(Offentlig överläggning)</w:t>
      </w:r>
    </w:p>
    <w:p w:rsidR="00ED44D4" w:rsidRPr="00E90528" w:rsidRDefault="00ED44D4">
      <w:pPr>
        <w:pStyle w:val="EntRefer"/>
        <w:ind w:left="1701" w:firstLine="22"/>
        <w:rPr>
          <w:bCs/>
          <w:szCs w:val="24"/>
        </w:rPr>
      </w:pPr>
      <w:r w:rsidRPr="00E90528">
        <w:rPr>
          <w:bCs/>
          <w:szCs w:val="24"/>
        </w:rPr>
        <w:t>13691/05 SOC 413 ECOFIN 326 CADREFIN 214 CODEC 936</w:t>
      </w:r>
    </w:p>
    <w:p w:rsidR="00ED44D4" w:rsidRPr="00E90528" w:rsidRDefault="00ED44D4">
      <w:pPr>
        <w:spacing w:line="240" w:lineRule="auto"/>
      </w:pPr>
    </w:p>
    <w:p w:rsidR="00ED44D4" w:rsidRPr="00E90528" w:rsidRDefault="00ED44D4">
      <w:pPr>
        <w:spacing w:line="240" w:lineRule="auto"/>
        <w:rPr>
          <w:i/>
          <w:iCs/>
        </w:rPr>
      </w:pPr>
      <w:r w:rsidRPr="00E90528">
        <w:rPr>
          <w:i/>
          <w:iCs/>
        </w:rPr>
        <w:t>Kommissionen förslår ett gemenskapsprogram för sysselsättning och social solidaritet, PROGRESS, som skall ge finansiellt stöd till genomförandet av EU:s mål på det sysselsättnings- och socialpolitiska området och därigenom bidra till att nå Lissabonstrategins mål på dessa områden. Programmet skall löpa från den 1 januari 2007 till den 31 december 2013. PROGRESS är tänkt att fungera som ett integrerat program som fortsätter och vidareutvecklar nu existerande program</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Förslaget rör enbart de finansieringsinstrument som förvaltas direkt av kommissionen och syftar till att rationalisera dessa.</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 xml:space="preserve">Rådet har den 8 december 2005 antagit en partiell gemensam ståndpunkt där  artikel 17 (budget och budgetfördelning) undantogs då beslut om EU:s långsiktiga budget ännu inte hade tagits. </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Efter det att uppgörelse om EU:s långtidsbudegt skett har det österrikiska ordförandeskapet har under våren lett diskussionerna samt lagt fram ett förslag om medelsfördelningen inom programmet</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Alla medlemsstater har kunnat acceptera förslaget. Förslaget går även Europaparlamentet till mötes vad gäller fördelningen mellan programmets delar.</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Se även särskild rådspromemoria.</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Förslag till svensk ståndpunkt:</w:t>
      </w:r>
    </w:p>
    <w:p w:rsidR="00ED44D4" w:rsidRPr="00E90528" w:rsidRDefault="00ED44D4">
      <w:pPr>
        <w:spacing w:line="240" w:lineRule="auto"/>
      </w:pPr>
      <w:r w:rsidRPr="00E90528">
        <w:rPr>
          <w:i/>
          <w:iCs/>
        </w:rPr>
        <w:t>Sverige kan acceptera ordförandeskapets förslag.</w:t>
      </w:r>
    </w:p>
    <w:p w:rsidR="00ED44D4" w:rsidRPr="00E90528" w:rsidRDefault="00ED44D4">
      <w:pPr>
        <w:spacing w:line="240" w:lineRule="auto"/>
        <w:rPr>
          <w:b/>
          <w:bCs/>
        </w:rPr>
      </w:pPr>
    </w:p>
    <w:p w:rsidR="00ED44D4" w:rsidRPr="00E90528" w:rsidRDefault="00ED44D4">
      <w:pPr>
        <w:pStyle w:val="Par-number1"/>
        <w:numPr>
          <w:ilvl w:val="0"/>
          <w:numId w:val="47"/>
        </w:numPr>
        <w:spacing w:line="240" w:lineRule="auto"/>
        <w:rPr>
          <w:b/>
          <w:bCs/>
        </w:rPr>
      </w:pPr>
      <w:r w:rsidRPr="00E90528">
        <w:rPr>
          <w:b/>
          <w:bCs/>
          <w:color w:val="000000"/>
        </w:rPr>
        <w:t>Förslag till rådets beslut om riktlinjer för medlemsstaternas sysselsättningspolitik (R)</w:t>
      </w:r>
      <w:r w:rsidRPr="00E90528">
        <w:rPr>
          <w:b/>
          <w:bCs/>
        </w:rPr>
        <w:t xml:space="preserve"> (*) </w:t>
      </w:r>
    </w:p>
    <w:p w:rsidR="00ED44D4" w:rsidRPr="00E90528" w:rsidRDefault="00ED44D4">
      <w:pPr>
        <w:pStyle w:val="Par-number1"/>
        <w:tabs>
          <w:tab w:val="clear" w:pos="360"/>
        </w:tabs>
        <w:spacing w:line="240" w:lineRule="auto"/>
        <w:ind w:left="1287" w:hanging="720"/>
        <w:rPr>
          <w:b/>
          <w:bCs/>
        </w:rPr>
      </w:pPr>
      <w:r w:rsidRPr="00E90528">
        <w:rPr>
          <w:b/>
          <w:bCs/>
        </w:rPr>
        <w:t>(Kommissionens förslag till rättslig grund: artikel</w:t>
      </w:r>
      <w:r w:rsidRPr="00E90528">
        <w:rPr>
          <w:b/>
          <w:bCs/>
          <w:color w:val="000000"/>
        </w:rPr>
        <w:t xml:space="preserve"> 128.2 i fördraget) </w:t>
      </w:r>
    </w:p>
    <w:p w:rsidR="00ED44D4" w:rsidRPr="00E90528" w:rsidRDefault="00ED44D4">
      <w:pPr>
        <w:pStyle w:val="Par-dash"/>
        <w:tabs>
          <w:tab w:val="num" w:pos="1134"/>
        </w:tabs>
        <w:spacing w:line="240" w:lineRule="auto"/>
        <w:ind w:left="1134" w:hanging="567"/>
        <w:rPr>
          <w:b/>
          <w:bCs/>
        </w:rPr>
      </w:pPr>
      <w:r w:rsidRPr="00E90528">
        <w:rPr>
          <w:b/>
          <w:bCs/>
        </w:rPr>
        <w:t>Politisk överenskommelse</w:t>
      </w:r>
    </w:p>
    <w:p w:rsidR="00ED44D4" w:rsidRPr="00E90528" w:rsidRDefault="00ED44D4">
      <w:pPr>
        <w:spacing w:line="240" w:lineRule="auto"/>
        <w:ind w:left="1701" w:firstLine="22"/>
        <w:rPr>
          <w:b/>
          <w:bCs/>
        </w:rPr>
      </w:pPr>
      <w:r w:rsidRPr="00E90528">
        <w:rPr>
          <w:b/>
          <w:bCs/>
        </w:rPr>
        <w:t>5853/06 SOC 42 ECOFIN 27</w:t>
      </w:r>
    </w:p>
    <w:p w:rsidR="00ED44D4" w:rsidRPr="00E90528" w:rsidRDefault="00ED44D4">
      <w:pPr>
        <w:spacing w:line="240" w:lineRule="auto"/>
        <w:ind w:left="1701" w:firstLine="22"/>
        <w:rPr>
          <w:b/>
          <w:bCs/>
        </w:rPr>
      </w:pPr>
      <w:r w:rsidRPr="00E90528">
        <w:rPr>
          <w:b/>
          <w:bCs/>
        </w:rPr>
        <w:t>9046/06 SOC 214 ECOFIN 154</w:t>
      </w:r>
    </w:p>
    <w:p w:rsidR="00ED44D4" w:rsidRPr="00E90528" w:rsidRDefault="00ED44D4">
      <w:pPr>
        <w:spacing w:line="240" w:lineRule="auto"/>
        <w:ind w:left="2268"/>
        <w:rPr>
          <w:b/>
          <w:bCs/>
        </w:rPr>
      </w:pPr>
      <w:r w:rsidRPr="00E90528">
        <w:rPr>
          <w:b/>
          <w:bCs/>
        </w:rPr>
        <w:t>+ REV 1 (de)</w:t>
      </w:r>
    </w:p>
    <w:p w:rsidR="00ED44D4" w:rsidRPr="00E90528" w:rsidRDefault="00ED44D4">
      <w:pPr>
        <w:pStyle w:val="RKnormal"/>
        <w:rPr>
          <w:i/>
          <w:iCs/>
        </w:rPr>
      </w:pPr>
    </w:p>
    <w:p w:rsidR="00ED44D4" w:rsidRPr="00E90528" w:rsidRDefault="00ED44D4">
      <w:pPr>
        <w:pStyle w:val="RKnormal"/>
        <w:rPr>
          <w:i/>
          <w:iCs/>
        </w:rPr>
      </w:pPr>
      <w:r w:rsidRPr="00E90528">
        <w:rPr>
          <w:i/>
          <w:iCs/>
        </w:rPr>
        <w:t xml:space="preserve">Vid rådsmötet den 1 juni skall EPSCO-rådet anta en politisk överenskommelse om sysselsättningsriktlinjerna i det integrerade riktlinjepaketet. Riktlinjer för sysselsättning behandlades senast av EU-nämnden den 27 maj 2005 inför rådsmötet den 2 juni 2005 om de nya integrerade riktlinjerna för tillväxt och sysselsättning. </w:t>
      </w:r>
    </w:p>
    <w:p w:rsidR="00ED44D4" w:rsidRPr="00E90528" w:rsidRDefault="00ED44D4">
      <w:pPr>
        <w:pStyle w:val="RKnormal"/>
        <w:rPr>
          <w:i/>
          <w:iCs/>
        </w:rPr>
      </w:pPr>
    </w:p>
    <w:p w:rsidR="00ED44D4" w:rsidRPr="00E90528" w:rsidRDefault="00ED44D4">
      <w:pPr>
        <w:pStyle w:val="RKnormal"/>
        <w:rPr>
          <w:i/>
          <w:iCs/>
        </w:rPr>
      </w:pPr>
      <w:r w:rsidRPr="00E90528">
        <w:rPr>
          <w:i/>
          <w:iCs/>
        </w:rPr>
        <w:t xml:space="preserve">Enligt EG-fördraget skall rådet varje år med kvalificerad majoritet på förslag av kommissionen lägga fast riktlinjer som medlemsstaterna skall beakta i sin sysselsättningspolitik. Förslaget inför årets rådsmöte är att riktlinjerna är oförändrade. Orsaken är att Europeiska rådets möte i mars 2005 beslutade att upprätta integrerade riktlinjer för unionen och medlemsstaternas genomförande av Lissabonstrategin för perioden 2005- 2008. </w:t>
      </w:r>
    </w:p>
    <w:p w:rsidR="00ED44D4" w:rsidRPr="00E90528" w:rsidRDefault="00ED44D4">
      <w:pPr>
        <w:pStyle w:val="RKnormal"/>
        <w:rPr>
          <w:i/>
          <w:iCs/>
        </w:rPr>
      </w:pPr>
    </w:p>
    <w:p w:rsidR="00ED44D4" w:rsidRPr="00E90528" w:rsidRDefault="00ED44D4">
      <w:pPr>
        <w:pStyle w:val="RKnormal"/>
        <w:tabs>
          <w:tab w:val="num" w:pos="851"/>
        </w:tabs>
        <w:rPr>
          <w:i/>
          <w:iCs/>
        </w:rPr>
      </w:pPr>
      <w:r w:rsidRPr="00E90528">
        <w:rPr>
          <w:i/>
          <w:iCs/>
        </w:rPr>
        <w:t xml:space="preserve">Förslag till ståndpunkt: Regeringen välkomnar förslaget till beslut om sysselsättningsriktlinjerna vilket innebär att sysselsättningsriktlinjerna förblir oförändrade. </w:t>
      </w:r>
    </w:p>
    <w:p w:rsidR="00ED44D4" w:rsidRPr="00E90528" w:rsidRDefault="00ED44D4">
      <w:pPr>
        <w:spacing w:line="240" w:lineRule="auto"/>
      </w:pPr>
    </w:p>
    <w:p w:rsidR="00ED44D4" w:rsidRPr="00E90528" w:rsidRDefault="00ED44D4">
      <w:pPr>
        <w:spacing w:line="240" w:lineRule="auto"/>
      </w:pPr>
    </w:p>
    <w:p w:rsidR="00ED44D4" w:rsidRPr="00E90528" w:rsidRDefault="00ED44D4">
      <w:pPr>
        <w:pStyle w:val="Par-number1"/>
        <w:numPr>
          <w:ilvl w:val="0"/>
          <w:numId w:val="47"/>
        </w:numPr>
        <w:spacing w:line="240" w:lineRule="auto"/>
        <w:rPr>
          <w:b/>
          <w:bCs/>
        </w:rPr>
      </w:pPr>
      <w:r w:rsidRPr="00E90528">
        <w:rPr>
          <w:b/>
          <w:bCs/>
          <w:color w:val="000000"/>
        </w:rPr>
        <w:t>Ändrat förslag till Europaparlamentets och rådets direktiv om ändring av direktiv 2003/88/EG om arbetstidens förläggning i vissa avseende</w:t>
      </w:r>
      <w:r w:rsidRPr="00E90528">
        <w:rPr>
          <w:b/>
          <w:bCs/>
        </w:rPr>
        <w:t xml:space="preserve"> (R) (*)</w:t>
      </w:r>
    </w:p>
    <w:p w:rsidR="00ED44D4" w:rsidRPr="00E90528" w:rsidRDefault="00ED44D4">
      <w:pPr>
        <w:pStyle w:val="Par-number1"/>
        <w:tabs>
          <w:tab w:val="clear" w:pos="360"/>
        </w:tabs>
        <w:spacing w:line="240" w:lineRule="auto"/>
        <w:ind w:left="1287" w:hanging="720"/>
        <w:rPr>
          <w:b/>
          <w:bCs/>
        </w:rPr>
      </w:pPr>
      <w:r w:rsidRPr="00E90528">
        <w:rPr>
          <w:b/>
          <w:bCs/>
        </w:rPr>
        <w:t>(Kommissionens förslag till rättslig grund: a</w:t>
      </w:r>
      <w:r w:rsidRPr="00E90528">
        <w:rPr>
          <w:b/>
          <w:bCs/>
          <w:color w:val="000000"/>
        </w:rPr>
        <w:t>rtikel 137.2 i fördraget)</w:t>
      </w:r>
    </w:p>
    <w:p w:rsidR="00ED44D4" w:rsidRPr="00E90528" w:rsidRDefault="00ED44D4">
      <w:pPr>
        <w:pStyle w:val="Par-dash"/>
        <w:tabs>
          <w:tab w:val="num" w:pos="1134"/>
        </w:tabs>
        <w:spacing w:line="240" w:lineRule="auto"/>
        <w:ind w:left="1134" w:hanging="567"/>
        <w:rPr>
          <w:b/>
          <w:bCs/>
        </w:rPr>
      </w:pPr>
      <w:r w:rsidRPr="00E90528">
        <w:rPr>
          <w:b/>
          <w:bCs/>
        </w:rPr>
        <w:t>Politisk överenskommelse</w:t>
      </w:r>
    </w:p>
    <w:p w:rsidR="00ED44D4" w:rsidRPr="00E90528" w:rsidRDefault="00ED44D4">
      <w:pPr>
        <w:spacing w:line="240" w:lineRule="auto"/>
        <w:ind w:left="1134"/>
        <w:rPr>
          <w:b/>
          <w:bCs/>
        </w:rPr>
      </w:pPr>
      <w:r w:rsidRPr="00E90528">
        <w:rPr>
          <w:b/>
          <w:bCs/>
        </w:rPr>
        <w:t>(Offentlig överläggning)</w:t>
      </w:r>
    </w:p>
    <w:p w:rsidR="00ED44D4" w:rsidRPr="00E90528" w:rsidRDefault="00ED44D4">
      <w:pPr>
        <w:pStyle w:val="EntRefer"/>
        <w:ind w:left="1701"/>
        <w:rPr>
          <w:bCs/>
        </w:rPr>
      </w:pPr>
      <w:r w:rsidRPr="00E90528">
        <w:rPr>
          <w:bCs/>
        </w:rPr>
        <w:t>9554/05 SOC 244 SAN 94 TRANS 108 MAR 84 CODEC 441</w:t>
      </w:r>
    </w:p>
    <w:p w:rsidR="00ED44D4" w:rsidRPr="00E90528" w:rsidRDefault="00ED44D4">
      <w:pPr>
        <w:pStyle w:val="RKnormal"/>
      </w:pPr>
    </w:p>
    <w:p w:rsidR="00ED44D4" w:rsidRPr="00E90528" w:rsidRDefault="00ED44D4">
      <w:pPr>
        <w:pStyle w:val="RKnormal"/>
        <w:rPr>
          <w:i/>
          <w:iCs/>
        </w:rPr>
      </w:pPr>
      <w:r w:rsidRPr="00E90528">
        <w:rPr>
          <w:i/>
          <w:iCs/>
        </w:rPr>
        <w:t xml:space="preserve">Rådet antog den 23 november 1993 direktiv 93/104/EG om arbetstidens förläggning i vissa avseenden vilket den 2 augusti 2004 ersattes av Europaparlamentets och rådets direktiv 2003/88/EG av den 4 november 2003 om arbetstidens förläggning i vissa avseenden. </w:t>
      </w:r>
    </w:p>
    <w:p w:rsidR="00ED44D4" w:rsidRPr="00E90528" w:rsidRDefault="00ED44D4">
      <w:pPr>
        <w:pStyle w:val="RKnormal"/>
        <w:rPr>
          <w:i/>
          <w:iCs/>
        </w:rPr>
      </w:pPr>
    </w:p>
    <w:p w:rsidR="00ED44D4" w:rsidRPr="00E90528" w:rsidRDefault="00ED44D4">
      <w:pPr>
        <w:pStyle w:val="RKnormal"/>
        <w:rPr>
          <w:i/>
          <w:iCs/>
        </w:rPr>
      </w:pPr>
      <w:r w:rsidRPr="00E90528">
        <w:rPr>
          <w:i/>
          <w:iCs/>
        </w:rPr>
        <w:t xml:space="preserve">I enlighet med en översynsklausul i direktivet och mot bakgrund av EG-domstolens domar i fallen Simap respektive Jaeger har kommissionen inlett en översyn av direktivet och presenterat ett direktivsförslag. </w:t>
      </w:r>
    </w:p>
    <w:p w:rsidR="00ED44D4" w:rsidRPr="00E90528" w:rsidRDefault="00ED44D4">
      <w:pPr>
        <w:pStyle w:val="RKnormal"/>
        <w:rPr>
          <w:i/>
          <w:iCs/>
        </w:rPr>
      </w:pPr>
    </w:p>
    <w:p w:rsidR="00ED44D4" w:rsidRPr="00E90528" w:rsidRDefault="00ED44D4">
      <w:pPr>
        <w:pStyle w:val="RKnormal"/>
        <w:rPr>
          <w:i/>
          <w:iCs/>
        </w:rPr>
      </w:pPr>
      <w:r w:rsidRPr="00E90528">
        <w:rPr>
          <w:i/>
          <w:iCs/>
        </w:rPr>
        <w:t>Tidigare behandlad vid samråd med EU-nämnden: EU-nämndens möte 2003/04:23 den 1 mars 2004, EU-nämndens möte 2004/05:2 den 1 oktober 2004, EU-nämndens möte 2004/05:12 den 3 december 2004, EU-nämndens möte 2004/05:23 den 25 februari 2005, samt EU-nämndens möte 2005/06:12 den 2 december 2005.</w:t>
      </w:r>
    </w:p>
    <w:p w:rsidR="00ED44D4" w:rsidRPr="00E90528" w:rsidRDefault="00ED44D4">
      <w:pPr>
        <w:pStyle w:val="RKnormal"/>
        <w:rPr>
          <w:i/>
          <w:iCs/>
          <w:szCs w:val="15"/>
        </w:rPr>
      </w:pPr>
    </w:p>
    <w:p w:rsidR="00ED44D4" w:rsidRPr="00E90528" w:rsidRDefault="00ED44D4">
      <w:pPr>
        <w:pStyle w:val="RKnormal"/>
        <w:rPr>
          <w:i/>
          <w:iCs/>
          <w:szCs w:val="15"/>
        </w:rPr>
      </w:pPr>
      <w:r w:rsidRPr="00E90528">
        <w:rPr>
          <w:i/>
          <w:iCs/>
          <w:szCs w:val="15"/>
        </w:rPr>
        <w:t xml:space="preserve">Förslaget har behandlats i EPSCO och i rådsarbetsgruppen för sociala frågor under de holländska, luxemburgska, brittiska och österrikiska ordförandeskapen. Ingen förändring av förhandlingsläget i rådet har skett sedan de senaste samråden med EUN. Ordförandeskapet har tagit upp frågan som beslutspunkt men har ännu ej presenterat något förslag. </w:t>
      </w:r>
    </w:p>
    <w:p w:rsidR="00ED44D4" w:rsidRPr="00E90528" w:rsidRDefault="00ED44D4">
      <w:pPr>
        <w:pStyle w:val="RKnormal"/>
        <w:rPr>
          <w:i/>
          <w:iCs/>
          <w:szCs w:val="15"/>
        </w:rPr>
      </w:pPr>
    </w:p>
    <w:p w:rsidR="00ED44D4" w:rsidRPr="00E90528" w:rsidRDefault="00ED44D4">
      <w:pPr>
        <w:pStyle w:val="RKnormal"/>
        <w:rPr>
          <w:i/>
          <w:iCs/>
          <w:szCs w:val="15"/>
        </w:rPr>
      </w:pPr>
      <w:r w:rsidRPr="00E90528">
        <w:rPr>
          <w:i/>
          <w:iCs/>
          <w:szCs w:val="15"/>
        </w:rPr>
        <w:t>Förslag till svensk ståndpunkt:</w:t>
      </w:r>
    </w:p>
    <w:p w:rsidR="00ED44D4" w:rsidRPr="00E90528" w:rsidRDefault="00ED44D4">
      <w:pPr>
        <w:pStyle w:val="RKnormal"/>
        <w:rPr>
          <w:i/>
          <w:iCs/>
          <w:szCs w:val="15"/>
        </w:rPr>
      </w:pPr>
      <w:r w:rsidRPr="00E90528">
        <w:rPr>
          <w:i/>
          <w:iCs/>
          <w:szCs w:val="15"/>
        </w:rPr>
        <w:t>Sverige kvarstår vid de ståndpunkter vilka i detalj redovisats vid ovan nämnda möten med EU-nämnden och avser vid mötet arbeta för att hitta en kompromisslösning.</w:t>
      </w:r>
    </w:p>
    <w:p w:rsidR="00ED44D4" w:rsidRPr="00E90528" w:rsidRDefault="00ED44D4">
      <w:pPr>
        <w:tabs>
          <w:tab w:val="left" w:pos="600"/>
        </w:tabs>
        <w:spacing w:line="240" w:lineRule="auto"/>
        <w:ind w:left="720" w:hanging="720"/>
        <w:rPr>
          <w:bCs/>
          <w:i/>
          <w:iCs/>
        </w:rPr>
      </w:pPr>
    </w:p>
    <w:p w:rsidR="00ED44D4" w:rsidRPr="00E90528" w:rsidRDefault="00ED44D4">
      <w:pPr>
        <w:tabs>
          <w:tab w:val="left" w:pos="600"/>
        </w:tabs>
        <w:spacing w:line="240" w:lineRule="auto"/>
        <w:ind w:left="720" w:hanging="720"/>
        <w:rPr>
          <w:bCs/>
          <w:i/>
          <w:iCs/>
        </w:rPr>
      </w:pPr>
    </w:p>
    <w:p w:rsidR="00ED44D4" w:rsidRPr="00E90528" w:rsidRDefault="00ED44D4">
      <w:pPr>
        <w:tabs>
          <w:tab w:val="left" w:pos="600"/>
        </w:tabs>
        <w:spacing w:line="240" w:lineRule="auto"/>
        <w:ind w:left="720" w:hanging="720"/>
        <w:rPr>
          <w:b/>
          <w:u w:val="single"/>
        </w:rPr>
      </w:pPr>
    </w:p>
    <w:p w:rsidR="00ED44D4" w:rsidRPr="00E90528" w:rsidRDefault="00ED44D4">
      <w:pPr>
        <w:tabs>
          <w:tab w:val="left" w:pos="600"/>
        </w:tabs>
        <w:spacing w:line="240" w:lineRule="auto"/>
        <w:ind w:left="720" w:hanging="720"/>
        <w:rPr>
          <w:b/>
          <w:u w:val="single"/>
        </w:rPr>
      </w:pPr>
      <w:r w:rsidRPr="00E90528">
        <w:rPr>
          <w:b/>
          <w:u w:val="single"/>
        </w:rPr>
        <w:t>Fredagen den 2 juni 2006: HÄLSO- OCH SJUKVÅRD</w:t>
      </w:r>
    </w:p>
    <w:p w:rsidR="00ED44D4" w:rsidRPr="00E90528" w:rsidRDefault="00ED44D4">
      <w:pPr>
        <w:spacing w:line="240" w:lineRule="auto"/>
        <w:ind w:left="720" w:hanging="720"/>
      </w:pPr>
    </w:p>
    <w:p w:rsidR="00ED44D4" w:rsidRPr="00E90528" w:rsidRDefault="00ED44D4">
      <w:pPr>
        <w:spacing w:line="240" w:lineRule="auto"/>
        <w:ind w:left="720" w:hanging="720"/>
      </w:pPr>
    </w:p>
    <w:p w:rsidR="00ED44D4" w:rsidRPr="00E90528" w:rsidRDefault="00ED44D4">
      <w:pPr>
        <w:numPr>
          <w:ilvl w:val="0"/>
          <w:numId w:val="47"/>
        </w:numPr>
        <w:tabs>
          <w:tab w:val="left" w:pos="720"/>
          <w:tab w:val="left" w:pos="1134"/>
        </w:tabs>
        <w:spacing w:line="240" w:lineRule="auto"/>
        <w:rPr>
          <w:b/>
          <w:bCs/>
        </w:rPr>
      </w:pPr>
      <w:r w:rsidRPr="00E90528">
        <w:rPr>
          <w:b/>
          <w:bCs/>
        </w:rPr>
        <w:t>Förslag till Europaparlamentets och rådets direktiv om ändring av direktiv 95/2/EG om andra livsmedelstillsatser än färgämnen och sötningsmedel och direktiv 94/35/EG om sötningsmedel för användning i livsmedel (R) [Första behandlingen] (*)</w:t>
      </w:r>
    </w:p>
    <w:p w:rsidR="00ED44D4" w:rsidRPr="00E90528" w:rsidRDefault="00ED44D4">
      <w:pPr>
        <w:pStyle w:val="Par-number1"/>
        <w:tabs>
          <w:tab w:val="clear" w:pos="360"/>
        </w:tabs>
        <w:spacing w:line="240" w:lineRule="auto"/>
        <w:ind w:left="1287" w:hanging="720"/>
        <w:rPr>
          <w:b/>
          <w:bCs/>
        </w:rPr>
      </w:pPr>
      <w:r w:rsidRPr="00E90528">
        <w:rPr>
          <w:b/>
          <w:bCs/>
        </w:rPr>
        <w:t>(Kommissionens förslag till rättslig grund: a</w:t>
      </w:r>
      <w:r w:rsidRPr="00E90528">
        <w:rPr>
          <w:b/>
          <w:bCs/>
          <w:color w:val="000000"/>
        </w:rPr>
        <w:t xml:space="preserve">rtikel 95 i fördraget) </w:t>
      </w:r>
    </w:p>
    <w:p w:rsidR="00ED44D4" w:rsidRPr="00E90528" w:rsidRDefault="00ED44D4">
      <w:pPr>
        <w:pStyle w:val="Par-dash"/>
        <w:tabs>
          <w:tab w:val="num" w:pos="1134"/>
        </w:tabs>
        <w:spacing w:line="240" w:lineRule="auto"/>
        <w:ind w:left="1134" w:hanging="567"/>
        <w:rPr>
          <w:b/>
          <w:bCs/>
        </w:rPr>
      </w:pPr>
      <w:r w:rsidRPr="00E90528">
        <w:rPr>
          <w:b/>
          <w:bCs/>
          <w:color w:val="000000"/>
        </w:rPr>
        <w:t>Antagande av rättsakten</w:t>
      </w:r>
      <w:r w:rsidRPr="00E90528">
        <w:rPr>
          <w:b/>
          <w:bCs/>
        </w:rPr>
        <w:t xml:space="preserve"> </w:t>
      </w:r>
    </w:p>
    <w:p w:rsidR="00ED44D4" w:rsidRPr="00E90528" w:rsidRDefault="00ED44D4">
      <w:pPr>
        <w:spacing w:line="240" w:lineRule="auto"/>
        <w:ind w:left="1800" w:hanging="720"/>
        <w:rPr>
          <w:b/>
          <w:bCs/>
        </w:rPr>
      </w:pPr>
      <w:r w:rsidRPr="00E90528">
        <w:rPr>
          <w:b/>
          <w:bCs/>
        </w:rPr>
        <w:t>(</w:t>
      </w:r>
      <w:r w:rsidRPr="00E90528">
        <w:rPr>
          <w:b/>
          <w:bCs/>
          <w:color w:val="000000"/>
        </w:rPr>
        <w:t>Offentlig överläggning</w:t>
      </w:r>
      <w:r w:rsidRPr="00E90528">
        <w:rPr>
          <w:b/>
          <w:bCs/>
        </w:rPr>
        <w:t>)</w:t>
      </w:r>
    </w:p>
    <w:p w:rsidR="00ED44D4" w:rsidRPr="00E90528" w:rsidRDefault="00ED44D4">
      <w:pPr>
        <w:tabs>
          <w:tab w:val="left" w:pos="720"/>
        </w:tabs>
        <w:spacing w:line="240" w:lineRule="auto"/>
        <w:ind w:left="1701"/>
        <w:rPr>
          <w:b/>
          <w:bCs/>
        </w:rPr>
      </w:pPr>
      <w:r w:rsidRPr="00E90528">
        <w:rPr>
          <w:b/>
          <w:bCs/>
        </w:rPr>
        <w:t>PE-CONS 3663/05 DENLEG 58 CODEC 1045 OC 853</w:t>
      </w:r>
    </w:p>
    <w:p w:rsidR="00ED44D4" w:rsidRPr="00E90528" w:rsidRDefault="00ED44D4">
      <w:pPr>
        <w:tabs>
          <w:tab w:val="left" w:pos="720"/>
        </w:tabs>
        <w:spacing w:line="240" w:lineRule="auto"/>
        <w:ind w:left="3261"/>
        <w:rPr>
          <w:b/>
          <w:bCs/>
        </w:rPr>
      </w:pPr>
      <w:r w:rsidRPr="00E90528">
        <w:rPr>
          <w:b/>
          <w:bCs/>
        </w:rPr>
        <w:t>+ COR 1 (sv)</w:t>
      </w:r>
    </w:p>
    <w:p w:rsidR="00ED44D4" w:rsidRPr="00E90528" w:rsidRDefault="00ED44D4">
      <w:pPr>
        <w:tabs>
          <w:tab w:val="left" w:pos="720"/>
        </w:tabs>
        <w:spacing w:line="240" w:lineRule="auto"/>
        <w:ind w:left="3261"/>
        <w:rPr>
          <w:b/>
          <w:bCs/>
        </w:rPr>
      </w:pPr>
      <w:r w:rsidRPr="00E90528">
        <w:rPr>
          <w:b/>
          <w:bCs/>
        </w:rPr>
        <w:t>+ COR 2 (fi)</w:t>
      </w:r>
    </w:p>
    <w:p w:rsidR="00ED44D4" w:rsidRPr="00E90528" w:rsidRDefault="00ED44D4">
      <w:pPr>
        <w:tabs>
          <w:tab w:val="left" w:pos="720"/>
        </w:tabs>
        <w:spacing w:line="240" w:lineRule="auto"/>
        <w:ind w:left="3261"/>
        <w:rPr>
          <w:b/>
          <w:bCs/>
        </w:rPr>
      </w:pPr>
      <w:r w:rsidRPr="00E90528">
        <w:rPr>
          <w:b/>
          <w:bCs/>
        </w:rPr>
        <w:t>+ COR 3 (lv)</w:t>
      </w:r>
    </w:p>
    <w:p w:rsidR="00ED44D4" w:rsidRPr="00E90528" w:rsidRDefault="00ED44D4">
      <w:pPr>
        <w:tabs>
          <w:tab w:val="left" w:pos="720"/>
        </w:tabs>
        <w:spacing w:line="240" w:lineRule="auto"/>
        <w:ind w:left="3261"/>
        <w:rPr>
          <w:b/>
          <w:bCs/>
        </w:rPr>
      </w:pPr>
      <w:r w:rsidRPr="00E90528">
        <w:rPr>
          <w:b/>
          <w:bCs/>
        </w:rPr>
        <w:t>+ COR 4 (el)</w:t>
      </w:r>
    </w:p>
    <w:p w:rsidR="00ED44D4" w:rsidRPr="00E90528" w:rsidRDefault="00ED44D4">
      <w:pPr>
        <w:tabs>
          <w:tab w:val="left" w:pos="720"/>
        </w:tabs>
        <w:spacing w:line="240" w:lineRule="auto"/>
        <w:ind w:left="3261"/>
        <w:rPr>
          <w:b/>
          <w:bCs/>
        </w:rPr>
      </w:pPr>
      <w:r w:rsidRPr="00E90528">
        <w:rPr>
          <w:b/>
          <w:bCs/>
        </w:rPr>
        <w:t>+ REV 1 (de)</w:t>
      </w:r>
    </w:p>
    <w:p w:rsidR="00ED44D4" w:rsidRPr="00E90528" w:rsidRDefault="00ED44D4">
      <w:pPr>
        <w:spacing w:line="240" w:lineRule="auto"/>
        <w:ind w:left="1701"/>
        <w:rPr>
          <w:b/>
          <w:bCs/>
        </w:rPr>
      </w:pPr>
      <w:r w:rsidRPr="00E90528">
        <w:rPr>
          <w:b/>
          <w:bCs/>
        </w:rPr>
        <w:t>9283/06 DENLEG 27 CODEC 468</w:t>
      </w:r>
    </w:p>
    <w:p w:rsidR="00ED44D4" w:rsidRPr="00E90528" w:rsidRDefault="00ED44D4">
      <w:pPr>
        <w:spacing w:line="240" w:lineRule="auto"/>
        <w:ind w:left="2268"/>
        <w:rPr>
          <w:b/>
          <w:bCs/>
        </w:rPr>
      </w:pPr>
      <w:r w:rsidRPr="00E90528">
        <w:rPr>
          <w:b/>
          <w:bCs/>
        </w:rPr>
        <w:t>+ ADD 1</w:t>
      </w:r>
    </w:p>
    <w:p w:rsidR="00ED44D4" w:rsidRPr="00E90528" w:rsidRDefault="00ED44D4">
      <w:pPr>
        <w:tabs>
          <w:tab w:val="left" w:pos="720"/>
          <w:tab w:val="left" w:pos="1134"/>
        </w:tabs>
        <w:spacing w:line="240" w:lineRule="auto"/>
        <w:ind w:left="720" w:hanging="720"/>
        <w:outlineLvl w:val="0"/>
        <w:rPr>
          <w:i/>
          <w:iCs/>
        </w:rPr>
      </w:pPr>
      <w:r w:rsidRPr="00E90528">
        <w:rPr>
          <w:i/>
          <w:iCs/>
        </w:rPr>
        <w:t>Rättslig grund</w:t>
      </w:r>
    </w:p>
    <w:p w:rsidR="00ED44D4" w:rsidRPr="00E90528" w:rsidRDefault="00ED44D4">
      <w:pPr>
        <w:tabs>
          <w:tab w:val="left" w:pos="720"/>
          <w:tab w:val="left" w:pos="1134"/>
        </w:tabs>
        <w:spacing w:line="240" w:lineRule="auto"/>
        <w:ind w:left="720" w:hanging="720"/>
        <w:outlineLvl w:val="0"/>
        <w:rPr>
          <w:i/>
          <w:iCs/>
        </w:rPr>
      </w:pPr>
      <w:r w:rsidRPr="00E90528">
        <w:rPr>
          <w:i/>
          <w:iCs/>
        </w:rPr>
        <w:t>Artikel 95 i EG-fördraget.  Kvalificerad majoritet och medbeslutande</w:t>
      </w:r>
    </w:p>
    <w:p w:rsidR="00ED44D4" w:rsidRPr="00E90528" w:rsidRDefault="00ED44D4">
      <w:pPr>
        <w:tabs>
          <w:tab w:val="left" w:pos="720"/>
          <w:tab w:val="left" w:pos="1134"/>
        </w:tabs>
        <w:spacing w:line="240" w:lineRule="auto"/>
        <w:ind w:left="720" w:hanging="720"/>
        <w:outlineLvl w:val="0"/>
        <w:rPr>
          <w:i/>
          <w:iCs/>
        </w:rPr>
      </w:pPr>
      <w:r w:rsidRPr="00E90528">
        <w:rPr>
          <w:i/>
          <w:iCs/>
        </w:rPr>
        <w:t>med EP enligt artikel 251.</w:t>
      </w:r>
    </w:p>
    <w:p w:rsidR="00ED44D4" w:rsidRPr="00E90528" w:rsidRDefault="00ED44D4">
      <w:pPr>
        <w:tabs>
          <w:tab w:val="left" w:pos="720"/>
          <w:tab w:val="left" w:pos="1134"/>
        </w:tabs>
        <w:spacing w:line="240" w:lineRule="auto"/>
        <w:ind w:left="720" w:hanging="720"/>
        <w:outlineLvl w:val="0"/>
        <w:rPr>
          <w:i/>
          <w:iCs/>
        </w:rPr>
      </w:pPr>
    </w:p>
    <w:p w:rsidR="00ED44D4" w:rsidRPr="00E90528" w:rsidRDefault="00ED44D4">
      <w:pPr>
        <w:tabs>
          <w:tab w:val="left" w:pos="720"/>
          <w:tab w:val="left" w:pos="1134"/>
        </w:tabs>
        <w:spacing w:line="240" w:lineRule="auto"/>
        <w:ind w:left="720" w:hanging="720"/>
        <w:outlineLvl w:val="0"/>
        <w:rPr>
          <w:i/>
          <w:iCs/>
        </w:rPr>
      </w:pPr>
      <w:r w:rsidRPr="00E90528">
        <w:rPr>
          <w:i/>
          <w:iCs/>
        </w:rPr>
        <w:t>Bakgrund</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Användningen av livsmedelstillsatser är harmoniserad i gemenskapen.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Området är reglerat genom ett ramdirektiv med bl.a. definitioner och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principer för användningen av livsmedelstillsatser. Vidare finns ett antal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särdirektiv som i detalj specificerar tillåtna livsmedelstillsatser, de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livsmedel som de får användas i och deras användningsvillkor. </w:t>
      </w:r>
    </w:p>
    <w:p w:rsidR="00ED44D4" w:rsidRPr="00E90528" w:rsidRDefault="00ED44D4">
      <w:pPr>
        <w:tabs>
          <w:tab w:val="left" w:pos="720"/>
          <w:tab w:val="left" w:pos="1134"/>
        </w:tabs>
        <w:spacing w:line="240" w:lineRule="auto"/>
        <w:ind w:left="720" w:hanging="720"/>
        <w:outlineLvl w:val="0"/>
        <w:rPr>
          <w:i/>
          <w:iCs/>
        </w:rPr>
      </w:pP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Förslaget innebär att man ändrar villkoren för användningen av vissa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livsmedelstillsatser i två av särdirektiven samt att man ändrar ett antal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benämningar till följd av ändringar i annan gemenskapslagstiftning.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Ändringarna av villkoren berör bl.a. nitrit, p-hydroxibensoater,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sojabönshemicellulosa. Ändringen är också föranledd av ett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domstolsutslag om nitriter och nitrater (Danmark mot KOM).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En politisk överenskommelse om förslaget togs i höstas under det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brittiska ordförandeskapet. SE ställde sig då bakom överenskommelsen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som banade väg för en förstaläsningsöverenskommelse med EP.  </w:t>
      </w:r>
    </w:p>
    <w:p w:rsidR="00ED44D4" w:rsidRPr="00E90528" w:rsidRDefault="00ED44D4">
      <w:pPr>
        <w:tabs>
          <w:tab w:val="left" w:pos="720"/>
          <w:tab w:val="left" w:pos="1134"/>
        </w:tabs>
        <w:spacing w:line="240" w:lineRule="auto"/>
        <w:ind w:left="720" w:hanging="720"/>
        <w:outlineLvl w:val="0"/>
        <w:rPr>
          <w:i/>
          <w:iCs/>
        </w:rPr>
      </w:pP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DK har varit kritiska emot förslaget pga. nitrat/nitrit frågan där man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anser att även de nya tillåtna halterna för nitrit/nitrat är för höga. </w:t>
      </w:r>
    </w:p>
    <w:p w:rsidR="00ED44D4" w:rsidRPr="00E90528" w:rsidRDefault="00ED44D4">
      <w:pPr>
        <w:tabs>
          <w:tab w:val="left" w:pos="720"/>
          <w:tab w:val="left" w:pos="1134"/>
        </w:tabs>
        <w:spacing w:line="240" w:lineRule="auto"/>
        <w:ind w:left="720" w:hanging="720"/>
        <w:outlineLvl w:val="0"/>
        <w:rPr>
          <w:i/>
          <w:iCs/>
        </w:rPr>
      </w:pPr>
      <w:r w:rsidRPr="00E90528">
        <w:rPr>
          <w:i/>
          <w:iCs/>
        </w:rPr>
        <w:t>Punkten kommer att behandlas som en B-punkt på EPSCO-rådet den 1-</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2 juni på grund av att DK redan i höstas aviserade att de inte kunde </w:t>
      </w:r>
    </w:p>
    <w:p w:rsidR="00ED44D4" w:rsidRPr="00E90528" w:rsidRDefault="00ED44D4">
      <w:pPr>
        <w:tabs>
          <w:tab w:val="left" w:pos="720"/>
          <w:tab w:val="left" w:pos="1134"/>
        </w:tabs>
        <w:spacing w:line="240" w:lineRule="auto"/>
        <w:ind w:left="720" w:hanging="720"/>
        <w:outlineLvl w:val="0"/>
        <w:rPr>
          <w:i/>
          <w:iCs/>
        </w:rPr>
      </w:pPr>
      <w:r w:rsidRPr="00E90528">
        <w:rPr>
          <w:i/>
          <w:iCs/>
        </w:rPr>
        <w:t xml:space="preserve">acceptera ett beslut som A-punkt.  </w:t>
      </w:r>
    </w:p>
    <w:p w:rsidR="00ED44D4" w:rsidRPr="00E90528" w:rsidRDefault="00ED44D4">
      <w:pPr>
        <w:tabs>
          <w:tab w:val="left" w:pos="720"/>
          <w:tab w:val="left" w:pos="1134"/>
        </w:tabs>
        <w:spacing w:line="240" w:lineRule="auto"/>
        <w:ind w:left="720" w:hanging="720"/>
        <w:outlineLvl w:val="0"/>
        <w:rPr>
          <w:i/>
          <w:iCs/>
        </w:rPr>
      </w:pPr>
    </w:p>
    <w:p w:rsidR="00ED44D4" w:rsidRPr="00E90528" w:rsidRDefault="00ED44D4">
      <w:pPr>
        <w:tabs>
          <w:tab w:val="left" w:pos="720"/>
          <w:tab w:val="left" w:pos="1134"/>
        </w:tabs>
        <w:spacing w:line="240" w:lineRule="auto"/>
        <w:ind w:left="720" w:hanging="720"/>
        <w:outlineLvl w:val="0"/>
        <w:rPr>
          <w:i/>
          <w:iCs/>
        </w:rPr>
      </w:pPr>
      <w:r w:rsidRPr="00E90528">
        <w:rPr>
          <w:i/>
          <w:iCs/>
        </w:rPr>
        <w:t>För mer information se faktapromemoria 2004/05:FPM48.</w:t>
      </w:r>
    </w:p>
    <w:p w:rsidR="00ED44D4" w:rsidRPr="00E90528" w:rsidRDefault="00ED44D4">
      <w:pPr>
        <w:tabs>
          <w:tab w:val="left" w:pos="720"/>
          <w:tab w:val="left" w:pos="1134"/>
        </w:tabs>
        <w:spacing w:line="240" w:lineRule="auto"/>
        <w:ind w:left="720" w:hanging="720"/>
        <w:outlineLvl w:val="0"/>
        <w:rPr>
          <w:i/>
          <w:iCs/>
        </w:rPr>
      </w:pPr>
    </w:p>
    <w:p w:rsidR="00ED44D4" w:rsidRPr="00E90528" w:rsidRDefault="00ED44D4">
      <w:pPr>
        <w:tabs>
          <w:tab w:val="left" w:pos="720"/>
          <w:tab w:val="left" w:pos="1134"/>
        </w:tabs>
        <w:spacing w:line="240" w:lineRule="auto"/>
        <w:ind w:left="720" w:hanging="720"/>
        <w:outlineLvl w:val="0"/>
        <w:rPr>
          <w:i/>
          <w:iCs/>
        </w:rPr>
      </w:pPr>
      <w:r w:rsidRPr="00E90528">
        <w:rPr>
          <w:i/>
          <w:iCs/>
        </w:rPr>
        <w:t>Förslag till svensk ståndpunkt</w:t>
      </w:r>
    </w:p>
    <w:p w:rsidR="00ED44D4" w:rsidRPr="00E90528" w:rsidRDefault="00ED44D4">
      <w:pPr>
        <w:tabs>
          <w:tab w:val="left" w:pos="720"/>
          <w:tab w:val="left" w:pos="1134"/>
        </w:tabs>
        <w:spacing w:line="240" w:lineRule="auto"/>
        <w:ind w:left="720" w:hanging="720"/>
        <w:outlineLvl w:val="0"/>
        <w:rPr>
          <w:i/>
          <w:iCs/>
        </w:rPr>
      </w:pPr>
      <w:r w:rsidRPr="00E90528">
        <w:rPr>
          <w:i/>
          <w:iCs/>
        </w:rPr>
        <w:t>SE kan stödja förstaläsningsöverenskommelsen.</w:t>
      </w:r>
    </w:p>
    <w:p w:rsidR="00ED44D4" w:rsidRPr="00E90528" w:rsidRDefault="00ED44D4">
      <w:pPr>
        <w:tabs>
          <w:tab w:val="left" w:pos="720"/>
          <w:tab w:val="left" w:pos="1134"/>
        </w:tabs>
        <w:spacing w:line="240" w:lineRule="auto"/>
        <w:ind w:left="720" w:hanging="720"/>
        <w:outlineLvl w:val="0"/>
        <w:rPr>
          <w:i/>
          <w:iCs/>
        </w:rPr>
      </w:pPr>
    </w:p>
    <w:p w:rsidR="00ED44D4" w:rsidRPr="00E90528" w:rsidRDefault="00ED44D4">
      <w:pPr>
        <w:tabs>
          <w:tab w:val="left" w:pos="720"/>
          <w:tab w:val="left" w:pos="1134"/>
        </w:tabs>
        <w:spacing w:line="240" w:lineRule="auto"/>
        <w:ind w:left="720" w:hanging="720"/>
        <w:outlineLvl w:val="0"/>
        <w:rPr>
          <w:i/>
          <w:iCs/>
        </w:rPr>
      </w:pPr>
      <w:r w:rsidRPr="00E90528">
        <w:rPr>
          <w:i/>
          <w:iCs/>
        </w:rPr>
        <w:t>EU-nämnden</w:t>
      </w:r>
    </w:p>
    <w:p w:rsidR="00ED44D4" w:rsidRPr="00E90528" w:rsidRDefault="00ED44D4">
      <w:pPr>
        <w:tabs>
          <w:tab w:val="left" w:pos="720"/>
          <w:tab w:val="left" w:pos="1134"/>
        </w:tabs>
        <w:spacing w:line="240" w:lineRule="auto"/>
        <w:ind w:left="720" w:hanging="720"/>
        <w:outlineLvl w:val="0"/>
      </w:pPr>
      <w:r w:rsidRPr="00E90528">
        <w:rPr>
          <w:i/>
          <w:iCs/>
        </w:rPr>
        <w:t>Frågan har varit föremål för samråd i EU-nämnden i maj 2005.</w:t>
      </w:r>
    </w:p>
    <w:p w:rsidR="00ED44D4" w:rsidRPr="00E90528" w:rsidRDefault="00ED44D4">
      <w:pPr>
        <w:tabs>
          <w:tab w:val="left" w:pos="720"/>
          <w:tab w:val="left" w:pos="1134"/>
        </w:tabs>
        <w:spacing w:line="240" w:lineRule="auto"/>
        <w:ind w:left="720" w:hanging="720"/>
        <w:outlineLvl w:val="0"/>
      </w:pPr>
    </w:p>
    <w:p w:rsidR="00ED44D4" w:rsidRPr="00E90528" w:rsidRDefault="00ED44D4">
      <w:pPr>
        <w:numPr>
          <w:ilvl w:val="0"/>
          <w:numId w:val="47"/>
        </w:numPr>
        <w:tabs>
          <w:tab w:val="left" w:pos="720"/>
          <w:tab w:val="left" w:pos="1134"/>
        </w:tabs>
        <w:spacing w:line="240" w:lineRule="auto"/>
        <w:outlineLvl w:val="0"/>
        <w:rPr>
          <w:b/>
          <w:bCs/>
        </w:rPr>
      </w:pPr>
      <w:r w:rsidRPr="00E90528">
        <w:rPr>
          <w:b/>
          <w:bCs/>
        </w:rPr>
        <w:t xml:space="preserve">Kvinnors hälsa </w:t>
      </w:r>
    </w:p>
    <w:p w:rsidR="00ED44D4" w:rsidRPr="00E90528" w:rsidRDefault="00ED44D4">
      <w:pPr>
        <w:pStyle w:val="Par-dash"/>
        <w:tabs>
          <w:tab w:val="num" w:pos="1134"/>
        </w:tabs>
        <w:spacing w:line="240" w:lineRule="auto"/>
        <w:ind w:left="1134" w:hanging="567"/>
        <w:rPr>
          <w:b/>
          <w:bCs/>
        </w:rPr>
      </w:pPr>
      <w:r w:rsidRPr="00E90528">
        <w:rPr>
          <w:b/>
          <w:bCs/>
        </w:rPr>
        <w:t>Rådets slutsatser</w:t>
      </w:r>
    </w:p>
    <w:p w:rsidR="00ED44D4" w:rsidRPr="00E90528" w:rsidRDefault="00ED44D4">
      <w:pPr>
        <w:tabs>
          <w:tab w:val="left" w:pos="720"/>
          <w:tab w:val="left" w:pos="1134"/>
        </w:tabs>
        <w:ind w:left="720" w:hanging="720"/>
        <w:rPr>
          <w:i/>
        </w:rPr>
      </w:pPr>
    </w:p>
    <w:p w:rsidR="00ED44D4" w:rsidRPr="00E90528" w:rsidRDefault="00ED44D4">
      <w:pPr>
        <w:tabs>
          <w:tab w:val="left" w:pos="1134"/>
        </w:tabs>
        <w:rPr>
          <w:i/>
        </w:rPr>
      </w:pPr>
      <w:r w:rsidRPr="00E90528">
        <w:rPr>
          <w:i/>
        </w:rPr>
        <w:t>Det österrikiska ordförandeskapet har prioriterat ökad kunskap om kvinnors hälsosituation och på rådet väntas slutsatser i ämnet antas. I slutsatserna lyfts bland annat behovet av ökade insatser vad gäller inhämtning av könsdelad statistik som är jämförbar mellan länderna</w:t>
      </w:r>
    </w:p>
    <w:p w:rsidR="00ED44D4" w:rsidRPr="00E90528" w:rsidRDefault="00ED44D4">
      <w:pPr>
        <w:tabs>
          <w:tab w:val="left" w:pos="1134"/>
        </w:tabs>
        <w:rPr>
          <w:i/>
        </w:rPr>
      </w:pPr>
      <w:r w:rsidRPr="00E90528">
        <w:rPr>
          <w:i/>
        </w:rPr>
        <w:t xml:space="preserve">fram. </w:t>
      </w:r>
    </w:p>
    <w:p w:rsidR="00ED44D4" w:rsidRPr="00E90528" w:rsidRDefault="00ED44D4">
      <w:pPr>
        <w:tabs>
          <w:tab w:val="left" w:pos="1134"/>
        </w:tabs>
        <w:rPr>
          <w:i/>
        </w:rPr>
      </w:pPr>
    </w:p>
    <w:p w:rsidR="00ED44D4" w:rsidRPr="00E90528" w:rsidRDefault="00ED44D4">
      <w:pPr>
        <w:tabs>
          <w:tab w:val="left" w:pos="1134"/>
        </w:tabs>
        <w:rPr>
          <w:i/>
        </w:rPr>
      </w:pPr>
      <w:r w:rsidRPr="00E90528">
        <w:rPr>
          <w:i/>
        </w:rPr>
        <w:t>Förslag till svensk ståndpunkt: Sverige välkomnar slutsatserna.</w:t>
      </w:r>
      <w:r w:rsidRPr="00E90528">
        <w:rPr>
          <w:i/>
        </w:rPr>
        <w:t xml:space="preserve"> </w:t>
      </w:r>
    </w:p>
    <w:p w:rsidR="00ED44D4" w:rsidRPr="00E90528" w:rsidRDefault="00ED44D4">
      <w:pPr>
        <w:tabs>
          <w:tab w:val="left" w:pos="720"/>
          <w:tab w:val="left" w:pos="1134"/>
        </w:tabs>
        <w:spacing w:line="240" w:lineRule="auto"/>
        <w:ind w:left="720" w:hanging="720"/>
      </w:pPr>
    </w:p>
    <w:p w:rsidR="00ED44D4" w:rsidRPr="00E90528" w:rsidRDefault="00ED44D4">
      <w:pPr>
        <w:tabs>
          <w:tab w:val="left" w:pos="720"/>
          <w:tab w:val="left" w:pos="1134"/>
        </w:tabs>
        <w:spacing w:line="240" w:lineRule="auto"/>
        <w:ind w:left="720" w:hanging="720"/>
        <w:rPr>
          <w:b/>
          <w:bCs/>
        </w:rPr>
      </w:pPr>
    </w:p>
    <w:p w:rsidR="00ED44D4" w:rsidRPr="00E90528" w:rsidRDefault="00ED44D4">
      <w:pPr>
        <w:numPr>
          <w:ilvl w:val="0"/>
          <w:numId w:val="47"/>
        </w:numPr>
        <w:tabs>
          <w:tab w:val="left" w:pos="720"/>
          <w:tab w:val="left" w:pos="1134"/>
        </w:tabs>
        <w:spacing w:line="240" w:lineRule="auto"/>
        <w:outlineLvl w:val="0"/>
        <w:rPr>
          <w:b/>
          <w:bCs/>
        </w:rPr>
      </w:pPr>
      <w:r w:rsidRPr="00E90528">
        <w:rPr>
          <w:b/>
          <w:bCs/>
          <w:color w:val="000000"/>
        </w:rPr>
        <w:tab/>
        <w:t>Främjande av hälsosamma livsstilar och förebyggande av typ 2-diabetes</w:t>
      </w:r>
      <w:r w:rsidRPr="00E90528">
        <w:rPr>
          <w:b/>
          <w:bCs/>
        </w:rPr>
        <w:t xml:space="preserve"> </w:t>
      </w:r>
    </w:p>
    <w:p w:rsidR="00ED44D4" w:rsidRPr="00E90528" w:rsidRDefault="00ED44D4">
      <w:pPr>
        <w:pStyle w:val="Par-dash"/>
        <w:tabs>
          <w:tab w:val="num" w:pos="1134"/>
        </w:tabs>
        <w:spacing w:line="240" w:lineRule="auto"/>
        <w:ind w:left="1134" w:hanging="567"/>
        <w:rPr>
          <w:b/>
          <w:bCs/>
        </w:rPr>
      </w:pPr>
      <w:r w:rsidRPr="00E90528">
        <w:rPr>
          <w:b/>
          <w:bCs/>
        </w:rPr>
        <w:t>Rådets slutsatser</w:t>
      </w:r>
    </w:p>
    <w:p w:rsidR="00ED44D4" w:rsidRPr="00E90528" w:rsidRDefault="00ED44D4">
      <w:pPr>
        <w:tabs>
          <w:tab w:val="left" w:pos="720"/>
          <w:tab w:val="left" w:pos="1134"/>
        </w:tabs>
        <w:spacing w:line="240" w:lineRule="auto"/>
        <w:ind w:left="720" w:hanging="720"/>
      </w:pPr>
    </w:p>
    <w:p w:rsidR="00ED44D4" w:rsidRPr="00E90528" w:rsidRDefault="00ED44D4">
      <w:pPr>
        <w:tabs>
          <w:tab w:val="left" w:pos="1134"/>
        </w:tabs>
        <w:rPr>
          <w:i/>
          <w:iCs/>
        </w:rPr>
      </w:pPr>
      <w:r w:rsidRPr="00E90528">
        <w:rPr>
          <w:i/>
          <w:iCs/>
        </w:rPr>
        <w:t>Arbetet med att främja hälsosamma livsstilar och prevention av typ2</w:t>
      </w:r>
    </w:p>
    <w:p w:rsidR="00ED44D4" w:rsidRPr="00E90528" w:rsidRDefault="00ED44D4">
      <w:pPr>
        <w:tabs>
          <w:tab w:val="left" w:pos="1134"/>
        </w:tabs>
        <w:rPr>
          <w:i/>
        </w:rPr>
      </w:pPr>
      <w:r w:rsidRPr="00E90528">
        <w:rPr>
          <w:i/>
          <w:iCs/>
        </w:rPr>
        <w:t>diabetes pågår i olika sammanhang på europeisk nivå och kommissionen harbland annat presenterat en grönbok om kost och fysisk aktivitet. Österrike har också prioriterat frågan under sitt ordförandeskap. På rådet kommer slutsatser att antas.</w:t>
      </w:r>
    </w:p>
    <w:p w:rsidR="00ED44D4" w:rsidRPr="00E90528" w:rsidRDefault="00ED44D4">
      <w:pPr>
        <w:tabs>
          <w:tab w:val="left" w:pos="720"/>
          <w:tab w:val="left" w:pos="1134"/>
        </w:tabs>
        <w:ind w:left="720" w:hanging="720"/>
        <w:rPr>
          <w:i/>
        </w:rPr>
      </w:pPr>
    </w:p>
    <w:p w:rsidR="00ED44D4" w:rsidRPr="00E90528" w:rsidRDefault="00ED44D4">
      <w:pPr>
        <w:tabs>
          <w:tab w:val="left" w:pos="720"/>
          <w:tab w:val="left" w:pos="1134"/>
        </w:tabs>
        <w:ind w:left="720" w:hanging="720"/>
        <w:rPr>
          <w:i/>
          <w:iCs/>
        </w:rPr>
      </w:pPr>
      <w:r w:rsidRPr="00E90528">
        <w:rPr>
          <w:i/>
          <w:iCs/>
        </w:rPr>
        <w:t>Förslag till svensk ståndpunkt: Regeringen välkomnar slutsatserna.</w:t>
      </w:r>
      <w:r w:rsidRPr="00E90528">
        <w:rPr>
          <w:i/>
          <w:iCs/>
        </w:rPr>
        <w:t xml:space="preserve"> </w:t>
      </w:r>
    </w:p>
    <w:p w:rsidR="00ED44D4" w:rsidRPr="00E90528" w:rsidRDefault="00ED44D4">
      <w:pPr>
        <w:tabs>
          <w:tab w:val="left" w:pos="1134"/>
        </w:tabs>
        <w:spacing w:line="240" w:lineRule="auto"/>
      </w:pPr>
    </w:p>
    <w:p w:rsidR="00ED44D4" w:rsidRPr="00E90528" w:rsidRDefault="00ED44D4">
      <w:pPr>
        <w:tabs>
          <w:tab w:val="left" w:pos="720"/>
          <w:tab w:val="left" w:pos="1134"/>
        </w:tabs>
        <w:spacing w:line="240" w:lineRule="auto"/>
        <w:ind w:left="720" w:hanging="720"/>
        <w:rPr>
          <w:b/>
          <w:bCs/>
        </w:rPr>
      </w:pPr>
    </w:p>
    <w:p w:rsidR="00ED44D4" w:rsidRPr="00E90528" w:rsidRDefault="00ED44D4">
      <w:pPr>
        <w:numPr>
          <w:ilvl w:val="0"/>
          <w:numId w:val="47"/>
        </w:numPr>
        <w:tabs>
          <w:tab w:val="left" w:pos="720"/>
        </w:tabs>
        <w:spacing w:line="240" w:lineRule="auto"/>
        <w:outlineLvl w:val="0"/>
        <w:rPr>
          <w:b/>
          <w:bCs/>
        </w:rPr>
      </w:pPr>
      <w:r w:rsidRPr="00E90528">
        <w:rPr>
          <w:b/>
          <w:bCs/>
          <w:color w:val="000000"/>
        </w:rPr>
        <w:t>Gemensamma värderingar och principer i EU:s hälso- och sjukvårdssystem</w:t>
      </w:r>
    </w:p>
    <w:p w:rsidR="00ED44D4" w:rsidRPr="00E90528" w:rsidRDefault="00ED44D4">
      <w:pPr>
        <w:pStyle w:val="Par-dash"/>
        <w:tabs>
          <w:tab w:val="num" w:pos="1134"/>
        </w:tabs>
        <w:spacing w:line="240" w:lineRule="auto"/>
        <w:ind w:left="1134" w:hanging="567"/>
        <w:rPr>
          <w:b/>
          <w:bCs/>
        </w:rPr>
      </w:pPr>
      <w:r w:rsidRPr="00E90528">
        <w:rPr>
          <w:b/>
          <w:bCs/>
        </w:rPr>
        <w:t>Rådets slutsatser</w:t>
      </w:r>
    </w:p>
    <w:p w:rsidR="00ED44D4" w:rsidRPr="00E90528" w:rsidRDefault="00ED44D4">
      <w:pPr>
        <w:tabs>
          <w:tab w:val="left" w:pos="720"/>
        </w:tabs>
        <w:spacing w:line="240" w:lineRule="auto"/>
        <w:ind w:left="720" w:hanging="720"/>
      </w:pPr>
    </w:p>
    <w:p w:rsidR="00ED44D4" w:rsidRPr="00E90528" w:rsidRDefault="00ED44D4">
      <w:pPr>
        <w:tabs>
          <w:tab w:val="left" w:pos="1134"/>
        </w:tabs>
        <w:rPr>
          <w:i/>
          <w:iCs/>
        </w:rPr>
      </w:pPr>
      <w:r w:rsidRPr="00E90528">
        <w:rPr>
          <w:i/>
          <w:iCs/>
        </w:rPr>
        <w:t>Rådet kommer att anta slutsatser om gemensamma värden och principer för hälso- och sjukvården. Bakgrunden till slutsatserna är att trots att det existerar stora skillnader i hur hälso- och sjukvården organiseras i de olika medlemsstaterna så förenas de av vissa gemensamma värden</w:t>
      </w:r>
    </w:p>
    <w:p w:rsidR="00ED44D4" w:rsidRPr="00E90528" w:rsidRDefault="00ED44D4">
      <w:pPr>
        <w:tabs>
          <w:tab w:val="left" w:pos="1134"/>
        </w:tabs>
        <w:rPr>
          <w:i/>
          <w:iCs/>
        </w:rPr>
      </w:pPr>
      <w:r w:rsidRPr="00E90528">
        <w:rPr>
          <w:i/>
          <w:iCs/>
        </w:rPr>
        <w:t>och principer, vilka utvecklas i slutsatserna.</w:t>
      </w:r>
    </w:p>
    <w:p w:rsidR="00ED44D4" w:rsidRPr="00E90528" w:rsidRDefault="00ED44D4">
      <w:pPr>
        <w:tabs>
          <w:tab w:val="left" w:pos="1134"/>
        </w:tabs>
        <w:rPr>
          <w:i/>
          <w:iCs/>
        </w:rPr>
      </w:pPr>
    </w:p>
    <w:p w:rsidR="00ED44D4" w:rsidRPr="00E90528" w:rsidRDefault="00ED44D4">
      <w:pPr>
        <w:tabs>
          <w:tab w:val="left" w:pos="1134"/>
        </w:tabs>
      </w:pPr>
      <w:r w:rsidRPr="00E90528">
        <w:rPr>
          <w:i/>
          <w:iCs/>
        </w:rPr>
        <w:t xml:space="preserve">Förslag till svensk ståndpunkt: Regeringen välkomnar slutsatserna. </w:t>
      </w:r>
    </w:p>
    <w:p w:rsidR="00ED44D4" w:rsidRPr="00E90528" w:rsidRDefault="00ED44D4">
      <w:pPr>
        <w:tabs>
          <w:tab w:val="left" w:pos="720"/>
        </w:tabs>
        <w:ind w:left="720" w:hanging="720"/>
      </w:pPr>
    </w:p>
    <w:p w:rsidR="00ED44D4" w:rsidRPr="00E90528" w:rsidRDefault="00ED44D4">
      <w:pPr>
        <w:tabs>
          <w:tab w:val="left" w:pos="720"/>
        </w:tabs>
        <w:spacing w:line="240" w:lineRule="auto"/>
        <w:ind w:left="720" w:hanging="720"/>
        <w:rPr>
          <w:b/>
          <w:bCs/>
        </w:rPr>
      </w:pPr>
    </w:p>
    <w:p w:rsidR="00ED44D4" w:rsidRPr="00E90528" w:rsidRDefault="00ED44D4">
      <w:pPr>
        <w:numPr>
          <w:ilvl w:val="0"/>
          <w:numId w:val="47"/>
        </w:numPr>
        <w:tabs>
          <w:tab w:val="left" w:pos="720"/>
          <w:tab w:val="left" w:pos="1134"/>
        </w:tabs>
        <w:spacing w:line="240" w:lineRule="auto"/>
        <w:outlineLvl w:val="0"/>
        <w:rPr>
          <w:b/>
          <w:bCs/>
        </w:rPr>
      </w:pPr>
      <w:r w:rsidRPr="00E90528">
        <w:rPr>
          <w:b/>
          <w:bCs/>
        </w:rPr>
        <w:t xml:space="preserve">Översyn av EU:s strategi för hållbar utveckling </w:t>
      </w:r>
    </w:p>
    <w:p w:rsidR="00ED44D4" w:rsidRPr="00E90528" w:rsidRDefault="00ED44D4">
      <w:pPr>
        <w:pStyle w:val="Par-dash"/>
        <w:tabs>
          <w:tab w:val="num" w:pos="1134"/>
        </w:tabs>
        <w:spacing w:line="240" w:lineRule="auto"/>
        <w:ind w:left="1134" w:hanging="567"/>
        <w:rPr>
          <w:b/>
          <w:bCs/>
        </w:rPr>
      </w:pPr>
      <w:r w:rsidRPr="00E90528">
        <w:rPr>
          <w:b/>
          <w:bCs/>
          <w:color w:val="000000"/>
        </w:rPr>
        <w:t>Riktlinjedebatt</w:t>
      </w:r>
    </w:p>
    <w:p w:rsidR="00ED44D4" w:rsidRPr="00E90528" w:rsidRDefault="00ED44D4">
      <w:pPr>
        <w:tabs>
          <w:tab w:val="left" w:pos="720"/>
          <w:tab w:val="left" w:pos="1134"/>
        </w:tabs>
        <w:spacing w:line="240" w:lineRule="auto"/>
        <w:ind w:left="720" w:hanging="720"/>
        <w:rPr>
          <w:b/>
          <w:bCs/>
        </w:rPr>
      </w:pPr>
    </w:p>
    <w:p w:rsidR="00ED44D4" w:rsidRPr="00E90528" w:rsidRDefault="00ED44D4">
      <w:pPr>
        <w:rPr>
          <w:i/>
          <w:iCs/>
        </w:rPr>
      </w:pPr>
      <w:r w:rsidRPr="00E90528">
        <w:rPr>
          <w:i/>
          <w:iCs/>
        </w:rPr>
        <w:t>På rådet kommer en debatt att hållas om EU:s strategi för hållbar utveckling och  ministrarna kommer att ge input till Europeisk rådet i juni beträffande hälsofrågorna i strategin.</w:t>
      </w:r>
    </w:p>
    <w:p w:rsidR="00ED44D4" w:rsidRPr="00E90528" w:rsidRDefault="00ED44D4">
      <w:pPr>
        <w:rPr>
          <w:i/>
          <w:iCs/>
        </w:rPr>
      </w:pPr>
    </w:p>
    <w:p w:rsidR="00ED44D4" w:rsidRPr="00E90528" w:rsidRDefault="00ED44D4">
      <w:pPr>
        <w:tabs>
          <w:tab w:val="left" w:pos="1134"/>
        </w:tabs>
        <w:rPr>
          <w:i/>
          <w:iCs/>
        </w:rPr>
      </w:pPr>
      <w:r w:rsidRPr="00E90528">
        <w:rPr>
          <w:i/>
          <w:iCs/>
        </w:rPr>
        <w:t>Förslag till svensk ståndpunkt: Sverige välkomnar möjligheten att utbyta åsikter kring översynen av</w:t>
      </w:r>
    </w:p>
    <w:p w:rsidR="00ED44D4" w:rsidRPr="00E90528" w:rsidRDefault="00ED44D4">
      <w:pPr>
        <w:tabs>
          <w:tab w:val="left" w:pos="1134"/>
        </w:tabs>
        <w:rPr>
          <w:i/>
        </w:rPr>
      </w:pPr>
      <w:r w:rsidRPr="00E90528">
        <w:rPr>
          <w:i/>
          <w:iCs/>
        </w:rPr>
        <w:t>strategin.</w:t>
      </w:r>
    </w:p>
    <w:p w:rsidR="00ED44D4" w:rsidRPr="00E90528" w:rsidRDefault="00ED44D4">
      <w:pPr>
        <w:tabs>
          <w:tab w:val="left" w:pos="720"/>
          <w:tab w:val="left" w:pos="1134"/>
        </w:tabs>
        <w:spacing w:line="240" w:lineRule="auto"/>
        <w:ind w:left="720" w:hanging="720"/>
      </w:pPr>
    </w:p>
    <w:p w:rsidR="00ED44D4" w:rsidRPr="00E90528" w:rsidRDefault="00ED44D4">
      <w:pPr>
        <w:tabs>
          <w:tab w:val="left" w:pos="720"/>
          <w:tab w:val="left" w:pos="1134"/>
        </w:tabs>
        <w:spacing w:line="240" w:lineRule="auto"/>
        <w:ind w:left="720" w:hanging="720"/>
        <w:rPr>
          <w:b/>
          <w:bCs/>
          <w:i/>
        </w:rPr>
      </w:pPr>
    </w:p>
    <w:p w:rsidR="00ED44D4" w:rsidRPr="00E90528" w:rsidRDefault="00ED44D4">
      <w:pPr>
        <w:numPr>
          <w:ilvl w:val="0"/>
          <w:numId w:val="47"/>
        </w:numPr>
        <w:tabs>
          <w:tab w:val="left" w:pos="720"/>
          <w:tab w:val="left" w:pos="1134"/>
        </w:tabs>
        <w:spacing w:line="240" w:lineRule="auto"/>
        <w:rPr>
          <w:b/>
          <w:bCs/>
        </w:rPr>
      </w:pPr>
      <w:r w:rsidRPr="00E90528">
        <w:rPr>
          <w:b/>
          <w:bCs/>
        </w:rPr>
        <w:tab/>
        <w:t>Beredskap och planering för pandemisk influensa</w:t>
      </w:r>
    </w:p>
    <w:p w:rsidR="00ED44D4" w:rsidRPr="00E90528" w:rsidRDefault="00ED44D4">
      <w:pPr>
        <w:pStyle w:val="Par-dash"/>
        <w:tabs>
          <w:tab w:val="num" w:pos="1134"/>
        </w:tabs>
        <w:spacing w:line="240" w:lineRule="auto"/>
        <w:ind w:left="1134" w:hanging="567"/>
        <w:rPr>
          <w:b/>
          <w:bCs/>
        </w:rPr>
      </w:pPr>
      <w:r w:rsidRPr="00E90528">
        <w:rPr>
          <w:b/>
          <w:bCs/>
          <w:color w:val="000000"/>
        </w:rPr>
        <w:t xml:space="preserve">Diskussion </w:t>
      </w:r>
    </w:p>
    <w:p w:rsidR="00ED44D4" w:rsidRPr="00E90528" w:rsidRDefault="00ED44D4">
      <w:pPr>
        <w:tabs>
          <w:tab w:val="left" w:pos="720"/>
          <w:tab w:val="left" w:pos="1134"/>
        </w:tabs>
        <w:spacing w:line="240" w:lineRule="auto"/>
        <w:ind w:left="720" w:hanging="720"/>
        <w:outlineLvl w:val="0"/>
        <w:rPr>
          <w:b/>
          <w:bCs/>
        </w:rPr>
      </w:pPr>
    </w:p>
    <w:p w:rsidR="00ED44D4" w:rsidRPr="00E90528" w:rsidRDefault="00ED44D4">
      <w:pPr>
        <w:tabs>
          <w:tab w:val="left" w:pos="1134"/>
        </w:tabs>
        <w:rPr>
          <w:i/>
          <w:iCs/>
        </w:rPr>
      </w:pPr>
      <w:r w:rsidRPr="00E90528">
        <w:rPr>
          <w:i/>
          <w:iCs/>
        </w:rPr>
        <w:t>På rådet kommer ministrarna att ha ett åsiktsutbyte kring frågan om gemenskapslagring av antivirala läkemedel.</w:t>
      </w:r>
    </w:p>
    <w:p w:rsidR="00ED44D4" w:rsidRPr="00E90528" w:rsidRDefault="00ED44D4">
      <w:pPr>
        <w:tabs>
          <w:tab w:val="left" w:pos="1134"/>
        </w:tabs>
        <w:rPr>
          <w:i/>
          <w:iCs/>
        </w:rPr>
      </w:pPr>
    </w:p>
    <w:p w:rsidR="00ED44D4" w:rsidRPr="00E90528" w:rsidRDefault="00ED44D4">
      <w:pPr>
        <w:tabs>
          <w:tab w:val="left" w:pos="1134"/>
        </w:tabs>
        <w:rPr>
          <w:i/>
        </w:rPr>
      </w:pPr>
      <w:r w:rsidRPr="00E90528">
        <w:rPr>
          <w:i/>
          <w:iCs/>
        </w:rPr>
        <w:t>Förslag till svensk ståndpunkt: Sverige är tveksamma kring idén om ett gemensamt lager.</w:t>
      </w:r>
    </w:p>
    <w:p w:rsidR="00ED44D4" w:rsidRPr="00E90528" w:rsidRDefault="00ED44D4">
      <w:pPr>
        <w:tabs>
          <w:tab w:val="left" w:pos="720"/>
          <w:tab w:val="left" w:pos="1134"/>
        </w:tabs>
        <w:spacing w:line="240" w:lineRule="auto"/>
        <w:ind w:left="720" w:hanging="720"/>
        <w:outlineLvl w:val="0"/>
      </w:pPr>
    </w:p>
    <w:p w:rsidR="00ED44D4" w:rsidRPr="00E90528" w:rsidRDefault="00ED44D4">
      <w:pPr>
        <w:tabs>
          <w:tab w:val="left" w:pos="720"/>
          <w:tab w:val="left" w:pos="1134"/>
        </w:tabs>
        <w:spacing w:line="240" w:lineRule="auto"/>
        <w:ind w:left="720" w:hanging="720"/>
      </w:pPr>
    </w:p>
    <w:p w:rsidR="00ED44D4" w:rsidRPr="00E90528" w:rsidRDefault="00ED44D4">
      <w:pPr>
        <w:numPr>
          <w:ilvl w:val="0"/>
          <w:numId w:val="47"/>
        </w:numPr>
        <w:tabs>
          <w:tab w:val="left" w:pos="720"/>
          <w:tab w:val="left" w:pos="1134"/>
        </w:tabs>
        <w:spacing w:line="240" w:lineRule="auto"/>
        <w:rPr>
          <w:b/>
          <w:bCs/>
        </w:rPr>
      </w:pPr>
      <w:r w:rsidRPr="00E90528">
        <w:rPr>
          <w:b/>
          <w:bCs/>
        </w:rPr>
        <w:t xml:space="preserve">Meddelande från kommissionen till rådet och Europaparlamentet om bekämpning av hiv/aids i Europeiska unionen och angränsande länder 2006–2009 </w:t>
      </w:r>
    </w:p>
    <w:p w:rsidR="00ED44D4" w:rsidRPr="00E90528" w:rsidRDefault="00ED44D4">
      <w:pPr>
        <w:pStyle w:val="Par-dash"/>
        <w:tabs>
          <w:tab w:val="num" w:pos="1134"/>
        </w:tabs>
        <w:spacing w:line="240" w:lineRule="auto"/>
        <w:ind w:left="1134" w:hanging="567"/>
        <w:rPr>
          <w:b/>
          <w:bCs/>
        </w:rPr>
      </w:pPr>
      <w:r w:rsidRPr="00E90528">
        <w:rPr>
          <w:b/>
          <w:bCs/>
          <w:color w:val="000000"/>
        </w:rPr>
        <w:t>Diskussion</w:t>
      </w:r>
    </w:p>
    <w:p w:rsidR="00ED44D4" w:rsidRPr="00E90528" w:rsidRDefault="00ED44D4">
      <w:pPr>
        <w:spacing w:line="240" w:lineRule="auto"/>
        <w:ind w:left="1701"/>
        <w:rPr>
          <w:b/>
          <w:bCs/>
        </w:rPr>
      </w:pPr>
      <w:r w:rsidRPr="00E90528">
        <w:rPr>
          <w:b/>
          <w:bCs/>
        </w:rPr>
        <w:t>15925/05 SAN 218</w:t>
      </w:r>
    </w:p>
    <w:p w:rsidR="00ED44D4" w:rsidRPr="00E90528" w:rsidRDefault="00ED44D4">
      <w:pPr>
        <w:spacing w:line="240" w:lineRule="auto"/>
      </w:pPr>
    </w:p>
    <w:p w:rsidR="00ED44D4" w:rsidRPr="00E90528" w:rsidRDefault="00ED44D4">
      <w:pPr>
        <w:tabs>
          <w:tab w:val="left" w:pos="1134"/>
        </w:tabs>
        <w:rPr>
          <w:i/>
          <w:iCs/>
        </w:rPr>
      </w:pPr>
      <w:r w:rsidRPr="00E90528">
        <w:rPr>
          <w:i/>
          <w:iCs/>
        </w:rPr>
        <w:t>I december presenterade kommissionen ett meddelande om bekämpning av hiv/aids i EU och angränsande länder. Meddelandet beskriver de områden kommissionen avser att arbeta inom för att bekämpa hiv/aids inom EU och dess grannländer. Ministrarna kommer med utgångspunkt i</w:t>
      </w:r>
    </w:p>
    <w:p w:rsidR="00ED44D4" w:rsidRPr="00E90528" w:rsidRDefault="00ED44D4">
      <w:pPr>
        <w:tabs>
          <w:tab w:val="left" w:pos="1134"/>
        </w:tabs>
        <w:rPr>
          <w:i/>
          <w:iCs/>
        </w:rPr>
      </w:pPr>
      <w:r w:rsidRPr="00E90528">
        <w:rPr>
          <w:i/>
          <w:iCs/>
        </w:rPr>
        <w:t>detta att ha ett åsiktsutbyte på rådet.</w:t>
      </w:r>
    </w:p>
    <w:p w:rsidR="00ED44D4" w:rsidRPr="00E90528" w:rsidRDefault="00ED44D4">
      <w:pPr>
        <w:spacing w:line="240" w:lineRule="auto"/>
      </w:pPr>
    </w:p>
    <w:p w:rsidR="00ED44D4" w:rsidRPr="00E90528" w:rsidRDefault="00ED44D4">
      <w:pPr>
        <w:numPr>
          <w:ilvl w:val="0"/>
          <w:numId w:val="47"/>
        </w:numPr>
        <w:tabs>
          <w:tab w:val="left" w:pos="720"/>
          <w:tab w:val="left" w:pos="1134"/>
        </w:tabs>
        <w:spacing w:line="240" w:lineRule="auto"/>
        <w:rPr>
          <w:b/>
          <w:bCs/>
        </w:rPr>
      </w:pPr>
      <w:r w:rsidRPr="00E90528">
        <w:rPr>
          <w:b/>
          <w:bCs/>
        </w:rPr>
        <w:t>Förslag till Europaparlamentets och rådets förordning om läkemedel för avancerad terapi och om ändring av direktiv 2001/83/EG och förordning (EG) nr 726/2004</w:t>
      </w:r>
    </w:p>
    <w:p w:rsidR="00ED44D4" w:rsidRPr="00E90528" w:rsidRDefault="00ED44D4">
      <w:pPr>
        <w:pStyle w:val="Par-number1"/>
        <w:tabs>
          <w:tab w:val="clear" w:pos="360"/>
        </w:tabs>
        <w:spacing w:line="240" w:lineRule="auto"/>
        <w:ind w:left="1287" w:hanging="720"/>
        <w:rPr>
          <w:b/>
          <w:bCs/>
        </w:rPr>
      </w:pPr>
      <w:r w:rsidRPr="00E90528">
        <w:rPr>
          <w:b/>
          <w:bCs/>
        </w:rPr>
        <w:t>(Kommissionens förslag till rättslig grund: a</w:t>
      </w:r>
      <w:r w:rsidRPr="00E90528">
        <w:rPr>
          <w:b/>
          <w:bCs/>
          <w:color w:val="000000"/>
        </w:rPr>
        <w:t xml:space="preserve">rtikel 95 i fördraget) </w:t>
      </w:r>
    </w:p>
    <w:p w:rsidR="00ED44D4" w:rsidRPr="00E90528" w:rsidRDefault="00ED44D4">
      <w:pPr>
        <w:pStyle w:val="Par-dash"/>
        <w:tabs>
          <w:tab w:val="num" w:pos="1134"/>
        </w:tabs>
        <w:spacing w:line="240" w:lineRule="auto"/>
        <w:ind w:left="1134" w:hanging="567"/>
        <w:rPr>
          <w:b/>
          <w:bCs/>
        </w:rPr>
      </w:pPr>
      <w:r w:rsidRPr="00E90528">
        <w:rPr>
          <w:b/>
          <w:bCs/>
        </w:rPr>
        <w:t>Lägesrapport</w:t>
      </w:r>
    </w:p>
    <w:p w:rsidR="00ED44D4" w:rsidRPr="00E90528" w:rsidRDefault="00ED44D4">
      <w:pPr>
        <w:spacing w:line="240" w:lineRule="auto"/>
        <w:ind w:left="1701"/>
        <w:outlineLvl w:val="0"/>
        <w:rPr>
          <w:b/>
          <w:bCs/>
        </w:rPr>
      </w:pPr>
      <w:r w:rsidRPr="00E90528">
        <w:rPr>
          <w:b/>
          <w:bCs/>
        </w:rPr>
        <w:t>15023/05 ECO 147 SAN 192 CODEC 1100</w:t>
      </w:r>
    </w:p>
    <w:p w:rsidR="00ED44D4" w:rsidRPr="00E90528" w:rsidRDefault="00ED44D4">
      <w:pPr>
        <w:tabs>
          <w:tab w:val="left" w:pos="720"/>
          <w:tab w:val="left" w:pos="1134"/>
          <w:tab w:val="left" w:pos="1701"/>
        </w:tabs>
        <w:spacing w:line="240" w:lineRule="auto"/>
        <w:ind w:left="720" w:hanging="720"/>
        <w:outlineLvl w:val="0"/>
      </w:pPr>
    </w:p>
    <w:p w:rsidR="00ED44D4" w:rsidRPr="00E90528" w:rsidRDefault="00ED44D4">
      <w:pPr>
        <w:rPr>
          <w:i/>
          <w:iCs/>
        </w:rPr>
      </w:pPr>
      <w:r w:rsidRPr="00E90528">
        <w:rPr>
          <w:i/>
          <w:iCs/>
        </w:rPr>
        <w:t>I november la kommissionen förslag till förordning om läkemedel för avancerade terapier. Syftet är att erbjuda patienter säkrare tillgång till avancerade terapier genom bland annat intensifierad forskning. På rådet kommer kommissionen att avge en lägesrapport som beskriver arbetet så här långt.</w:t>
      </w:r>
    </w:p>
    <w:p w:rsidR="00ED44D4" w:rsidRPr="00E90528" w:rsidRDefault="00ED44D4">
      <w:pPr>
        <w:rPr>
          <w:i/>
          <w:iCs/>
        </w:rPr>
      </w:pPr>
    </w:p>
    <w:p w:rsidR="00ED44D4" w:rsidRPr="00E90528" w:rsidRDefault="00ED44D4">
      <w:pPr>
        <w:ind w:left="708" w:hanging="708"/>
        <w:rPr>
          <w:i/>
          <w:iCs/>
        </w:rPr>
      </w:pPr>
      <w:r w:rsidRPr="00E90528">
        <w:rPr>
          <w:i/>
          <w:iCs/>
        </w:rPr>
        <w:t>Förslag till svensk ståndpunkt: Regeringen anser att rapporten speglar läget</w:t>
      </w:r>
    </w:p>
    <w:p w:rsidR="00ED44D4" w:rsidRPr="00E90528" w:rsidRDefault="00ED44D4">
      <w:pPr>
        <w:ind w:left="708" w:hanging="708"/>
      </w:pPr>
      <w:r w:rsidRPr="00E90528">
        <w:rPr>
          <w:i/>
          <w:iCs/>
        </w:rPr>
        <w:t>I förhandlingarna.</w:t>
      </w:r>
      <w:r w:rsidRPr="00E90528">
        <w:t xml:space="preserve">  </w:t>
      </w:r>
    </w:p>
    <w:p w:rsidR="00ED44D4" w:rsidRPr="00E90528" w:rsidRDefault="00ED44D4">
      <w:pPr>
        <w:tabs>
          <w:tab w:val="left" w:pos="720"/>
          <w:tab w:val="left" w:pos="1134"/>
        </w:tabs>
        <w:spacing w:line="240" w:lineRule="auto"/>
        <w:ind w:left="720" w:hanging="720"/>
      </w:pPr>
    </w:p>
    <w:p w:rsidR="00ED44D4" w:rsidRPr="00E90528" w:rsidRDefault="00ED44D4">
      <w:pPr>
        <w:numPr>
          <w:ilvl w:val="0"/>
          <w:numId w:val="47"/>
        </w:numPr>
        <w:tabs>
          <w:tab w:val="left" w:pos="720"/>
          <w:tab w:val="left" w:pos="1134"/>
        </w:tabs>
        <w:spacing w:line="240" w:lineRule="auto"/>
        <w:rPr>
          <w:b/>
          <w:bCs/>
        </w:rPr>
      </w:pPr>
      <w:r w:rsidRPr="00E90528">
        <w:rPr>
          <w:b/>
          <w:bCs/>
          <w:color w:val="000000"/>
        </w:rPr>
        <w:t>Förslag till Europaparlamentets och rådets direktiv om ändring av rådets direktiv 90/385/EEG och 93/42/EEG och Europaparlamentets och rådets direktiv 98/8/EG när det gäller översynen av direktiven om medicintekniska produkter</w:t>
      </w:r>
    </w:p>
    <w:p w:rsidR="00ED44D4" w:rsidRPr="00E90528" w:rsidRDefault="00ED44D4">
      <w:pPr>
        <w:tabs>
          <w:tab w:val="left" w:pos="720"/>
          <w:tab w:val="left" w:pos="1134"/>
        </w:tabs>
        <w:spacing w:line="240" w:lineRule="auto"/>
        <w:ind w:left="1287" w:hanging="720"/>
        <w:rPr>
          <w:b/>
          <w:bCs/>
        </w:rPr>
      </w:pPr>
      <w:r w:rsidRPr="00E90528">
        <w:rPr>
          <w:b/>
          <w:bCs/>
        </w:rPr>
        <w:t>(Kommissionens förslag till rättslig grund: a</w:t>
      </w:r>
      <w:r w:rsidRPr="00E90528">
        <w:rPr>
          <w:b/>
          <w:bCs/>
          <w:color w:val="000000"/>
        </w:rPr>
        <w:t>rtikel 95 i fördraget)</w:t>
      </w:r>
    </w:p>
    <w:p w:rsidR="00ED44D4" w:rsidRPr="00E90528" w:rsidRDefault="00ED44D4">
      <w:pPr>
        <w:pStyle w:val="Par-dash"/>
        <w:tabs>
          <w:tab w:val="num" w:pos="1134"/>
        </w:tabs>
        <w:spacing w:line="240" w:lineRule="auto"/>
        <w:ind w:left="1134" w:hanging="567"/>
        <w:rPr>
          <w:b/>
          <w:bCs/>
        </w:rPr>
      </w:pPr>
      <w:r w:rsidRPr="00E90528">
        <w:rPr>
          <w:b/>
          <w:bCs/>
        </w:rPr>
        <w:t>Lägesrapport</w:t>
      </w:r>
    </w:p>
    <w:p w:rsidR="00ED44D4" w:rsidRPr="00E90528" w:rsidRDefault="00ED44D4">
      <w:pPr>
        <w:tabs>
          <w:tab w:val="left" w:pos="720"/>
          <w:tab w:val="left" w:pos="1080"/>
        </w:tabs>
        <w:spacing w:line="240" w:lineRule="auto"/>
        <w:ind w:left="1701"/>
        <w:rPr>
          <w:b/>
          <w:bCs/>
        </w:rPr>
      </w:pPr>
      <w:r w:rsidRPr="00E90528">
        <w:rPr>
          <w:b/>
          <w:bCs/>
        </w:rPr>
        <w:t>5072/06 ECO 1 SAN 1 CODEC 6</w:t>
      </w:r>
    </w:p>
    <w:p w:rsidR="00ED44D4" w:rsidRPr="00E90528" w:rsidRDefault="00ED44D4">
      <w:pPr>
        <w:tabs>
          <w:tab w:val="left" w:pos="720"/>
          <w:tab w:val="left" w:pos="1080"/>
        </w:tabs>
        <w:spacing w:line="240" w:lineRule="auto"/>
        <w:ind w:left="720" w:hanging="720"/>
      </w:pPr>
    </w:p>
    <w:p w:rsidR="00ED44D4" w:rsidRPr="00E90528" w:rsidRDefault="00ED44D4">
      <w:pPr>
        <w:rPr>
          <w:i/>
          <w:iCs/>
        </w:rPr>
      </w:pPr>
      <w:r w:rsidRPr="00E90528">
        <w:rPr>
          <w:i/>
          <w:iCs/>
        </w:rPr>
        <w:t>På rådet kommer kommissionen att lämna information om läget i förhandlingarna kring kommissionens förslag till översyn av det medicintekniska regelverket. Förslaget innebär ändringar i tre EG-direktiv och syftar till att klargöra rättsläget, skydda människors hälsa och att förbättra samarbetet mellan medlemsstater och ansvariga myndigheter.</w:t>
      </w:r>
    </w:p>
    <w:p w:rsidR="00ED44D4" w:rsidRPr="00E90528" w:rsidRDefault="00ED44D4">
      <w:pPr>
        <w:rPr>
          <w:i/>
          <w:iCs/>
        </w:rPr>
      </w:pPr>
    </w:p>
    <w:p w:rsidR="00ED44D4" w:rsidRPr="00E90528" w:rsidRDefault="00ED44D4">
      <w:r w:rsidRPr="00E90528">
        <w:rPr>
          <w:i/>
          <w:iCs/>
        </w:rPr>
        <w:t>Förslag till svensk ståndpunkt: Regeringen har inga invändningar mot rapporten.</w:t>
      </w:r>
    </w:p>
    <w:p w:rsidR="00ED44D4" w:rsidRPr="00E90528" w:rsidRDefault="00ED44D4">
      <w:pPr>
        <w:tabs>
          <w:tab w:val="left" w:pos="720"/>
          <w:tab w:val="left" w:pos="1080"/>
        </w:tabs>
        <w:spacing w:line="240" w:lineRule="auto"/>
        <w:ind w:left="720" w:hanging="720"/>
      </w:pPr>
    </w:p>
    <w:p w:rsidR="00ED44D4" w:rsidRPr="00E90528" w:rsidRDefault="00ED44D4">
      <w:pPr>
        <w:tabs>
          <w:tab w:val="left" w:pos="720"/>
        </w:tabs>
        <w:spacing w:line="240" w:lineRule="auto"/>
        <w:ind w:left="720" w:hanging="720"/>
      </w:pPr>
    </w:p>
    <w:p w:rsidR="00ED44D4" w:rsidRPr="00E90528" w:rsidRDefault="00ED44D4">
      <w:pPr>
        <w:numPr>
          <w:ilvl w:val="0"/>
          <w:numId w:val="47"/>
        </w:numPr>
        <w:spacing w:line="240" w:lineRule="auto"/>
        <w:rPr>
          <w:b/>
          <w:bCs/>
        </w:rPr>
      </w:pPr>
      <w:r w:rsidRPr="00E90528">
        <w:rPr>
          <w:b/>
          <w:bCs/>
        </w:rPr>
        <w:t>Övriga frågor</w:t>
      </w:r>
    </w:p>
    <w:p w:rsidR="00ED44D4" w:rsidRPr="00E90528" w:rsidRDefault="00ED44D4">
      <w:pPr>
        <w:spacing w:line="240" w:lineRule="auto"/>
        <w:rPr>
          <w:b/>
          <w:bCs/>
        </w:rPr>
      </w:pPr>
    </w:p>
    <w:p w:rsidR="00ED44D4" w:rsidRPr="00E90528" w:rsidRDefault="00ED44D4">
      <w:pPr>
        <w:pStyle w:val="Par-dash"/>
        <w:tabs>
          <w:tab w:val="clear" w:pos="360"/>
        </w:tabs>
        <w:spacing w:line="240" w:lineRule="auto"/>
        <w:ind w:left="1134" w:hanging="567"/>
        <w:rPr>
          <w:b/>
          <w:bCs/>
        </w:rPr>
      </w:pPr>
      <w:r w:rsidRPr="00E90528">
        <w:rPr>
          <w:b/>
          <w:bCs/>
        </w:rPr>
        <w:t>(a)</w:t>
      </w:r>
      <w:r w:rsidRPr="00E90528">
        <w:rPr>
          <w:b/>
          <w:bCs/>
        </w:rPr>
        <w:tab/>
        <w:t>Förslag till Europaparlamentets och rådets förordning om upprättande av Europeiska fonden för justering för globaliseringseffekter (R)</w:t>
      </w:r>
    </w:p>
    <w:p w:rsidR="00ED44D4" w:rsidRPr="00E90528" w:rsidRDefault="00ED44D4">
      <w:pPr>
        <w:pStyle w:val="Par-dash"/>
        <w:tabs>
          <w:tab w:val="num" w:pos="1701"/>
        </w:tabs>
        <w:spacing w:line="240" w:lineRule="auto"/>
        <w:ind w:left="1701" w:hanging="567"/>
        <w:rPr>
          <w:b/>
          <w:bCs/>
        </w:rPr>
      </w:pPr>
      <w:r w:rsidRPr="00E90528">
        <w:rPr>
          <w:b/>
          <w:bCs/>
        </w:rPr>
        <w:t>Information från ordförandeskapet</w:t>
      </w:r>
    </w:p>
    <w:p w:rsidR="00ED44D4" w:rsidRPr="00E90528" w:rsidRDefault="00ED44D4">
      <w:pPr>
        <w:tabs>
          <w:tab w:val="left" w:pos="600"/>
        </w:tabs>
        <w:spacing w:line="240" w:lineRule="auto"/>
        <w:ind w:left="720" w:hanging="720"/>
      </w:pPr>
    </w:p>
    <w:p w:rsidR="00ED44D4" w:rsidRPr="00E90528" w:rsidRDefault="00ED44D4">
      <w:pPr>
        <w:tabs>
          <w:tab w:val="left" w:pos="600"/>
        </w:tabs>
        <w:spacing w:line="240" w:lineRule="auto"/>
        <w:ind w:left="720" w:hanging="720"/>
      </w:pPr>
      <w:r w:rsidRPr="00E90528">
        <w:t>Ordförandeskapet avser informera om de pågående förhandlingarna.</w:t>
      </w:r>
    </w:p>
    <w:p w:rsidR="00ED44D4" w:rsidRPr="00E90528" w:rsidRDefault="00ED44D4">
      <w:pPr>
        <w:tabs>
          <w:tab w:val="left" w:pos="600"/>
        </w:tabs>
        <w:spacing w:line="240" w:lineRule="auto"/>
        <w:ind w:left="720" w:hanging="720"/>
      </w:pPr>
      <w:r w:rsidRPr="00E90528">
        <w:t>Inga dokument finns.</w:t>
      </w:r>
    </w:p>
    <w:p w:rsidR="00ED44D4" w:rsidRPr="00E90528" w:rsidRDefault="00ED44D4">
      <w:pPr>
        <w:tabs>
          <w:tab w:val="left" w:pos="600"/>
        </w:tabs>
        <w:spacing w:line="240" w:lineRule="auto"/>
        <w:ind w:left="720" w:hanging="720"/>
      </w:pPr>
    </w:p>
    <w:p w:rsidR="00ED44D4" w:rsidRPr="00E90528" w:rsidRDefault="00ED44D4">
      <w:pPr>
        <w:pStyle w:val="Par-number1"/>
        <w:tabs>
          <w:tab w:val="clear" w:pos="360"/>
        </w:tabs>
        <w:spacing w:line="240" w:lineRule="auto"/>
        <w:ind w:left="567" w:hanging="1"/>
        <w:rPr>
          <w:b/>
          <w:bCs/>
        </w:rPr>
      </w:pPr>
      <w:r w:rsidRPr="00E90528">
        <w:rPr>
          <w:b/>
          <w:bCs/>
        </w:rPr>
        <w:t>(b)</w:t>
      </w:r>
      <w:r w:rsidRPr="00E90528">
        <w:rPr>
          <w:b/>
          <w:bCs/>
        </w:rPr>
        <w:tab/>
        <w:t>Information om</w:t>
      </w:r>
      <w:r w:rsidRPr="00E90528">
        <w:rPr>
          <w:b/>
          <w:bCs/>
          <w:color w:val="000000"/>
        </w:rPr>
        <w:t xml:space="preserve"> ordförandeskapets konferenser</w:t>
      </w:r>
      <w:r w:rsidRPr="00E90528">
        <w:rPr>
          <w:b/>
          <w:bCs/>
        </w:rPr>
        <w:t>:</w:t>
      </w:r>
    </w:p>
    <w:p w:rsidR="00ED44D4" w:rsidRPr="00E90528" w:rsidRDefault="00ED44D4">
      <w:pPr>
        <w:spacing w:line="240" w:lineRule="auto"/>
        <w:rPr>
          <w:b/>
          <w:bCs/>
        </w:rPr>
      </w:pPr>
    </w:p>
    <w:p w:rsidR="00ED44D4" w:rsidRPr="00E90528" w:rsidRDefault="00ED44D4">
      <w:pPr>
        <w:spacing w:line="240" w:lineRule="auto"/>
        <w:ind w:left="1134"/>
        <w:rPr>
          <w:b/>
          <w:bCs/>
        </w:rPr>
      </w:pPr>
      <w:r w:rsidRPr="00E90528">
        <w:rPr>
          <w:b/>
          <w:bCs/>
        </w:rPr>
        <w:t>(i)</w:t>
      </w:r>
      <w:r w:rsidRPr="00E90528">
        <w:rPr>
          <w:b/>
          <w:bCs/>
        </w:rPr>
        <w:tab/>
        <w:t>"Konferensen om sociala tjänster av allmänt intresse" (Wien 20 april 2006)</w:t>
      </w:r>
    </w:p>
    <w:p w:rsidR="00ED44D4" w:rsidRPr="00E90528" w:rsidRDefault="00ED44D4">
      <w:pPr>
        <w:spacing w:line="240" w:lineRule="auto"/>
        <w:ind w:left="1701"/>
        <w:rPr>
          <w:b/>
          <w:bCs/>
        </w:rPr>
      </w:pPr>
      <w:r w:rsidRPr="00E90528">
        <w:rPr>
          <w:b/>
          <w:bCs/>
        </w:rPr>
        <w:t>9459/06 SOC 237 COMPET 131</w:t>
      </w:r>
    </w:p>
    <w:p w:rsidR="00ED44D4" w:rsidRPr="00E90528" w:rsidRDefault="00ED44D4">
      <w:pPr>
        <w:rPr>
          <w:i/>
          <w:iCs/>
        </w:rPr>
      </w:pPr>
    </w:p>
    <w:p w:rsidR="00ED44D4" w:rsidRPr="00E90528" w:rsidRDefault="00ED44D4">
      <w:pPr>
        <w:rPr>
          <w:i/>
          <w:iCs/>
        </w:rPr>
      </w:pPr>
      <w:r w:rsidRPr="00E90528">
        <w:rPr>
          <w:i/>
          <w:iCs/>
        </w:rPr>
        <w:t xml:space="preserve">På rådet väntas kommissionen informera om en konferens som hölls i Wien i april kring tjänster av allmänt intresse. </w:t>
      </w:r>
    </w:p>
    <w:p w:rsidR="00ED44D4" w:rsidRPr="00E90528" w:rsidRDefault="00ED44D4">
      <w:pPr>
        <w:spacing w:line="240" w:lineRule="auto"/>
      </w:pPr>
    </w:p>
    <w:p w:rsidR="00ED44D4" w:rsidRPr="00E90528" w:rsidRDefault="00ED44D4">
      <w:pPr>
        <w:spacing w:line="240" w:lineRule="auto"/>
        <w:ind w:left="1134"/>
        <w:rPr>
          <w:b/>
          <w:bCs/>
        </w:rPr>
      </w:pPr>
      <w:r w:rsidRPr="00E90528">
        <w:rPr>
          <w:b/>
          <w:bCs/>
        </w:rPr>
        <w:t>(ii)</w:t>
      </w:r>
      <w:r w:rsidRPr="00E90528">
        <w:rPr>
          <w:b/>
          <w:bCs/>
        </w:rPr>
        <w:tab/>
        <w:t>"Femte mötet med människor som lever i fattigdom" (Bryssel 12–13 maj 2006)</w:t>
      </w:r>
    </w:p>
    <w:p w:rsidR="00ED44D4" w:rsidRPr="00E90528" w:rsidRDefault="00ED44D4">
      <w:pPr>
        <w:rPr>
          <w:i/>
          <w:iCs/>
        </w:rPr>
      </w:pPr>
    </w:p>
    <w:p w:rsidR="00ED44D4" w:rsidRPr="00E90528" w:rsidRDefault="00ED44D4">
      <w:pPr>
        <w:rPr>
          <w:i/>
          <w:iCs/>
        </w:rPr>
      </w:pPr>
      <w:r w:rsidRPr="00E90528">
        <w:rPr>
          <w:i/>
          <w:iCs/>
        </w:rPr>
        <w:t xml:space="preserve">På rådet väntas kommissionen informera om den årliga konferensen rörande fattigdom. </w:t>
      </w:r>
      <w:r w:rsidRPr="00E90528">
        <w:rPr>
          <w:i/>
          <w:iCs/>
        </w:rPr>
        <w:tab/>
      </w:r>
    </w:p>
    <w:p w:rsidR="00ED44D4" w:rsidRPr="00E90528" w:rsidRDefault="00ED44D4">
      <w:pPr>
        <w:spacing w:line="240" w:lineRule="auto"/>
      </w:pPr>
    </w:p>
    <w:p w:rsidR="00ED44D4" w:rsidRPr="00E90528" w:rsidRDefault="00ED44D4">
      <w:pPr>
        <w:spacing w:line="240" w:lineRule="auto"/>
        <w:ind w:left="1134"/>
        <w:rPr>
          <w:b/>
          <w:bCs/>
        </w:rPr>
      </w:pPr>
      <w:r w:rsidRPr="00E90528">
        <w:rPr>
          <w:b/>
          <w:bCs/>
        </w:rPr>
        <w:t>(iii)</w:t>
      </w:r>
      <w:r w:rsidRPr="00E90528">
        <w:rPr>
          <w:b/>
          <w:bCs/>
        </w:rPr>
        <w:tab/>
        <w:t>"Konferensen om de sociala modellernas kulturella och sociala villkor i Europa"</w:t>
      </w:r>
    </w:p>
    <w:p w:rsidR="00ED44D4" w:rsidRPr="00E90528" w:rsidRDefault="00ED44D4">
      <w:pPr>
        <w:spacing w:line="240" w:lineRule="auto"/>
        <w:ind w:left="1701"/>
        <w:rPr>
          <w:b/>
          <w:bCs/>
        </w:rPr>
      </w:pPr>
      <w:r w:rsidRPr="00E90528">
        <w:rPr>
          <w:b/>
          <w:bCs/>
        </w:rPr>
        <w:t>(Wien 19–20 maj 2006)</w:t>
      </w:r>
    </w:p>
    <w:p w:rsidR="00ED44D4" w:rsidRPr="00E90528" w:rsidRDefault="00ED44D4">
      <w:pPr>
        <w:spacing w:line="240" w:lineRule="auto"/>
        <w:rPr>
          <w:b/>
          <w:bCs/>
        </w:rPr>
      </w:pPr>
    </w:p>
    <w:p w:rsidR="00ED44D4" w:rsidRPr="00E90528" w:rsidRDefault="00ED44D4">
      <w:pPr>
        <w:spacing w:line="240" w:lineRule="auto"/>
        <w:rPr>
          <w:i/>
          <w:iCs/>
        </w:rPr>
      </w:pPr>
      <w:r w:rsidRPr="00E90528">
        <w:rPr>
          <w:i/>
          <w:iCs/>
        </w:rPr>
        <w:t>Information från ordförandeskapet</w:t>
      </w:r>
    </w:p>
    <w:p w:rsidR="00ED44D4" w:rsidRPr="00E90528" w:rsidRDefault="00ED44D4">
      <w:pPr>
        <w:spacing w:line="240" w:lineRule="auto"/>
        <w:rPr>
          <w:b/>
          <w:bCs/>
        </w:rPr>
      </w:pPr>
    </w:p>
    <w:p w:rsidR="00ED44D4" w:rsidRPr="00E90528" w:rsidRDefault="00ED44D4">
      <w:pPr>
        <w:spacing w:line="240" w:lineRule="auto"/>
        <w:ind w:left="1134"/>
        <w:rPr>
          <w:b/>
          <w:bCs/>
        </w:rPr>
      </w:pPr>
      <w:r w:rsidRPr="00E90528">
        <w:rPr>
          <w:b/>
          <w:bCs/>
        </w:rPr>
        <w:t>(iv)</w:t>
      </w:r>
      <w:r w:rsidRPr="00E90528">
        <w:rPr>
          <w:b/>
          <w:bCs/>
        </w:rPr>
        <w:tab/>
        <w:t xml:space="preserve">"Konferensen om att minska löneskillnaderna mellan män och kvinnor" </w:t>
      </w:r>
    </w:p>
    <w:p w:rsidR="00ED44D4" w:rsidRPr="00E90528" w:rsidRDefault="00ED44D4">
      <w:pPr>
        <w:spacing w:line="240" w:lineRule="auto"/>
        <w:ind w:left="1701"/>
        <w:rPr>
          <w:b/>
          <w:bCs/>
        </w:rPr>
      </w:pPr>
      <w:r w:rsidRPr="00E90528">
        <w:rPr>
          <w:b/>
          <w:bCs/>
        </w:rPr>
        <w:t>(Bryssel 22 maj 2006)</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Information från ordförandeskapet</w:t>
      </w:r>
    </w:p>
    <w:p w:rsidR="00ED44D4" w:rsidRPr="00E90528" w:rsidRDefault="00ED44D4">
      <w:pPr>
        <w:spacing w:line="240" w:lineRule="auto"/>
      </w:pPr>
    </w:p>
    <w:p w:rsidR="00ED44D4" w:rsidRPr="00E90528" w:rsidRDefault="00ED44D4">
      <w:pPr>
        <w:spacing w:line="240" w:lineRule="auto"/>
        <w:ind w:left="1701" w:hanging="575"/>
        <w:rPr>
          <w:b/>
          <w:bCs/>
        </w:rPr>
      </w:pPr>
      <w:r w:rsidRPr="00E90528">
        <w:rPr>
          <w:b/>
          <w:bCs/>
        </w:rPr>
        <w:t>(v)</w:t>
      </w:r>
      <w:r w:rsidRPr="00E90528">
        <w:rPr>
          <w:b/>
          <w:bCs/>
        </w:rPr>
        <w:tab/>
        <w:t>"</w:t>
      </w:r>
      <w:r w:rsidRPr="00E90528">
        <w:rPr>
          <w:b/>
          <w:bCs/>
          <w:color w:val="000000"/>
        </w:rPr>
        <w:t>Resultatet av den första internationella konferensen om kemikalieförvaltning </w:t>
      </w:r>
      <w:r w:rsidRPr="00E90528">
        <w:rPr>
          <w:b/>
          <w:bCs/>
        </w:rPr>
        <w:t>(ICCM 1)" (Dubai 4–6 februari 2006)</w:t>
      </w:r>
    </w:p>
    <w:p w:rsidR="00ED44D4" w:rsidRPr="00E90528" w:rsidRDefault="00ED44D4">
      <w:pPr>
        <w:spacing w:line="240" w:lineRule="auto"/>
        <w:ind w:left="1701" w:hanging="8"/>
        <w:rPr>
          <w:b/>
          <w:bCs/>
        </w:rPr>
      </w:pPr>
      <w:r w:rsidRPr="00E90528">
        <w:rPr>
          <w:b/>
          <w:bCs/>
        </w:rPr>
        <w:t>8930/06 SOC 201 ENV 261 ENT 75 CHIMIE 15</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Information från ordförandeskapet</w:t>
      </w:r>
    </w:p>
    <w:p w:rsidR="00ED44D4" w:rsidRPr="00E90528" w:rsidRDefault="00ED44D4">
      <w:pPr>
        <w:spacing w:line="240" w:lineRule="auto"/>
        <w:ind w:hanging="8"/>
      </w:pPr>
    </w:p>
    <w:p w:rsidR="00ED44D4" w:rsidRPr="00E90528" w:rsidRDefault="00ED44D4">
      <w:pPr>
        <w:spacing w:line="240" w:lineRule="auto"/>
        <w:ind w:hanging="8"/>
      </w:pPr>
    </w:p>
    <w:p w:rsidR="00ED44D4" w:rsidRPr="00E90528" w:rsidRDefault="00ED44D4">
      <w:pPr>
        <w:spacing w:line="240" w:lineRule="auto"/>
        <w:ind w:left="1134" w:hanging="556"/>
        <w:rPr>
          <w:b/>
          <w:bCs/>
        </w:rPr>
      </w:pPr>
      <w:r w:rsidRPr="00E90528">
        <w:rPr>
          <w:b/>
          <w:bCs/>
        </w:rPr>
        <w:t>(c)</w:t>
      </w:r>
      <w:r w:rsidRPr="00E90528">
        <w:rPr>
          <w:b/>
          <w:bCs/>
        </w:rPr>
        <w:tab/>
        <w:t>Meddelande från kommissionen: Vägledning för utstationering av arbetstagare i samband med tillhandahållande av tjänster</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pStyle w:val="RKnormal"/>
      </w:pPr>
    </w:p>
    <w:p w:rsidR="00ED44D4" w:rsidRPr="00E90528" w:rsidRDefault="00ED44D4">
      <w:pPr>
        <w:pStyle w:val="RKnormal"/>
        <w:rPr>
          <w:i/>
          <w:iCs/>
        </w:rPr>
      </w:pPr>
      <w:r w:rsidRPr="00E90528">
        <w:rPr>
          <w:i/>
          <w:iCs/>
        </w:rPr>
        <w:t>KOM:s dokumentbeteckning: COM(2006) 159 final</w:t>
      </w:r>
    </w:p>
    <w:p w:rsidR="00ED44D4" w:rsidRPr="00E90528" w:rsidRDefault="00ED44D4">
      <w:pPr>
        <w:pStyle w:val="RKnormal"/>
        <w:rPr>
          <w:i/>
          <w:iCs/>
        </w:rPr>
      </w:pPr>
    </w:p>
    <w:p w:rsidR="00ED44D4" w:rsidRPr="00E90528" w:rsidRDefault="00ED44D4">
      <w:pPr>
        <w:pStyle w:val="RKnormal"/>
        <w:rPr>
          <w:i/>
          <w:iCs/>
        </w:rPr>
      </w:pPr>
      <w:r w:rsidRPr="00E90528">
        <w:rPr>
          <w:i/>
          <w:iCs/>
        </w:rPr>
        <w:t>Frågan har inte tidigare behandlats i EU-nämnden.</w:t>
      </w:r>
    </w:p>
    <w:p w:rsidR="00ED44D4" w:rsidRPr="00E90528" w:rsidRDefault="00ED44D4">
      <w:pPr>
        <w:pStyle w:val="RKnormal"/>
        <w:rPr>
          <w:i/>
          <w:iCs/>
        </w:rPr>
      </w:pPr>
    </w:p>
    <w:p w:rsidR="00ED44D4" w:rsidRPr="00E90528" w:rsidRDefault="00ED44D4">
      <w:pPr>
        <w:pStyle w:val="RKnormal"/>
        <w:rPr>
          <w:i/>
          <w:iCs/>
        </w:rPr>
      </w:pPr>
      <w:r w:rsidRPr="00E90528">
        <w:rPr>
          <w:i/>
          <w:iCs/>
        </w:rPr>
        <w:t>Dokumentet behandlar bl.a. hur kommissionen ser på tillåtligheten av krav på representant, auktorisation och registrering i samband med utstationering av arbetstagare, tillgängligheten av information om vilka regler som gäller i den medlemsstat dit utstationeringen sker samt frågor kring administrativt samarbete mellan de olika organen i medlemsländerna. Kommissionens ställningstagande bygger på en genomgång av EG-domstolens praxis i relevanta delar.</w:t>
      </w:r>
    </w:p>
    <w:p w:rsidR="00ED44D4" w:rsidRPr="00E90528" w:rsidRDefault="00ED44D4">
      <w:pPr>
        <w:pStyle w:val="RKnormal"/>
        <w:rPr>
          <w:i/>
          <w:iCs/>
        </w:rPr>
      </w:pPr>
    </w:p>
    <w:p w:rsidR="00ED44D4" w:rsidRPr="00E90528" w:rsidRDefault="00ED44D4">
      <w:pPr>
        <w:pStyle w:val="RKnormal"/>
        <w:rPr>
          <w:i/>
          <w:iCs/>
        </w:rPr>
      </w:pPr>
      <w:r w:rsidRPr="00E90528">
        <w:rPr>
          <w:i/>
          <w:iCs/>
        </w:rPr>
        <w:t>Regeringen välkomnar kommissionens riktlinjer ifråga om tillämpningen av utstationeringsdirektivet men konstaterar att de baseras på kommissionens tjänstemäns tolkning av befintlig EG-domstolspraxis och inte är rättsligt bindande för medlemsstaterna. Riktlinjerna är beslutade och alltså inte föremål för förhandlingar. En detaljerad diskussion kring innehållet i riktlinjerna förväntas dock äga rum under kommande expertgruppsmöten i kommissionens regi.</w:t>
      </w:r>
    </w:p>
    <w:p w:rsidR="00ED44D4" w:rsidRPr="00E90528" w:rsidRDefault="00ED44D4">
      <w:pPr>
        <w:spacing w:line="240" w:lineRule="auto"/>
        <w:ind w:firstLine="11"/>
        <w:rPr>
          <w:b/>
          <w:bCs/>
        </w:rPr>
      </w:pPr>
    </w:p>
    <w:p w:rsidR="00ED44D4" w:rsidRPr="00E90528" w:rsidRDefault="00ED44D4">
      <w:pPr>
        <w:spacing w:line="240" w:lineRule="auto"/>
        <w:ind w:left="1134" w:hanging="556"/>
        <w:rPr>
          <w:b/>
          <w:bCs/>
        </w:rPr>
      </w:pPr>
      <w:r w:rsidRPr="00E90528">
        <w:rPr>
          <w:b/>
          <w:bCs/>
        </w:rPr>
        <w:t>(d)</w:t>
      </w:r>
      <w:r w:rsidRPr="00E90528">
        <w:rPr>
          <w:b/>
          <w:bCs/>
        </w:rPr>
        <w:tab/>
        <w:t>Meddelande från kommissionen: Genomförande av partnerskapet för tillväxt och sysselsättning: göra Europa till ett kompetenscentrum för företagens sociala ansvar</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spacing w:line="240" w:lineRule="auto"/>
        <w:ind w:left="567"/>
        <w:rPr>
          <w:b/>
          <w:bCs/>
        </w:rPr>
      </w:pPr>
    </w:p>
    <w:p w:rsidR="00ED44D4" w:rsidRPr="00E90528" w:rsidRDefault="00ED44D4">
      <w:pPr>
        <w:spacing w:line="240" w:lineRule="auto"/>
        <w:ind w:left="567"/>
        <w:rPr>
          <w:i/>
          <w:iCs/>
        </w:rPr>
      </w:pPr>
      <w:r w:rsidRPr="00E90528">
        <w:rPr>
          <w:i/>
          <w:iCs/>
        </w:rPr>
        <w:t xml:space="preserve">Företagens sociala ansvar (CSR) är ett begrepp som innebär att företagen på frivillig grund integrerar sociala och miljömässiga hänsyn i sin verksamhet och i sin samverkan med olika aktörer. </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 xml:space="preserve">EU:s arbete med CSR initierades vid Europeiska rådet i Lissabon år 2000 och i juni samma år fördes CSR upp på den socialpolitiska dagordningen. Oktober  2000 bildade kommissionen högnivågruppen (HLG CSR) med representanter för MS. Kommissionen har därefter presenterat en grönbok följt av en vitbok samt inrättat ett Flerpartsforum som avlämnade sin rapport sommaren 2004. Rådet har under denna tid tagit beslut om två resolutioner för att ge stöd åt kommissionens arbete. </w:t>
      </w:r>
    </w:p>
    <w:p w:rsidR="00ED44D4" w:rsidRPr="00E90528" w:rsidRDefault="00ED44D4">
      <w:pPr>
        <w:spacing w:line="240" w:lineRule="auto"/>
        <w:ind w:left="567"/>
        <w:rPr>
          <w:i/>
          <w:iCs/>
        </w:rPr>
      </w:pPr>
      <w:r w:rsidRPr="00E90528">
        <w:rPr>
          <w:i/>
          <w:iCs/>
        </w:rPr>
        <w:t>Den andra resolutionen hanterades i EU-nämnden november 2002 inför rådsmöte den 3 december.</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 xml:space="preserve">Ovanstående kommissionsmeddelande presenterar och stödjer inrättandet av ”Göra Europa till ett kompetenscentrum för företagens sociala ansvar - Den europeiska alliansen för företagens sociala ansvar”.  </w:t>
      </w:r>
    </w:p>
    <w:p w:rsidR="00ED44D4" w:rsidRPr="00E90528" w:rsidRDefault="00ED44D4">
      <w:pPr>
        <w:spacing w:line="240" w:lineRule="auto"/>
        <w:ind w:left="567"/>
        <w:rPr>
          <w:i/>
          <w:iCs/>
        </w:rPr>
      </w:pPr>
      <w:r w:rsidRPr="00E90528">
        <w:rPr>
          <w:i/>
          <w:iCs/>
        </w:rPr>
        <w:t xml:space="preserve">Förslaget inriktas utöver det globala perspektivet  även på en nationell tillämpning i en miljö som präglas av att offentlig sektor tar ett betydande socialt ansvar för medborgarna och av att viktiga sociala frågor regleras i kollektivavtal. </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Det är i dag något oklart vad denna ”Allians” innebär och vilka som deltar. Det är en öppen allians och europeiska företag uppmanas, oberoende av storlek, att stödja den på frivillig grund. Den är inte något rättsligt instrument.</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Kommissionen uppmanar alla berörda parter att medverka till att detta nya initiativ genomförs. Man önskar ett nära samarbete med medlemsstaterna, näringslivet och med alla intressenter för att göra Europa till ett kompetenscentrum för företagens sociala ansvar, och hänvisar till EU:s egna grundläggande värderingar.</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 xml:space="preserve">Förslag til svensk ståndpunkt: </w:t>
      </w:r>
    </w:p>
    <w:p w:rsidR="00ED44D4" w:rsidRPr="00E90528" w:rsidRDefault="00ED44D4">
      <w:pPr>
        <w:spacing w:line="240" w:lineRule="auto"/>
        <w:ind w:left="567"/>
        <w:rPr>
          <w:i/>
          <w:iCs/>
        </w:rPr>
      </w:pPr>
      <w:r w:rsidRPr="00E90528">
        <w:rPr>
          <w:i/>
          <w:iCs/>
        </w:rPr>
        <w:t xml:space="preserve">Kommissionen har utarbetat ovanstående dokument med förslag </w:t>
      </w:r>
    </w:p>
    <w:p w:rsidR="00ED44D4" w:rsidRPr="00E90528" w:rsidRDefault="00ED44D4">
      <w:pPr>
        <w:spacing w:line="240" w:lineRule="auto"/>
        <w:ind w:left="567"/>
        <w:rPr>
          <w:i/>
          <w:iCs/>
        </w:rPr>
      </w:pPr>
      <w:r w:rsidRPr="00E90528">
        <w:rPr>
          <w:i/>
          <w:iCs/>
        </w:rPr>
        <w:t>utan att informera eller konsultera MS.  HLG CSR som arbetar med CSR-frågorna har inte sammankallats sedan januari 2005.</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Det fleråriga arbetet med att utarbeta en strategi för CSR har tidigare  omfattat alla intressenter (stakeholders) så som industrin, fackliga företrädare, NGO, investerare m.fl.  Flerpartsforumet 2004 var ett exempel på detta. Uppgifter gör gällande att KOM tagit fram meddelandet i mycket nära samarbete med endast en av dessa intressenter, industrin.</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Meddelandet saknar tydliga referenser till mellanstatliga internationella instrument så som ILO´s kärnkonventrioner, OECD´s riktlinjer och FN´s Glboal Compact.</w:t>
      </w:r>
    </w:p>
    <w:p w:rsidR="00ED44D4" w:rsidRPr="00E90528" w:rsidRDefault="00ED44D4">
      <w:pPr>
        <w:spacing w:line="240" w:lineRule="auto"/>
        <w:ind w:left="567"/>
        <w:rPr>
          <w:i/>
          <w:iCs/>
        </w:rPr>
      </w:pPr>
    </w:p>
    <w:p w:rsidR="00ED44D4" w:rsidRPr="00E90528" w:rsidRDefault="00ED44D4">
      <w:pPr>
        <w:spacing w:line="240" w:lineRule="auto"/>
        <w:ind w:left="567"/>
        <w:rPr>
          <w:i/>
          <w:iCs/>
        </w:rPr>
      </w:pPr>
      <w:r w:rsidRPr="00E90528">
        <w:rPr>
          <w:i/>
          <w:iCs/>
        </w:rPr>
        <w:t xml:space="preserve">Det är viktigt att följa upp och verka för att kommissionens slutsats i dokumentet att samverkan skall ske mellan alla berörda parter verkställs.  </w:t>
      </w:r>
    </w:p>
    <w:p w:rsidR="00ED44D4" w:rsidRPr="00E90528" w:rsidRDefault="00ED44D4">
      <w:pPr>
        <w:spacing w:line="240" w:lineRule="auto"/>
        <w:ind w:left="567"/>
        <w:rPr>
          <w:b/>
          <w:bCs/>
        </w:rPr>
      </w:pPr>
    </w:p>
    <w:p w:rsidR="00ED44D4" w:rsidRPr="00E90528" w:rsidRDefault="00ED44D4">
      <w:pPr>
        <w:spacing w:line="240" w:lineRule="auto"/>
        <w:ind w:left="567"/>
        <w:rPr>
          <w:b/>
          <w:bCs/>
        </w:rPr>
      </w:pPr>
      <w:r w:rsidRPr="00E90528">
        <w:rPr>
          <w:b/>
          <w:bCs/>
        </w:rPr>
        <w:t>(e)</w:t>
      </w:r>
      <w:r w:rsidRPr="00E90528">
        <w:rPr>
          <w:b/>
          <w:bCs/>
        </w:rPr>
        <w:tab/>
        <w:t>Meddelande från kommissionen: Drägligt arbete</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spacing w:line="240" w:lineRule="auto"/>
        <w:ind w:firstLine="11"/>
        <w:rPr>
          <w:i/>
          <w:iCs/>
        </w:rPr>
      </w:pPr>
    </w:p>
    <w:p w:rsidR="00ED44D4" w:rsidRPr="00E90528" w:rsidRDefault="00ED44D4">
      <w:pPr>
        <w:spacing w:line="240" w:lineRule="auto"/>
        <w:ind w:firstLine="11"/>
        <w:rPr>
          <w:b/>
          <w:bCs/>
        </w:rPr>
      </w:pPr>
      <w:r w:rsidRPr="00E90528">
        <w:rPr>
          <w:i/>
          <w:iCs/>
        </w:rPr>
        <w:t>Information från kommissionen</w:t>
      </w:r>
    </w:p>
    <w:p w:rsidR="00ED44D4" w:rsidRPr="00E90528" w:rsidRDefault="00ED44D4">
      <w:pPr>
        <w:spacing w:line="240" w:lineRule="auto"/>
        <w:ind w:firstLine="11"/>
        <w:rPr>
          <w:b/>
          <w:bCs/>
        </w:rPr>
      </w:pPr>
    </w:p>
    <w:p w:rsidR="00ED44D4" w:rsidRPr="00E90528" w:rsidRDefault="00ED44D4">
      <w:pPr>
        <w:spacing w:line="240" w:lineRule="auto"/>
        <w:ind w:left="1134" w:hanging="567"/>
        <w:rPr>
          <w:b/>
          <w:bCs/>
        </w:rPr>
      </w:pPr>
      <w:r w:rsidRPr="00E90528">
        <w:rPr>
          <w:b/>
          <w:bCs/>
        </w:rPr>
        <w:t>(f)</w:t>
      </w:r>
      <w:r w:rsidRPr="00E90528">
        <w:rPr>
          <w:b/>
          <w:bCs/>
        </w:rPr>
        <w:tab/>
        <w:t>Europeiska året för lika möjligheter för alla (2007)</w:t>
      </w:r>
    </w:p>
    <w:p w:rsidR="00ED44D4" w:rsidRPr="00E90528" w:rsidRDefault="00ED44D4">
      <w:pPr>
        <w:pStyle w:val="Par-dash"/>
        <w:tabs>
          <w:tab w:val="num" w:pos="1701"/>
        </w:tabs>
        <w:ind w:left="1701" w:hanging="567"/>
        <w:rPr>
          <w:b/>
          <w:bCs/>
        </w:rPr>
      </w:pPr>
      <w:r w:rsidRPr="00E90528">
        <w:rPr>
          <w:b/>
          <w:bCs/>
        </w:rPr>
        <w:t>Information från kommissionen</w:t>
      </w:r>
    </w:p>
    <w:p w:rsidR="00ED44D4" w:rsidRPr="00E90528" w:rsidRDefault="00ED44D4">
      <w:pPr>
        <w:spacing w:line="240" w:lineRule="auto"/>
        <w:ind w:firstLine="11"/>
      </w:pPr>
      <w:r w:rsidRPr="00E90528">
        <w:t>Information från kommissionen.</w:t>
      </w:r>
    </w:p>
    <w:p w:rsidR="00ED44D4" w:rsidRPr="00E90528" w:rsidRDefault="00ED44D4">
      <w:pPr>
        <w:spacing w:line="240" w:lineRule="auto"/>
        <w:ind w:firstLine="11"/>
      </w:pPr>
    </w:p>
    <w:p w:rsidR="00ED44D4" w:rsidRPr="00E90528" w:rsidRDefault="00ED44D4">
      <w:pPr>
        <w:spacing w:line="240" w:lineRule="auto"/>
        <w:ind w:left="1134" w:hanging="567"/>
        <w:rPr>
          <w:b/>
          <w:bCs/>
        </w:rPr>
      </w:pPr>
      <w:r w:rsidRPr="00E90528">
        <w:rPr>
          <w:b/>
          <w:bCs/>
        </w:rPr>
        <w:t>(g)</w:t>
      </w:r>
      <w:r w:rsidRPr="00E90528">
        <w:rPr>
          <w:b/>
          <w:bCs/>
        </w:rPr>
        <w:tab/>
        <w:t>Europarådets ministerkonferens om familjefrågor: Förändringar i föräldraskapet</w:t>
      </w:r>
    </w:p>
    <w:p w:rsidR="00ED44D4" w:rsidRPr="00E90528" w:rsidRDefault="00ED44D4">
      <w:pPr>
        <w:pStyle w:val="Par-dash"/>
        <w:tabs>
          <w:tab w:val="num" w:pos="1701"/>
        </w:tabs>
        <w:ind w:left="1701" w:hanging="567"/>
        <w:rPr>
          <w:b/>
          <w:bCs/>
        </w:rPr>
      </w:pPr>
      <w:r w:rsidRPr="00E90528">
        <w:rPr>
          <w:b/>
          <w:bCs/>
        </w:rPr>
        <w:t>Information från den portugisiska delegationen</w:t>
      </w:r>
    </w:p>
    <w:p w:rsidR="00ED44D4" w:rsidRPr="00E90528" w:rsidRDefault="00ED44D4">
      <w:pPr>
        <w:spacing w:line="240" w:lineRule="auto"/>
        <w:ind w:firstLine="11"/>
        <w:rPr>
          <w:i/>
          <w:iCs/>
        </w:rPr>
      </w:pPr>
    </w:p>
    <w:p w:rsidR="00ED44D4" w:rsidRPr="00E90528" w:rsidRDefault="00ED44D4">
      <w:pPr>
        <w:spacing w:line="240" w:lineRule="auto"/>
        <w:ind w:firstLine="11"/>
        <w:rPr>
          <w:i/>
          <w:iCs/>
        </w:rPr>
      </w:pPr>
      <w:r w:rsidRPr="00E90528">
        <w:rPr>
          <w:i/>
          <w:iCs/>
        </w:rPr>
        <w:t>Ingen information finns.</w:t>
      </w:r>
    </w:p>
    <w:p w:rsidR="00ED44D4" w:rsidRPr="00E90528" w:rsidRDefault="00ED44D4">
      <w:pPr>
        <w:spacing w:line="240" w:lineRule="auto"/>
        <w:ind w:firstLine="11"/>
        <w:rPr>
          <w:b/>
          <w:bCs/>
        </w:rPr>
      </w:pPr>
    </w:p>
    <w:p w:rsidR="00ED44D4" w:rsidRPr="00E90528" w:rsidRDefault="00ED44D4">
      <w:pPr>
        <w:spacing w:line="240" w:lineRule="auto"/>
        <w:ind w:left="1134" w:hanging="567"/>
        <w:rPr>
          <w:b/>
          <w:bCs/>
        </w:rPr>
      </w:pPr>
      <w:r w:rsidRPr="00E90528">
        <w:rPr>
          <w:b/>
          <w:bCs/>
        </w:rPr>
        <w:t>(h)</w:t>
      </w:r>
      <w:r w:rsidRPr="00E90528">
        <w:rPr>
          <w:b/>
          <w:bCs/>
        </w:rPr>
        <w:tab/>
        <w:t>Medbeslutandeärenden</w:t>
      </w:r>
    </w:p>
    <w:p w:rsidR="00ED44D4" w:rsidRPr="00E90528" w:rsidRDefault="00ED44D4">
      <w:pPr>
        <w:pStyle w:val="Par-dash"/>
        <w:tabs>
          <w:tab w:val="num" w:pos="1701"/>
        </w:tabs>
        <w:spacing w:line="240" w:lineRule="auto"/>
        <w:ind w:left="1701" w:hanging="567"/>
        <w:rPr>
          <w:b/>
          <w:bCs/>
        </w:rPr>
      </w:pPr>
      <w:r w:rsidRPr="00E90528">
        <w:rPr>
          <w:b/>
          <w:bCs/>
        </w:rPr>
        <w:t>- Hälsopåståenden</w:t>
      </w:r>
    </w:p>
    <w:p w:rsidR="00ED44D4" w:rsidRPr="00E90528" w:rsidRDefault="00ED44D4">
      <w:pPr>
        <w:pStyle w:val="Par-dash"/>
        <w:tabs>
          <w:tab w:val="num" w:pos="1701"/>
        </w:tabs>
        <w:spacing w:line="240" w:lineRule="auto"/>
        <w:ind w:left="1701" w:hanging="567"/>
        <w:rPr>
          <w:b/>
          <w:bCs/>
        </w:rPr>
      </w:pPr>
      <w:r w:rsidRPr="00E90528">
        <w:rPr>
          <w:b/>
          <w:bCs/>
        </w:rPr>
        <w:t>- Vitaminer</w:t>
      </w:r>
    </w:p>
    <w:p w:rsidR="00ED44D4" w:rsidRPr="00E90528" w:rsidRDefault="00ED44D4">
      <w:pPr>
        <w:pStyle w:val="Par-dash"/>
        <w:tabs>
          <w:tab w:val="num" w:pos="1701"/>
        </w:tabs>
        <w:spacing w:line="240" w:lineRule="auto"/>
        <w:ind w:left="1701" w:hanging="567"/>
        <w:rPr>
          <w:b/>
          <w:bCs/>
        </w:rPr>
      </w:pPr>
      <w:r w:rsidRPr="00E90528">
        <w:rPr>
          <w:b/>
          <w:bCs/>
        </w:rPr>
        <w:t>- L</w:t>
      </w:r>
      <w:r w:rsidRPr="00E90528">
        <w:rPr>
          <w:b/>
          <w:bCs/>
          <w:color w:val="000000"/>
        </w:rPr>
        <w:t>äkemedel för pediatrisk användning</w:t>
      </w:r>
    </w:p>
    <w:p w:rsidR="00ED44D4" w:rsidRPr="00E90528" w:rsidRDefault="00ED44D4">
      <w:pPr>
        <w:pStyle w:val="Par-bullet"/>
        <w:tabs>
          <w:tab w:val="clear" w:pos="360"/>
          <w:tab w:val="num" w:pos="851"/>
          <w:tab w:val="num" w:pos="1701"/>
        </w:tabs>
        <w:ind w:left="1701" w:hanging="851"/>
        <w:rPr>
          <w:b/>
          <w:bCs/>
        </w:rPr>
      </w:pPr>
      <w:r w:rsidRPr="00E90528">
        <w:rPr>
          <w:b/>
          <w:bCs/>
        </w:rPr>
        <w:t>Information från ordförandeskapet</w:t>
      </w:r>
    </w:p>
    <w:p w:rsidR="00ED44D4" w:rsidRPr="00E90528" w:rsidRDefault="00ED44D4">
      <w:pPr>
        <w:pStyle w:val="Par-number1"/>
        <w:tabs>
          <w:tab w:val="clear" w:pos="360"/>
          <w:tab w:val="left" w:pos="-600"/>
          <w:tab w:val="left" w:pos="1440"/>
          <w:tab w:val="left" w:pos="2160"/>
        </w:tabs>
        <w:spacing w:line="240" w:lineRule="auto"/>
        <w:rPr>
          <w:i/>
          <w:iCs/>
          <w:szCs w:val="24"/>
        </w:rPr>
      </w:pPr>
    </w:p>
    <w:p w:rsidR="00ED44D4" w:rsidRPr="00E90528" w:rsidRDefault="00ED44D4">
      <w:pPr>
        <w:pStyle w:val="Par-number1"/>
        <w:tabs>
          <w:tab w:val="clear" w:pos="360"/>
          <w:tab w:val="left" w:pos="-600"/>
          <w:tab w:val="left" w:pos="1440"/>
          <w:tab w:val="left" w:pos="2160"/>
        </w:tabs>
        <w:spacing w:line="240" w:lineRule="auto"/>
        <w:rPr>
          <w:b/>
          <w:bCs/>
          <w:i/>
          <w:iCs/>
          <w:szCs w:val="24"/>
        </w:rPr>
      </w:pPr>
      <w:r w:rsidRPr="00E90528">
        <w:rPr>
          <w:b/>
          <w:bCs/>
          <w:i/>
          <w:iCs/>
          <w:szCs w:val="24"/>
        </w:rPr>
        <w:t>Hälsopåståenden:</w:t>
      </w:r>
    </w:p>
    <w:p w:rsidR="00ED44D4" w:rsidRPr="00E90528" w:rsidRDefault="00ED44D4">
      <w:pPr>
        <w:spacing w:line="240" w:lineRule="auto"/>
        <w:rPr>
          <w:i/>
          <w:iCs/>
        </w:rPr>
      </w:pPr>
      <w:r w:rsidRPr="00E90528">
        <w:rPr>
          <w:i/>
          <w:iCs/>
        </w:rPr>
        <w:t>Rättslig grund och beslutsförfarande</w:t>
      </w:r>
    </w:p>
    <w:p w:rsidR="00ED44D4" w:rsidRPr="00E90528" w:rsidRDefault="00ED44D4">
      <w:pPr>
        <w:spacing w:line="240" w:lineRule="auto"/>
        <w:rPr>
          <w:i/>
          <w:iCs/>
        </w:rPr>
      </w:pPr>
      <w:r w:rsidRPr="00E90528">
        <w:rPr>
          <w:i/>
          <w:iCs/>
        </w:rPr>
        <w:t>Artikel 95 i EG-fördraget. Kvalificerad majoritet och medbeslutande med EP enligt artikel 251.</w:t>
      </w:r>
    </w:p>
    <w:p w:rsidR="00ED44D4" w:rsidRPr="00E90528" w:rsidRDefault="00ED44D4">
      <w:pPr>
        <w:spacing w:line="240" w:lineRule="auto"/>
        <w:rPr>
          <w:b/>
          <w:bCs/>
          <w:i/>
          <w:iCs/>
        </w:rPr>
      </w:pPr>
    </w:p>
    <w:p w:rsidR="00ED44D4" w:rsidRPr="00E90528" w:rsidRDefault="00ED44D4">
      <w:pPr>
        <w:spacing w:line="240" w:lineRule="auto"/>
        <w:rPr>
          <w:i/>
          <w:iCs/>
        </w:rPr>
      </w:pPr>
      <w:r w:rsidRPr="00E90528">
        <w:rPr>
          <w:i/>
          <w:iCs/>
        </w:rPr>
        <w:t>Bakgrund</w:t>
      </w:r>
    </w:p>
    <w:p w:rsidR="00ED44D4" w:rsidRPr="00E90528" w:rsidRDefault="00ED44D4">
      <w:pPr>
        <w:spacing w:line="240" w:lineRule="auto"/>
        <w:rPr>
          <w:i/>
          <w:iCs/>
        </w:rPr>
      </w:pPr>
      <w:r w:rsidRPr="00E90528">
        <w:rPr>
          <w:i/>
          <w:iCs/>
        </w:rPr>
        <w:t xml:space="preserve">Kommissionen antog den 16 juli 2003 ett förslag till en ny förordning om närings- och hälsopåståenden på livsmedel. Förslaget omfattar reklam, märkning och presentation av närings- och hälsopåståenden inom EU och omfattar alla livsmedel. Möjligheten till påståenden begränsas dock för vissa livsmedelskategorier. Det finns idag inga gemenskapsregler på området. Sedan 1990 finns i Sverige en branschöverenskommelse om hälsopåståenden. </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Förslaget har sedan augusti 2003 behandlats i rådsarbetsgruppen för livsmedel, Coreper, attachégrupp och parallellt med detta i Europaparlamentets utskott för miljö, folkhälsa och konsumentfrågor. I juni 2005 antog rådet enhälligt en politisk överenskommelse och i december 2005 antogs en gemensam ståndpunkt. Europaparlamentet och rådet kunde dock inte nå en överenskommelse i första läsningen. I och med detta har rådet och Europaparlamentet under våren 2006 försökt att enas om en gemensam text/ändringsförsla</w:t>
      </w:r>
      <w:r w:rsidRPr="00E90528">
        <w:rPr>
          <w:i/>
          <w:iCs/>
        </w:rPr>
        <w:t xml:space="preserve">g. Rådet antog ändringsförslagen med kvalificerad majoritet vid Coreper den 10 maj 2006. Vid omröstningen i plenum den 16 maj 2006 (andra läsningen) kunde även Europaparlamentet godta ändringsförslagen. </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Det österrikiska ordförandeskapet avser därmed att ta upp frågan till beslut som en A-punkt vid något ministerråd innan den 1 juli 2006.</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Förslag till svensk ståndpunkt</w:t>
      </w:r>
    </w:p>
    <w:p w:rsidR="00ED44D4" w:rsidRPr="00E90528" w:rsidRDefault="00ED44D4">
      <w:pPr>
        <w:spacing w:line="240" w:lineRule="auto"/>
        <w:rPr>
          <w:i/>
          <w:iCs/>
        </w:rPr>
      </w:pPr>
      <w:r w:rsidRPr="00E90528">
        <w:rPr>
          <w:i/>
          <w:iCs/>
        </w:rPr>
        <w:t>Sverige ser positivt på att införa gemenskapsregler inom detta område. Vi har länge strävat efter harmoniserade regler för närings- och hälsopåståenden. Frågan är viktig för Sverige och har drivits hårt på olika nivåer.</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 xml:space="preserve">Sverige stod bakom den gemensamma ståndpunkten som antogs i december 2005. Dessvärre blev slutresultatet efter förhandlingarna med EP inte riktigt som regeringen tänkt eller hoppats på. I slutskedet av förhandlingarna krävde EP ett undantag för de s.k. näringsprofilerna som innebär att näringspåståenden i vissa fall kommer att tillåtas för ohälsosamma produkter vilket vi anser skulle missgynna folkhälsan samt vara vilseledande för konsumenten. Regeringen avser därför att rösta nej. </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EU-nämnden</w:t>
      </w:r>
    </w:p>
    <w:p w:rsidR="00ED44D4" w:rsidRPr="00E90528" w:rsidRDefault="00ED44D4">
      <w:pPr>
        <w:spacing w:line="240" w:lineRule="auto"/>
        <w:rPr>
          <w:i/>
          <w:iCs/>
        </w:rPr>
      </w:pPr>
      <w:r w:rsidRPr="00E90528">
        <w:rPr>
          <w:i/>
          <w:iCs/>
        </w:rPr>
        <w:t>Frågan har varit föremål för samråd i EU-nämnden i november 2003, maj 2004, december 2004 samt maj 2005.</w:t>
      </w:r>
    </w:p>
    <w:p w:rsidR="00ED44D4" w:rsidRPr="00E90528" w:rsidRDefault="00ED44D4"/>
    <w:p w:rsidR="00ED44D4" w:rsidRPr="00E90528" w:rsidRDefault="00ED44D4">
      <w:pPr>
        <w:pStyle w:val="Par-number1"/>
        <w:tabs>
          <w:tab w:val="clear" w:pos="360"/>
        </w:tabs>
        <w:spacing w:line="240" w:lineRule="auto"/>
        <w:rPr>
          <w:b/>
          <w:bCs/>
          <w:i/>
          <w:iCs/>
        </w:rPr>
      </w:pPr>
      <w:r w:rsidRPr="00E90528">
        <w:rPr>
          <w:b/>
          <w:bCs/>
          <w:i/>
          <w:iCs/>
        </w:rPr>
        <w:t>Vitaminer</w:t>
      </w:r>
      <w:r w:rsidRPr="00E90528">
        <w:rPr>
          <w:b/>
          <w:bCs/>
          <w:i/>
          <w:iCs/>
        </w:rPr>
        <w:t>:</w:t>
      </w:r>
    </w:p>
    <w:p w:rsidR="00ED44D4" w:rsidRPr="00E90528" w:rsidRDefault="00ED44D4">
      <w:pPr>
        <w:spacing w:line="240" w:lineRule="auto"/>
        <w:rPr>
          <w:i/>
          <w:iCs/>
        </w:rPr>
      </w:pPr>
      <w:r w:rsidRPr="00E90528">
        <w:rPr>
          <w:i/>
          <w:iCs/>
        </w:rPr>
        <w:t>Rättslig grund och beslutsförfarande</w:t>
      </w:r>
    </w:p>
    <w:p w:rsidR="00ED44D4" w:rsidRPr="00E90528" w:rsidRDefault="00ED44D4">
      <w:pPr>
        <w:spacing w:line="240" w:lineRule="auto"/>
        <w:rPr>
          <w:i/>
          <w:iCs/>
        </w:rPr>
      </w:pPr>
      <w:r w:rsidRPr="00E90528">
        <w:rPr>
          <w:i/>
          <w:iCs/>
        </w:rPr>
        <w:t xml:space="preserve">Artikel 95 i EG-fördraget. </w:t>
      </w:r>
      <w:r w:rsidRPr="00E90528">
        <w:rPr>
          <w:i/>
          <w:iCs/>
          <w:szCs w:val="24"/>
        </w:rPr>
        <w:t>Kvalificerad majoritet och medbeslutande med EP enligt artikel 251.</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Bakgrund</w:t>
      </w:r>
    </w:p>
    <w:p w:rsidR="00ED44D4" w:rsidRPr="00E90528" w:rsidRDefault="00ED44D4">
      <w:pPr>
        <w:spacing w:line="240" w:lineRule="auto"/>
        <w:rPr>
          <w:i/>
          <w:iCs/>
        </w:rPr>
      </w:pPr>
      <w:r w:rsidRPr="00E90528">
        <w:rPr>
          <w:i/>
          <w:iCs/>
        </w:rPr>
        <w:t xml:space="preserve">Kommissionen antog den 10 november 2003 ett förslag till en ny förordning om tillsättning av vitaminer och mineralämnen och vissa andra ämnen i livsmedel. </w:t>
      </w:r>
      <w:r w:rsidRPr="00E90528">
        <w:rPr>
          <w:i/>
          <w:iCs/>
          <w:snapToGrid w:val="0"/>
        </w:rPr>
        <w:t xml:space="preserve">Förslaget avser regler för frivillig tillsättning av vitaminer och näringsämnen samt regler för tillsättning av vissa andra ämnen till livsmedel. Det avser även </w:t>
      </w:r>
      <w:r w:rsidRPr="00E90528">
        <w:rPr>
          <w:i/>
          <w:iCs/>
        </w:rPr>
        <w:t xml:space="preserve">under vilka omständigheter vitaminer och mineraler kan tillsättas livsmedel samt regler för märkning och marknadsföring. Förslaget har nära koppling till arbetet med förslaget om regler för närings- och hälsopåståenden och även till ett kommande förslag om översyn av näringsvärdesdeklarationen, direktiv 90/496 (EG). </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 xml:space="preserve">I juni 2005 röstade Sverige för en politisk överenskommelse med en röstförklaring angående konfektyrvaror. Sverige ville att konfektyrvaror skulle ingå i listan över produkter som inte får berikas. Genom en förklaring till beslutet åtog sig kommissionen att utreda möjliga tillägg till förbudslistan. </w:t>
      </w:r>
    </w:p>
    <w:p w:rsidR="00ED44D4" w:rsidRPr="00E90528" w:rsidRDefault="00ED44D4">
      <w:pPr>
        <w:spacing w:line="240" w:lineRule="auto"/>
        <w:rPr>
          <w:i/>
          <w:iCs/>
          <w:snapToGrid w:val="0"/>
        </w:rPr>
      </w:pPr>
    </w:p>
    <w:p w:rsidR="00ED44D4" w:rsidRPr="00E90528" w:rsidRDefault="00ED44D4">
      <w:pPr>
        <w:spacing w:line="240" w:lineRule="auto"/>
        <w:rPr>
          <w:i/>
          <w:iCs/>
        </w:rPr>
      </w:pPr>
      <w:r w:rsidRPr="00E90528">
        <w:rPr>
          <w:i/>
          <w:iCs/>
          <w:snapToGrid w:val="0"/>
        </w:rPr>
        <w:t xml:space="preserve">Arbete fortsatte under hösten 2005 och på EPSCO-rådet den 8-9 december antog rådet en gemensam ståndpunkt.  Den andra läsningen inleddes i Europaparlamentet under våren 2005 och inför omröstningen i plenum enades rådet och Europaparlamentet om ett antal ändrings-förslag för att förlikning skulle undvikas. Europaparlamentet antog denna kompromiss (andrabehandlingsrekommendationer) vid omröstning i plenum den 16 maj 2006. </w:t>
      </w:r>
    </w:p>
    <w:p w:rsidR="00ED44D4" w:rsidRPr="00E90528" w:rsidRDefault="00ED44D4">
      <w:pPr>
        <w:spacing w:line="240" w:lineRule="auto"/>
        <w:rPr>
          <w:i/>
          <w:iCs/>
        </w:rPr>
      </w:pPr>
    </w:p>
    <w:p w:rsidR="00ED44D4" w:rsidRPr="00E90528" w:rsidRDefault="00ED44D4">
      <w:pPr>
        <w:spacing w:line="240" w:lineRule="auto"/>
        <w:rPr>
          <w:i/>
          <w:iCs/>
        </w:rPr>
      </w:pPr>
      <w:r w:rsidRPr="00E90528">
        <w:rPr>
          <w:i/>
          <w:iCs/>
        </w:rPr>
        <w:t>Förslag till svensk ståndpunkt</w:t>
      </w:r>
    </w:p>
    <w:p w:rsidR="00ED44D4" w:rsidRPr="00E90528" w:rsidRDefault="00ED44D4">
      <w:pPr>
        <w:spacing w:line="240" w:lineRule="auto"/>
        <w:rPr>
          <w:i/>
          <w:iCs/>
        </w:rPr>
      </w:pPr>
      <w:r w:rsidRPr="00E90528">
        <w:rPr>
          <w:i/>
          <w:iCs/>
        </w:rPr>
        <w:t xml:space="preserve">Sverige välkomnar förslaget om att införa gemensamma EU-regler och att harmonisera berikningsområdet. Sverige ställer sig bakom den kompromiss som framförhandlades mellan rådet och Europaparlamentet inför omröstningen i Europaparlamentets plenum den 16 maj. </w:t>
      </w:r>
    </w:p>
    <w:p w:rsidR="00ED44D4" w:rsidRPr="00E90528" w:rsidRDefault="00ED44D4">
      <w:pPr>
        <w:spacing w:line="240" w:lineRule="auto"/>
        <w:rPr>
          <w:i/>
          <w:iCs/>
        </w:rPr>
      </w:pPr>
    </w:p>
    <w:p w:rsidR="00ED44D4" w:rsidRPr="00E90528" w:rsidRDefault="00ED44D4">
      <w:pPr>
        <w:spacing w:line="240" w:lineRule="auto"/>
        <w:rPr>
          <w:b/>
          <w:bCs/>
          <w:i/>
          <w:iCs/>
        </w:rPr>
      </w:pPr>
      <w:r w:rsidRPr="00E90528">
        <w:rPr>
          <w:i/>
          <w:iCs/>
        </w:rPr>
        <w:t>EU-nämnden</w:t>
      </w:r>
    </w:p>
    <w:p w:rsidR="00ED44D4" w:rsidRPr="00E90528" w:rsidRDefault="00ED44D4">
      <w:pPr>
        <w:spacing w:line="240" w:lineRule="auto"/>
        <w:rPr>
          <w:i/>
          <w:iCs/>
        </w:rPr>
      </w:pPr>
      <w:r w:rsidRPr="00E90528">
        <w:rPr>
          <w:i/>
          <w:iCs/>
        </w:rPr>
        <w:t>Frågan har varit föremål för samråd i EU-nämnden senast i december 2004 samt maj 2005.</w:t>
      </w:r>
    </w:p>
    <w:p w:rsidR="00ED44D4" w:rsidRPr="00E90528" w:rsidRDefault="00ED44D4"/>
    <w:p w:rsidR="00ED44D4" w:rsidRPr="00E90528" w:rsidRDefault="00ED44D4"/>
    <w:p w:rsidR="00ED44D4" w:rsidRPr="00E90528" w:rsidRDefault="00ED44D4">
      <w:pPr>
        <w:tabs>
          <w:tab w:val="left" w:pos="-600"/>
          <w:tab w:val="left" w:pos="2160"/>
        </w:tabs>
        <w:spacing w:line="240" w:lineRule="auto"/>
        <w:ind w:left="1134" w:hanging="567"/>
        <w:rPr>
          <w:b/>
          <w:bCs/>
        </w:rPr>
      </w:pPr>
      <w:r w:rsidRPr="00E90528">
        <w:rPr>
          <w:b/>
          <w:bCs/>
        </w:rPr>
        <w:t>(i)</w:t>
      </w:r>
      <w:r w:rsidRPr="00E90528">
        <w:rPr>
          <w:b/>
          <w:bCs/>
        </w:rPr>
        <w:tab/>
        <w:t>Förslag till Europaparlamentets och rådets beslut om inrättande av ett gemenskapsprogram för hälso- och konsumentskyddsåtgärder 2007–2013 (R)</w:t>
      </w:r>
    </w:p>
    <w:p w:rsidR="00ED44D4" w:rsidRPr="00E90528" w:rsidRDefault="00ED44D4">
      <w:pPr>
        <w:pStyle w:val="Par-dash"/>
        <w:tabs>
          <w:tab w:val="num" w:pos="1701"/>
        </w:tabs>
        <w:spacing w:line="240" w:lineRule="auto"/>
        <w:ind w:left="1701" w:hanging="567"/>
        <w:rPr>
          <w:b/>
          <w:bCs/>
        </w:rPr>
      </w:pPr>
      <w:r w:rsidRPr="00E90528">
        <w:rPr>
          <w:b/>
          <w:bCs/>
        </w:rPr>
        <w:t>Lägesrapport</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rPr>
          <w:i/>
          <w:iCs/>
        </w:rPr>
      </w:pPr>
    </w:p>
    <w:p w:rsidR="00ED44D4" w:rsidRPr="00E90528" w:rsidRDefault="00ED44D4">
      <w:pPr>
        <w:rPr>
          <w:i/>
          <w:iCs/>
        </w:rPr>
      </w:pPr>
      <w:r w:rsidRPr="00E90528">
        <w:rPr>
          <w:i/>
          <w:iCs/>
        </w:rPr>
        <w:t>I april 2005 presenterade kommissionen sitt förslag till ett nytt hälso- och konsumentskydds- program för åren 2007-2013. På rådet kommer en lägesrapport att presenteras och kommissionen kommer sannolikt att lämna information om den fortsatta processen efter Europaparlamentets första läsning.</w:t>
      </w:r>
    </w:p>
    <w:p w:rsidR="00ED44D4" w:rsidRPr="00E90528" w:rsidRDefault="00ED44D4">
      <w:pPr>
        <w:rPr>
          <w:i/>
          <w:iCs/>
        </w:rPr>
      </w:pPr>
    </w:p>
    <w:p w:rsidR="00ED44D4" w:rsidRPr="00E90528" w:rsidRDefault="00ED44D4">
      <w:pPr>
        <w:rPr>
          <w:i/>
          <w:iCs/>
        </w:rPr>
      </w:pPr>
      <w:r w:rsidRPr="00E90528">
        <w:rPr>
          <w:i/>
          <w:iCs/>
        </w:rPr>
        <w:t>Förslag till svensk ståndpunkt: Sverige har inga invändningar mot rapporten.</w:t>
      </w:r>
      <w:r w:rsidRPr="00E90528">
        <w:rPr>
          <w:i/>
          <w:iCs/>
        </w:rPr>
        <w:t xml:space="preserve"> </w:t>
      </w:r>
    </w:p>
    <w:p w:rsidR="00ED44D4" w:rsidRPr="00E90528" w:rsidRDefault="00ED44D4">
      <w:pPr>
        <w:tabs>
          <w:tab w:val="left" w:pos="-600"/>
          <w:tab w:val="left" w:pos="2160"/>
        </w:tabs>
        <w:spacing w:line="240" w:lineRule="auto"/>
        <w:ind w:firstLine="11"/>
        <w:outlineLvl w:val="0"/>
        <w:rPr>
          <w:b/>
          <w:bCs/>
        </w:rPr>
      </w:pPr>
    </w:p>
    <w:p w:rsidR="00ED44D4" w:rsidRPr="00E90528" w:rsidRDefault="00ED44D4">
      <w:pPr>
        <w:tabs>
          <w:tab w:val="left" w:pos="-600"/>
          <w:tab w:val="left" w:pos="2160"/>
        </w:tabs>
        <w:spacing w:line="240" w:lineRule="auto"/>
        <w:ind w:firstLine="11"/>
        <w:outlineLvl w:val="0"/>
        <w:rPr>
          <w:b/>
          <w:bCs/>
        </w:rPr>
      </w:pPr>
    </w:p>
    <w:p w:rsidR="00ED44D4" w:rsidRPr="00E90528" w:rsidRDefault="00ED44D4">
      <w:pPr>
        <w:tabs>
          <w:tab w:val="left" w:pos="-600"/>
          <w:tab w:val="left" w:pos="2160"/>
        </w:tabs>
        <w:spacing w:line="240" w:lineRule="auto"/>
        <w:ind w:left="1134" w:hanging="567"/>
        <w:outlineLvl w:val="0"/>
        <w:rPr>
          <w:b/>
          <w:bCs/>
        </w:rPr>
      </w:pPr>
      <w:r w:rsidRPr="00E90528">
        <w:rPr>
          <w:b/>
          <w:bCs/>
        </w:rPr>
        <w:t>(j)</w:t>
      </w:r>
      <w:r w:rsidRPr="00E90528">
        <w:rPr>
          <w:b/>
          <w:bCs/>
        </w:rPr>
        <w:tab/>
        <w:t xml:space="preserve">Konferens om </w:t>
      </w:r>
      <w:r w:rsidRPr="00E90528">
        <w:rPr>
          <w:b/>
          <w:bCs/>
          <w:color w:val="000000"/>
        </w:rPr>
        <w:t>skadliga traditionella sedvänjor</w:t>
      </w:r>
    </w:p>
    <w:p w:rsidR="00ED44D4" w:rsidRPr="00E90528" w:rsidRDefault="00ED44D4">
      <w:pPr>
        <w:pStyle w:val="Par-dash"/>
        <w:tabs>
          <w:tab w:val="num" w:pos="1701"/>
        </w:tabs>
        <w:spacing w:line="240" w:lineRule="auto"/>
        <w:ind w:left="1701" w:hanging="567"/>
        <w:rPr>
          <w:b/>
          <w:bCs/>
        </w:rPr>
      </w:pPr>
      <w:r w:rsidRPr="00E90528">
        <w:rPr>
          <w:b/>
          <w:bCs/>
        </w:rPr>
        <w:t>Information från ordförandeskapet</w:t>
      </w:r>
    </w:p>
    <w:p w:rsidR="00ED44D4" w:rsidRPr="00E90528" w:rsidRDefault="00ED44D4">
      <w:pPr>
        <w:rPr>
          <w:i/>
          <w:iCs/>
        </w:rPr>
      </w:pPr>
    </w:p>
    <w:p w:rsidR="00ED44D4" w:rsidRPr="00E90528" w:rsidRDefault="00ED44D4">
      <w:pPr>
        <w:tabs>
          <w:tab w:val="left" w:pos="-600"/>
          <w:tab w:val="left" w:pos="2160"/>
        </w:tabs>
        <w:spacing w:line="240" w:lineRule="auto"/>
        <w:ind w:firstLine="11"/>
        <w:outlineLvl w:val="0"/>
      </w:pPr>
      <w:r w:rsidRPr="00E90528">
        <w:t>Information från konferens i Bryssel den 25 januari 2006.</w:t>
      </w:r>
    </w:p>
    <w:p w:rsidR="00ED44D4" w:rsidRPr="00E90528" w:rsidRDefault="00ED44D4">
      <w:pPr>
        <w:tabs>
          <w:tab w:val="left" w:pos="-600"/>
          <w:tab w:val="left" w:pos="2160"/>
        </w:tabs>
        <w:spacing w:line="240" w:lineRule="auto"/>
        <w:ind w:firstLine="11"/>
        <w:outlineLvl w:val="0"/>
      </w:pPr>
    </w:p>
    <w:p w:rsidR="00ED44D4" w:rsidRPr="00E90528" w:rsidRDefault="00ED44D4">
      <w:pPr>
        <w:tabs>
          <w:tab w:val="left" w:pos="-600"/>
          <w:tab w:val="left" w:pos="2160"/>
        </w:tabs>
        <w:spacing w:line="240" w:lineRule="auto"/>
        <w:ind w:left="1134" w:hanging="567"/>
        <w:outlineLvl w:val="0"/>
        <w:rPr>
          <w:b/>
          <w:bCs/>
        </w:rPr>
      </w:pPr>
      <w:r w:rsidRPr="00E90528">
        <w:rPr>
          <w:b/>
          <w:bCs/>
        </w:rPr>
        <w:t>(k)</w:t>
      </w:r>
      <w:r w:rsidRPr="00E90528">
        <w:rPr>
          <w:b/>
          <w:bCs/>
        </w:rPr>
        <w:tab/>
        <w:t>K</w:t>
      </w:r>
      <w:r w:rsidRPr="00E90528">
        <w:rPr>
          <w:b/>
          <w:bCs/>
          <w:color w:val="000000"/>
        </w:rPr>
        <w:t>onferens om e-hälsovård i</w:t>
      </w:r>
      <w:r w:rsidRPr="00E90528">
        <w:rPr>
          <w:b/>
          <w:bCs/>
        </w:rPr>
        <w:t xml:space="preserve"> Malaga</w:t>
      </w:r>
    </w:p>
    <w:p w:rsidR="00ED44D4" w:rsidRPr="00E90528" w:rsidRDefault="00ED44D4">
      <w:pPr>
        <w:pStyle w:val="Par-dash"/>
        <w:tabs>
          <w:tab w:val="num" w:pos="1701"/>
        </w:tabs>
        <w:spacing w:line="240" w:lineRule="auto"/>
        <w:ind w:left="1701" w:hanging="567"/>
        <w:rPr>
          <w:b/>
          <w:bCs/>
        </w:rPr>
      </w:pPr>
      <w:r w:rsidRPr="00E90528">
        <w:rPr>
          <w:b/>
          <w:bCs/>
        </w:rPr>
        <w:t>Information från ordförandeskapet och kommissionen</w:t>
      </w:r>
    </w:p>
    <w:p w:rsidR="00ED44D4" w:rsidRPr="00E90528" w:rsidRDefault="00ED44D4">
      <w:pPr>
        <w:rPr>
          <w:i/>
          <w:iCs/>
        </w:rPr>
      </w:pPr>
    </w:p>
    <w:p w:rsidR="00ED44D4" w:rsidRPr="00E90528" w:rsidRDefault="00ED44D4">
      <w:pPr>
        <w:rPr>
          <w:i/>
          <w:iCs/>
        </w:rPr>
      </w:pPr>
      <w:r w:rsidRPr="00E90528">
        <w:rPr>
          <w:i/>
          <w:iCs/>
        </w:rPr>
        <w:t xml:space="preserve">Kommissionen ordnar varje år en europeisk högnivåkonferens om e-hälsa och på rådet kommer ordförandeskapet och kommissionen att lämna information om den senaste konferensen som hölls i Malaga den 9-12 maj i år. </w:t>
      </w:r>
    </w:p>
    <w:p w:rsidR="00ED44D4" w:rsidRPr="00E90528" w:rsidRDefault="00ED44D4">
      <w:pPr>
        <w:tabs>
          <w:tab w:val="left" w:pos="-600"/>
          <w:tab w:val="left" w:pos="2160"/>
        </w:tabs>
        <w:spacing w:line="240" w:lineRule="auto"/>
        <w:ind w:firstLine="11"/>
        <w:outlineLvl w:val="0"/>
      </w:pPr>
    </w:p>
    <w:p w:rsidR="00ED44D4" w:rsidRPr="00E90528" w:rsidRDefault="00ED44D4">
      <w:pPr>
        <w:tabs>
          <w:tab w:val="left" w:pos="-600"/>
          <w:tab w:val="left" w:pos="2160"/>
        </w:tabs>
        <w:spacing w:line="240" w:lineRule="auto"/>
        <w:ind w:left="1134" w:hanging="567"/>
        <w:outlineLvl w:val="0"/>
        <w:rPr>
          <w:b/>
          <w:bCs/>
        </w:rPr>
      </w:pPr>
      <w:r w:rsidRPr="00E90528">
        <w:rPr>
          <w:b/>
          <w:bCs/>
        </w:rPr>
        <w:t>(l)</w:t>
      </w:r>
      <w:r w:rsidRPr="00E90528">
        <w:rPr>
          <w:b/>
          <w:bCs/>
        </w:rPr>
        <w:tab/>
        <w:t>R</w:t>
      </w:r>
      <w:r w:rsidRPr="00E90528">
        <w:rPr>
          <w:b/>
          <w:bCs/>
          <w:color w:val="000000"/>
        </w:rPr>
        <w:t>amkonvention om tobakskontroll</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rPr>
          <w:i/>
          <w:iCs/>
        </w:rPr>
      </w:pPr>
    </w:p>
    <w:p w:rsidR="00ED44D4" w:rsidRPr="00E90528" w:rsidRDefault="00ED44D4">
      <w:pPr>
        <w:rPr>
          <w:i/>
          <w:iCs/>
        </w:rPr>
      </w:pPr>
      <w:r w:rsidRPr="00E90528">
        <w:rPr>
          <w:i/>
          <w:iCs/>
        </w:rPr>
        <w:t xml:space="preserve">Det första partsmötet om WHO:s ramkonvention för tobakskontroll hölls i februari i år. På rådet väntas kommissionen informera om de fortlöpande förhandlingarna.  </w:t>
      </w:r>
    </w:p>
    <w:p w:rsidR="00ED44D4" w:rsidRPr="00E90528" w:rsidRDefault="00ED44D4">
      <w:pPr>
        <w:tabs>
          <w:tab w:val="left" w:pos="-600"/>
          <w:tab w:val="left" w:pos="2160"/>
        </w:tabs>
        <w:spacing w:line="240" w:lineRule="auto"/>
        <w:ind w:firstLine="11"/>
        <w:rPr>
          <w:b/>
          <w:bCs/>
        </w:rPr>
      </w:pPr>
    </w:p>
    <w:p w:rsidR="00ED44D4" w:rsidRPr="00E90528" w:rsidRDefault="00ED44D4">
      <w:pPr>
        <w:pStyle w:val="Par-number1"/>
        <w:tabs>
          <w:tab w:val="clear" w:pos="360"/>
          <w:tab w:val="left" w:pos="-600"/>
        </w:tabs>
        <w:spacing w:line="240" w:lineRule="auto"/>
        <w:ind w:left="567"/>
        <w:outlineLvl w:val="0"/>
        <w:rPr>
          <w:b/>
          <w:bCs/>
          <w:szCs w:val="24"/>
        </w:rPr>
      </w:pPr>
      <w:r w:rsidRPr="00E90528">
        <w:rPr>
          <w:b/>
          <w:bCs/>
          <w:szCs w:val="24"/>
        </w:rPr>
        <w:t>(m)</w:t>
      </w:r>
      <w:r w:rsidRPr="00E90528">
        <w:rPr>
          <w:b/>
          <w:bCs/>
          <w:szCs w:val="24"/>
        </w:rPr>
        <w:tab/>
      </w:r>
      <w:r w:rsidRPr="00E90528">
        <w:rPr>
          <w:b/>
          <w:bCs/>
          <w:color w:val="000000"/>
        </w:rPr>
        <w:t>Kommissionens högnivågrupp för hälso</w:t>
      </w:r>
      <w:r w:rsidRPr="00E90528">
        <w:rPr>
          <w:b/>
          <w:bCs/>
          <w:color w:val="000000"/>
        </w:rPr>
        <w:noBreakHyphen/>
        <w:t xml:space="preserve"> och sjukvård</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rPr>
          <w:i/>
          <w:iCs/>
        </w:rPr>
      </w:pPr>
    </w:p>
    <w:p w:rsidR="00ED44D4" w:rsidRPr="00E90528" w:rsidRDefault="00ED44D4">
      <w:pPr>
        <w:rPr>
          <w:i/>
          <w:iCs/>
        </w:rPr>
      </w:pPr>
      <w:r w:rsidRPr="00E90528">
        <w:rPr>
          <w:i/>
          <w:iCs/>
        </w:rPr>
        <w:t xml:space="preserve">Våren 2004 tog kommissionen initiativ till en högnivågrupp för att underlätta hälso- och sjukvårdssamarbete inom områden med ett tydligt europeiskt mervärde. Arbete pågår inom sex områden: europeiska referenscentra, patientsäkerhet, gränsöverskridande vård, hälsopersonalens rörlighet, e-hälsa och hälsosystemkonsekvensbedömningar. På rådet kommer kommissionen att lämna information om gruppen arbete. </w:t>
      </w:r>
    </w:p>
    <w:p w:rsidR="00ED44D4" w:rsidRPr="00E90528" w:rsidRDefault="00ED44D4">
      <w:pPr>
        <w:rPr>
          <w:b/>
          <w:bCs/>
        </w:rPr>
      </w:pPr>
    </w:p>
    <w:p w:rsidR="00ED44D4" w:rsidRPr="00E90528" w:rsidRDefault="00ED44D4">
      <w:pPr>
        <w:spacing w:line="240" w:lineRule="auto"/>
        <w:ind w:firstLine="578"/>
        <w:rPr>
          <w:b/>
          <w:bCs/>
        </w:rPr>
      </w:pPr>
      <w:r w:rsidRPr="00E90528">
        <w:rPr>
          <w:b/>
          <w:bCs/>
        </w:rPr>
        <w:t>(n)</w:t>
      </w:r>
      <w:r w:rsidRPr="00E90528">
        <w:rPr>
          <w:b/>
          <w:bCs/>
        </w:rPr>
        <w:tab/>
        <w:t>Psykisk hälsa</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rPr>
          <w:i/>
          <w:iCs/>
        </w:rPr>
      </w:pPr>
    </w:p>
    <w:p w:rsidR="00ED44D4" w:rsidRPr="00E90528" w:rsidRDefault="00ED44D4">
      <w:r w:rsidRPr="00E90528">
        <w:rPr>
          <w:i/>
          <w:iCs/>
        </w:rPr>
        <w:t xml:space="preserve">I oktober 2005 presenterade kommissionen en grönbok kring psykisk hälsa. Syftet är att framhålla psykisk hälsa som ett viktigt politikområde, att få en mer sammanhållen politik och skapa ett informationsutbyte mellan medlemsstater. Grönboken är föremål för en konsultationsprocess och på rådet kommer kommissionen att lämna information om det arbetet. </w:t>
      </w:r>
      <w:r w:rsidRPr="00E90528">
        <w:t xml:space="preserve"> </w:t>
      </w:r>
    </w:p>
    <w:p w:rsidR="00ED44D4" w:rsidRPr="00E90528" w:rsidRDefault="00ED44D4">
      <w:pPr>
        <w:rPr>
          <w:i/>
          <w:iCs/>
        </w:rPr>
      </w:pPr>
    </w:p>
    <w:p w:rsidR="00ED44D4" w:rsidRPr="00E90528" w:rsidRDefault="00ED44D4">
      <w:pPr>
        <w:tabs>
          <w:tab w:val="left" w:pos="-600"/>
          <w:tab w:val="left" w:pos="2160"/>
        </w:tabs>
        <w:spacing w:line="240" w:lineRule="auto"/>
        <w:ind w:left="1134" w:hanging="567"/>
        <w:outlineLvl w:val="0"/>
        <w:rPr>
          <w:b/>
          <w:bCs/>
        </w:rPr>
      </w:pPr>
      <w:r w:rsidRPr="00E90528">
        <w:rPr>
          <w:b/>
          <w:bCs/>
        </w:rPr>
        <w:t xml:space="preserve"> (o)</w:t>
      </w:r>
      <w:r w:rsidRPr="00E90528">
        <w:rPr>
          <w:b/>
          <w:bCs/>
        </w:rPr>
        <w:tab/>
        <w:t>Strategi efter G10</w:t>
      </w:r>
    </w:p>
    <w:p w:rsidR="00ED44D4" w:rsidRPr="00E90528" w:rsidRDefault="00ED44D4">
      <w:pPr>
        <w:pStyle w:val="Par-dash"/>
        <w:tabs>
          <w:tab w:val="num" w:pos="1701"/>
        </w:tabs>
        <w:spacing w:line="240" w:lineRule="auto"/>
        <w:ind w:left="1701" w:hanging="567"/>
        <w:rPr>
          <w:b/>
          <w:bCs/>
        </w:rPr>
      </w:pPr>
      <w:r w:rsidRPr="00E90528">
        <w:rPr>
          <w:b/>
          <w:bCs/>
        </w:rPr>
        <w:t>Information från kommissionen</w:t>
      </w:r>
    </w:p>
    <w:p w:rsidR="00ED44D4" w:rsidRPr="00E90528" w:rsidRDefault="00ED44D4">
      <w:pPr>
        <w:rPr>
          <w:i/>
          <w:iCs/>
        </w:rPr>
      </w:pPr>
    </w:p>
    <w:p w:rsidR="00ED44D4" w:rsidRPr="00E90528" w:rsidRDefault="00ED44D4">
      <w:pPr>
        <w:rPr>
          <w:i/>
          <w:iCs/>
        </w:rPr>
      </w:pPr>
      <w:r w:rsidRPr="00E90528">
        <w:rPr>
          <w:i/>
          <w:iCs/>
        </w:rPr>
        <w:t xml:space="preserve">Det första partsmötet om WHO:s ramkonvention för tobakskontroll hölls i februari i år. På rådet väntas kommissionen informera om de fortlöpande förhandlingarna.  </w:t>
      </w: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left="1134" w:hanging="567"/>
        <w:outlineLvl w:val="0"/>
        <w:rPr>
          <w:b/>
          <w:bCs/>
        </w:rPr>
      </w:pPr>
      <w:r w:rsidRPr="00E90528">
        <w:rPr>
          <w:b/>
          <w:bCs/>
        </w:rPr>
        <w:t>(p)</w:t>
      </w:r>
      <w:r w:rsidRPr="00E90528">
        <w:rPr>
          <w:b/>
          <w:bCs/>
        </w:rPr>
        <w:tab/>
        <w:t xml:space="preserve">Kommissionens meddelande om förebyggande av personskador och främjande av säkerheten </w:t>
      </w:r>
    </w:p>
    <w:p w:rsidR="00ED44D4" w:rsidRPr="00E90528" w:rsidRDefault="00ED44D4">
      <w:pPr>
        <w:tabs>
          <w:tab w:val="left" w:pos="-600"/>
          <w:tab w:val="left" w:pos="1701"/>
        </w:tabs>
        <w:spacing w:line="240" w:lineRule="auto"/>
        <w:ind w:left="1134" w:hanging="567"/>
        <w:outlineLvl w:val="0"/>
        <w:rPr>
          <w:b/>
          <w:bCs/>
        </w:rPr>
      </w:pPr>
      <w:r w:rsidRPr="00E90528">
        <w:rPr>
          <w:b/>
          <w:bCs/>
        </w:rPr>
        <w:tab/>
        <w:t>–</w:t>
      </w:r>
      <w:r w:rsidRPr="00E90528">
        <w:rPr>
          <w:b/>
          <w:bCs/>
        </w:rPr>
        <w:tab/>
        <w:t>Information från kommissionen</w:t>
      </w:r>
    </w:p>
    <w:p w:rsidR="00ED44D4" w:rsidRPr="00E90528" w:rsidRDefault="00ED44D4">
      <w:pPr>
        <w:rPr>
          <w:i/>
          <w:iCs/>
        </w:rPr>
      </w:pPr>
    </w:p>
    <w:p w:rsidR="00ED44D4" w:rsidRPr="00E90528" w:rsidRDefault="00ED44D4">
      <w:pPr>
        <w:rPr>
          <w:i/>
          <w:iCs/>
        </w:rPr>
      </w:pPr>
      <w:r w:rsidRPr="00E90528">
        <w:rPr>
          <w:i/>
          <w:iCs/>
        </w:rPr>
        <w:t xml:space="preserve">Våren 2004 tog kommissionen initiativ till en högnivågrupp för att underlätta hälso- och sjukvårdssamarbete inom områden med ett tydligt europeiskt mervärde. Arbete pågår inom sex områden: europeiska referenscentra, patientsäkerhet, gränsöverskridande vård, hälsopersonalens rörlighet, e-hälsa och hälsosystemkonsekvensbedömningar. På rådet kommer kommissionen att lämna information om gruppen arbete. </w:t>
      </w:r>
    </w:p>
    <w:p w:rsidR="00ED44D4" w:rsidRPr="00E90528" w:rsidRDefault="00ED44D4">
      <w:pPr>
        <w:tabs>
          <w:tab w:val="left" w:pos="-600"/>
          <w:tab w:val="left" w:pos="2160"/>
        </w:tabs>
        <w:spacing w:line="240" w:lineRule="auto"/>
        <w:ind w:firstLine="11"/>
        <w:outlineLvl w:val="0"/>
      </w:pPr>
    </w:p>
    <w:p w:rsidR="00ED44D4" w:rsidRPr="00E90528" w:rsidRDefault="00ED44D4">
      <w:pPr>
        <w:tabs>
          <w:tab w:val="left" w:pos="-600"/>
          <w:tab w:val="left" w:pos="2160"/>
        </w:tabs>
        <w:spacing w:line="240" w:lineRule="auto"/>
        <w:ind w:left="1134" w:hanging="567"/>
        <w:outlineLvl w:val="0"/>
        <w:rPr>
          <w:b/>
          <w:bCs/>
        </w:rPr>
      </w:pPr>
      <w:r w:rsidRPr="00E90528">
        <w:rPr>
          <w:b/>
          <w:bCs/>
        </w:rPr>
        <w:t>(q)</w:t>
      </w:r>
      <w:r w:rsidRPr="00E90528">
        <w:rPr>
          <w:b/>
          <w:bCs/>
        </w:rPr>
        <w:tab/>
        <w:t>Kommissionens meddelande om EU:s alkoholstrategi</w:t>
      </w:r>
    </w:p>
    <w:p w:rsidR="00ED44D4" w:rsidRPr="00E90528" w:rsidRDefault="00ED44D4">
      <w:pPr>
        <w:pStyle w:val="Par-dash"/>
        <w:tabs>
          <w:tab w:val="num" w:pos="1701"/>
        </w:tabs>
        <w:ind w:left="1701" w:hanging="567"/>
        <w:rPr>
          <w:b/>
          <w:bCs/>
        </w:rPr>
      </w:pPr>
      <w:r w:rsidRPr="00E90528">
        <w:rPr>
          <w:b/>
          <w:bCs/>
        </w:rPr>
        <w:t>Information från kommissionen</w:t>
      </w: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1440"/>
          <w:tab w:val="left" w:pos="2160"/>
        </w:tabs>
        <w:rPr>
          <w:i/>
          <w:iCs/>
        </w:rPr>
      </w:pPr>
      <w:r w:rsidRPr="00E90528">
        <w:rPr>
          <w:i/>
          <w:iCs/>
        </w:rPr>
        <w:t>Sverige har begärt att en lägesrapport om arbetet med den kommande alkoholstrategin ska presenteras på rådet och kommissionen kommer att lämna en sådan.</w:t>
      </w:r>
      <w:r w:rsidRPr="00E90528">
        <w:rPr>
          <w:i/>
          <w:iCs/>
        </w:rPr>
        <w:t xml:space="preserve"> </w:t>
      </w:r>
    </w:p>
    <w:p w:rsidR="00ED44D4" w:rsidRPr="00E90528" w:rsidRDefault="00ED44D4">
      <w:pPr>
        <w:tabs>
          <w:tab w:val="left" w:pos="-600"/>
          <w:tab w:val="left" w:pos="2160"/>
        </w:tabs>
        <w:spacing w:line="240" w:lineRule="auto"/>
        <w:ind w:firstLine="11"/>
      </w:pPr>
    </w:p>
    <w:p w:rsidR="00ED44D4" w:rsidRPr="00E90528" w:rsidRDefault="00ED44D4">
      <w:pPr>
        <w:jc w:val="center"/>
      </w:pPr>
      <w:r w:rsidRPr="00E90528">
        <w:t>________________________</w:t>
      </w: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firstLine="11"/>
      </w:pPr>
    </w:p>
    <w:p w:rsidR="00ED44D4" w:rsidRPr="00E90528" w:rsidRDefault="00ED44D4">
      <w:pPr>
        <w:tabs>
          <w:tab w:val="left" w:pos="-600"/>
          <w:tab w:val="left" w:pos="2160"/>
        </w:tabs>
        <w:spacing w:line="240" w:lineRule="auto"/>
        <w:ind w:firstLine="11"/>
      </w:pPr>
    </w:p>
    <w:p w:rsidR="00ED44D4" w:rsidRPr="00E90528" w:rsidRDefault="00ED44D4">
      <w:pPr>
        <w:pStyle w:val="Par-dash"/>
        <w:tabs>
          <w:tab w:val="clear" w:pos="360"/>
          <w:tab w:val="left" w:pos="720"/>
        </w:tabs>
        <w:spacing w:line="240" w:lineRule="auto"/>
        <w:ind w:left="1428" w:hanging="1428"/>
      </w:pPr>
      <w:r w:rsidRPr="00E90528">
        <w:t>______________</w:t>
      </w:r>
    </w:p>
    <w:p w:rsidR="00ED44D4" w:rsidRPr="00E90528" w:rsidRDefault="00ED44D4">
      <w:pPr>
        <w:pStyle w:val="Par-dash"/>
        <w:tabs>
          <w:tab w:val="clear" w:pos="360"/>
          <w:tab w:val="left" w:pos="720"/>
        </w:tabs>
        <w:spacing w:line="240" w:lineRule="auto"/>
        <w:ind w:left="720" w:hanging="720"/>
      </w:pPr>
      <w:r w:rsidRPr="00E90528">
        <w:t>(*)</w:t>
      </w:r>
      <w:r w:rsidRPr="00E90528">
        <w:tab/>
      </w:r>
      <w:r w:rsidRPr="00E90528">
        <w:rPr>
          <w:color w:val="000000"/>
        </w:rPr>
        <w:t>Punkt där omröstning kan begäras.</w:t>
      </w:r>
    </w:p>
    <w:p w:rsidR="00ED44D4" w:rsidRPr="00E90528" w:rsidRDefault="00ED44D4">
      <w:pPr>
        <w:spacing w:line="240" w:lineRule="auto"/>
        <w:ind w:left="720" w:hanging="720"/>
      </w:pPr>
      <w:r w:rsidRPr="00E90528">
        <w:t>(R)</w:t>
      </w:r>
      <w:r w:rsidRPr="00E90528">
        <w:tab/>
        <w:t>Rättsakt.</w:t>
      </w:r>
    </w:p>
    <w:p w:rsidR="00ED44D4" w:rsidRPr="00E90528" w:rsidRDefault="00ED44D4">
      <w:pPr>
        <w:spacing w:line="240" w:lineRule="auto"/>
      </w:pPr>
    </w:p>
    <w:p w:rsidR="00ED44D4" w:rsidRPr="00E90528" w:rsidRDefault="00ED44D4">
      <w:pPr>
        <w:spacing w:line="240" w:lineRule="auto"/>
      </w:pPr>
    </w:p>
    <w:p w:rsidR="00ED44D4" w:rsidRPr="00E90528" w:rsidRDefault="00ED44D4">
      <w:pPr>
        <w:spacing w:line="240" w:lineRule="auto"/>
      </w:pPr>
    </w:p>
    <w:p w:rsidR="00ED44D4" w:rsidRPr="00E90528" w:rsidRDefault="00ED44D4">
      <w:pPr>
        <w:spacing w:line="240" w:lineRule="auto"/>
      </w:pPr>
    </w:p>
    <w:p w:rsidR="00ED44D4" w:rsidRPr="00E90528" w:rsidRDefault="00ED44D4">
      <w:pPr>
        <w:pStyle w:val="RKnormal"/>
      </w:pPr>
    </w:p>
    <w:sectPr w:rsidR="00ED44D4" w:rsidRPr="00E9052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4D4" w:rsidRPr="00E90528" w:rsidRDefault="00ED44D4">
      <w:pPr>
        <w:spacing w:line="240" w:lineRule="auto"/>
      </w:pPr>
      <w:r w:rsidRPr="00E90528">
        <w:separator/>
      </w:r>
    </w:p>
  </w:endnote>
  <w:endnote w:type="continuationSeparator" w:id="0">
    <w:p w:rsidR="00ED44D4" w:rsidRPr="00E90528" w:rsidRDefault="00ED44D4">
      <w:pPr>
        <w:spacing w:line="240" w:lineRule="auto"/>
      </w:pPr>
      <w:r w:rsidRPr="00E90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4D4" w:rsidRPr="00E90528" w:rsidRDefault="00ED44D4">
      <w:pPr>
        <w:spacing w:line="240" w:lineRule="auto"/>
      </w:pPr>
      <w:r w:rsidRPr="00E90528">
        <w:separator/>
      </w:r>
    </w:p>
  </w:footnote>
  <w:footnote w:type="continuationSeparator" w:id="0">
    <w:p w:rsidR="00ED44D4" w:rsidRPr="00E90528" w:rsidRDefault="00ED44D4">
      <w:pPr>
        <w:spacing w:line="240" w:lineRule="auto"/>
      </w:pPr>
      <w:r w:rsidRPr="00E90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D4" w:rsidRPr="00E90528" w:rsidRDefault="00ED44D4">
    <w:pPr>
      <w:pStyle w:val="Sidhuvud"/>
      <w:framePr w:wrap="around" w:vAnchor="text" w:hAnchor="margin" w:xAlign="right" w:y="1"/>
      <w:rPr>
        <w:rStyle w:val="Sidnummer"/>
      </w:rPr>
    </w:pPr>
    <w:r w:rsidRPr="00E90528">
      <w:rPr>
        <w:rStyle w:val="Sidnummer"/>
      </w:rPr>
      <w:fldChar w:fldCharType="begin" w:fldLock="1"/>
    </w:r>
    <w:r w:rsidRPr="00E90528">
      <w:rPr>
        <w:rStyle w:val="Sidnummer"/>
      </w:rPr>
      <w:instrText xml:space="preserve">PAGE  </w:instrText>
    </w:r>
    <w:r w:rsidRPr="00E90528">
      <w:rPr>
        <w:rStyle w:val="Sidnummer"/>
      </w:rPr>
      <w:fldChar w:fldCharType="separate"/>
    </w:r>
    <w:r w:rsidRPr="00E90528">
      <w:rPr>
        <w:rStyle w:val="Sidnummer"/>
      </w:rPr>
      <w:t>14</w:t>
    </w:r>
    <w:r w:rsidRPr="00E905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90528">
      <w:tblPrEx>
        <w:tblCellMar>
          <w:top w:w="0" w:type="dxa"/>
          <w:bottom w:w="0" w:type="dxa"/>
        </w:tblCellMar>
      </w:tblPrEx>
      <w:trPr>
        <w:cantSplit/>
      </w:trPr>
      <w:tc>
        <w:tcPr>
          <w:tcW w:w="3119" w:type="dxa"/>
        </w:tcPr>
        <w:p w:rsidR="00ED44D4" w:rsidRPr="00E90528" w:rsidRDefault="00ED44D4">
          <w:pPr>
            <w:pStyle w:val="Sidhuvud"/>
            <w:spacing w:line="200" w:lineRule="atLeast"/>
            <w:ind w:right="357"/>
            <w:rPr>
              <w:rFonts w:ascii="TradeGothic" w:hAnsi="TradeGothic"/>
              <w:b/>
              <w:bCs/>
              <w:sz w:val="16"/>
            </w:rPr>
          </w:pPr>
        </w:p>
      </w:tc>
      <w:tc>
        <w:tcPr>
          <w:tcW w:w="4111" w:type="dxa"/>
          <w:tcMar>
            <w:left w:w="567" w:type="dxa"/>
          </w:tcMar>
        </w:tcPr>
        <w:p w:rsidR="00ED44D4" w:rsidRPr="00E90528" w:rsidRDefault="00ED44D4">
          <w:pPr>
            <w:pStyle w:val="Sidhuvud"/>
            <w:ind w:right="360"/>
          </w:pPr>
        </w:p>
      </w:tc>
      <w:tc>
        <w:tcPr>
          <w:tcW w:w="1525" w:type="dxa"/>
        </w:tcPr>
        <w:p w:rsidR="00ED44D4" w:rsidRPr="00E90528" w:rsidRDefault="00ED44D4">
          <w:pPr>
            <w:pStyle w:val="Sidhuvud"/>
            <w:ind w:right="360"/>
          </w:pPr>
        </w:p>
      </w:tc>
    </w:tr>
  </w:tbl>
  <w:p w:rsidR="00ED44D4" w:rsidRPr="00E90528" w:rsidRDefault="00ED44D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D4" w:rsidRPr="00E90528" w:rsidRDefault="00ED44D4">
    <w:pPr>
      <w:pStyle w:val="Sidhuvud"/>
      <w:framePr w:wrap="around" w:vAnchor="text" w:hAnchor="margin" w:xAlign="right" w:y="1"/>
      <w:rPr>
        <w:rStyle w:val="Sidnummer"/>
      </w:rPr>
    </w:pPr>
    <w:r w:rsidRPr="00E90528">
      <w:rPr>
        <w:rStyle w:val="Sidnummer"/>
      </w:rPr>
      <w:fldChar w:fldCharType="begin" w:fldLock="1"/>
    </w:r>
    <w:r w:rsidRPr="00E90528">
      <w:rPr>
        <w:rStyle w:val="Sidnummer"/>
      </w:rPr>
      <w:instrText xml:space="preserve">PAGE  </w:instrText>
    </w:r>
    <w:r w:rsidRPr="00E90528">
      <w:rPr>
        <w:rStyle w:val="Sidnummer"/>
      </w:rPr>
      <w:fldChar w:fldCharType="separate"/>
    </w:r>
    <w:r w:rsidRPr="00E90528">
      <w:rPr>
        <w:rStyle w:val="Sidnummer"/>
      </w:rPr>
      <w:t>13</w:t>
    </w:r>
    <w:r w:rsidRPr="00E905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90528">
      <w:tblPrEx>
        <w:tblCellMar>
          <w:top w:w="0" w:type="dxa"/>
          <w:bottom w:w="0" w:type="dxa"/>
        </w:tblCellMar>
      </w:tblPrEx>
      <w:trPr>
        <w:cantSplit/>
      </w:trPr>
      <w:tc>
        <w:tcPr>
          <w:tcW w:w="3119" w:type="dxa"/>
        </w:tcPr>
        <w:p w:rsidR="00ED44D4" w:rsidRPr="00E90528" w:rsidRDefault="00ED44D4">
          <w:pPr>
            <w:pStyle w:val="Sidhuvud"/>
            <w:spacing w:line="200" w:lineRule="atLeast"/>
            <w:ind w:right="357"/>
            <w:rPr>
              <w:rFonts w:ascii="TradeGothic" w:hAnsi="TradeGothic"/>
              <w:b/>
              <w:bCs/>
              <w:sz w:val="16"/>
            </w:rPr>
          </w:pPr>
        </w:p>
      </w:tc>
      <w:tc>
        <w:tcPr>
          <w:tcW w:w="4111" w:type="dxa"/>
          <w:tcMar>
            <w:left w:w="567" w:type="dxa"/>
          </w:tcMar>
        </w:tcPr>
        <w:p w:rsidR="00ED44D4" w:rsidRPr="00E90528" w:rsidRDefault="00ED44D4">
          <w:pPr>
            <w:pStyle w:val="Sidhuvud"/>
            <w:ind w:right="360"/>
          </w:pPr>
        </w:p>
      </w:tc>
      <w:tc>
        <w:tcPr>
          <w:tcW w:w="1525" w:type="dxa"/>
        </w:tcPr>
        <w:p w:rsidR="00ED44D4" w:rsidRPr="00E90528" w:rsidRDefault="00ED44D4">
          <w:pPr>
            <w:pStyle w:val="Sidhuvud"/>
            <w:ind w:right="360"/>
          </w:pPr>
        </w:p>
      </w:tc>
    </w:tr>
  </w:tbl>
  <w:p w:rsidR="00ED44D4" w:rsidRPr="00E90528" w:rsidRDefault="00ED44D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D4" w:rsidRPr="00E90528" w:rsidRDefault="00E90528">
    <w:pPr>
      <w:framePr w:w="2948" w:h="1321" w:hRule="exact" w:wrap="notBeside" w:vAnchor="page" w:hAnchor="page" w:x="1362" w:y="653"/>
    </w:pPr>
    <w:r w:rsidRPr="00E9052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D44D4" w:rsidRPr="00E90528" w:rsidRDefault="00ED44D4">
    <w:pPr>
      <w:pStyle w:val="RKrubrik"/>
      <w:keepNext w:val="0"/>
      <w:tabs>
        <w:tab w:val="clear" w:pos="1134"/>
        <w:tab w:val="clear" w:pos="2835"/>
      </w:tabs>
      <w:spacing w:before="0" w:after="0" w:line="320" w:lineRule="atLeast"/>
      <w:rPr>
        <w:bCs/>
      </w:rPr>
    </w:pPr>
  </w:p>
  <w:p w:rsidR="00ED44D4" w:rsidRPr="00E90528" w:rsidRDefault="00ED44D4">
    <w:pPr>
      <w:rPr>
        <w:rFonts w:ascii="TradeGothic" w:hAnsi="TradeGothic"/>
        <w:b/>
        <w:bCs/>
        <w:spacing w:val="12"/>
        <w:sz w:val="22"/>
      </w:rPr>
    </w:pPr>
  </w:p>
  <w:p w:rsidR="00ED44D4" w:rsidRPr="00E90528" w:rsidRDefault="00ED44D4">
    <w:pPr>
      <w:pStyle w:val="RKrubrik"/>
      <w:keepNext w:val="0"/>
      <w:tabs>
        <w:tab w:val="clear" w:pos="1134"/>
        <w:tab w:val="clear" w:pos="2835"/>
      </w:tabs>
      <w:spacing w:before="0" w:after="0" w:line="320" w:lineRule="atLeast"/>
      <w:rPr>
        <w:bCs/>
      </w:rPr>
    </w:pPr>
  </w:p>
  <w:p w:rsidR="00ED44D4" w:rsidRPr="00E90528" w:rsidRDefault="00ED44D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F4273"/>
    <w:multiLevelType w:val="singleLevel"/>
    <w:tmpl w:val="6276CDDE"/>
    <w:lvl w:ilvl="0">
      <w:start w:val="1"/>
      <w:numFmt w:val="upperRoman"/>
      <w:lvlText w:val="%1."/>
      <w:lvlJc w:val="left"/>
      <w:pPr>
        <w:tabs>
          <w:tab w:val="num" w:pos="567"/>
        </w:tabs>
        <w:ind w:left="567" w:hanging="567"/>
      </w:pPr>
    </w:lvl>
  </w:abstractNum>
  <w:abstractNum w:abstractNumId="11"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4"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5" w15:restartNumberingAfterBreak="0">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22D918D1"/>
    <w:multiLevelType w:val="multilevel"/>
    <w:tmpl w:val="DE2606C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8" w15:restartNumberingAfterBreak="0">
    <w:nsid w:val="2D2D468B"/>
    <w:multiLevelType w:val="singleLevel"/>
    <w:tmpl w:val="A18042A8"/>
    <w:lvl w:ilvl="0">
      <w:start w:val="1"/>
      <w:numFmt w:val="upperLetter"/>
      <w:lvlText w:val="%1."/>
      <w:lvlJc w:val="left"/>
      <w:pPr>
        <w:tabs>
          <w:tab w:val="num" w:pos="567"/>
        </w:tabs>
        <w:ind w:left="567" w:hanging="567"/>
      </w:pPr>
    </w:lvl>
  </w:abstractNum>
  <w:abstractNum w:abstractNumId="19"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20"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2"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3" w15:restartNumberingAfterBreak="0">
    <w:nsid w:val="34EE5BB6"/>
    <w:multiLevelType w:val="hybridMultilevel"/>
    <w:tmpl w:val="845A1AF6"/>
    <w:lvl w:ilvl="0" w:tplc="FD00A604">
      <w:start w:val="3"/>
      <w:numFmt w:val="decimal"/>
      <w:lvlText w:val="%1."/>
      <w:lvlJc w:val="left"/>
      <w:pPr>
        <w:tabs>
          <w:tab w:val="num" w:pos="567"/>
        </w:tabs>
        <w:ind w:left="567" w:hanging="567"/>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lvlText w:val="%1)"/>
      <w:lvlJc w:val="left"/>
      <w:pPr>
        <w:tabs>
          <w:tab w:val="num" w:pos="567"/>
        </w:tabs>
        <w:ind w:left="567" w:hanging="567"/>
      </w:pPr>
    </w:lvl>
  </w:abstractNum>
  <w:abstractNum w:abstractNumId="29" w15:restartNumberingAfterBreak="0">
    <w:nsid w:val="4321140B"/>
    <w:multiLevelType w:val="singleLevel"/>
    <w:tmpl w:val="D69CE13E"/>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81F474C"/>
    <w:multiLevelType w:val="hybridMultilevel"/>
    <w:tmpl w:val="0D083246"/>
    <w:lvl w:ilvl="0" w:tplc="44BA1C3E">
      <w:start w:val="4"/>
      <w:numFmt w:val="decimal"/>
      <w:lvlText w:val="%1."/>
      <w:lvlJc w:val="left"/>
      <w:pPr>
        <w:tabs>
          <w:tab w:val="num" w:pos="567"/>
        </w:tabs>
        <w:ind w:left="567" w:hanging="567"/>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3" w15:restartNumberingAfterBreak="0">
    <w:nsid w:val="6E033FDA"/>
    <w:multiLevelType w:val="hybridMultilevel"/>
    <w:tmpl w:val="9356C79E"/>
    <w:lvl w:ilvl="0" w:tplc="8E38800C">
      <w:start w:val="5"/>
      <w:numFmt w:val="decimal"/>
      <w:lvlText w:val="%1."/>
      <w:lvlJc w:val="left"/>
      <w:pPr>
        <w:tabs>
          <w:tab w:val="num" w:pos="567"/>
        </w:tabs>
        <w:ind w:left="567" w:hanging="567"/>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4" w15:restartNumberingAfterBreak="0">
    <w:nsid w:val="6E4E71E4"/>
    <w:multiLevelType w:val="singleLevel"/>
    <w:tmpl w:val="21145626"/>
    <w:lvl w:ilvl="0">
      <w:start w:val="1"/>
      <w:numFmt w:val="decimal"/>
      <w:lvlText w:val="%1."/>
      <w:lvlJc w:val="left"/>
      <w:pPr>
        <w:tabs>
          <w:tab w:val="num" w:pos="567"/>
        </w:tabs>
        <w:ind w:left="567" w:hanging="567"/>
      </w:pPr>
    </w:lvl>
  </w:abstractNum>
  <w:abstractNum w:abstractNumId="45" w15:restartNumberingAfterBreak="0">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abstractNum w:abstractNumId="46" w15:restartNumberingAfterBreak="0">
    <w:nsid w:val="7F430B81"/>
    <w:multiLevelType w:val="hybridMultilevel"/>
    <w:tmpl w:val="845C4C8C"/>
    <w:lvl w:ilvl="0" w:tplc="08EA64C2">
      <w:start w:val="1"/>
      <w:numFmt w:val="decimal"/>
      <w:lvlText w:val="%1."/>
      <w:lvlJc w:val="left"/>
      <w:pPr>
        <w:tabs>
          <w:tab w:val="num" w:pos="567"/>
        </w:tabs>
        <w:ind w:left="567" w:hanging="567"/>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1792243552">
    <w:abstractNumId w:val="9"/>
  </w:num>
  <w:num w:numId="2" w16cid:durableId="1774782890">
    <w:abstractNumId w:val="7"/>
  </w:num>
  <w:num w:numId="3" w16cid:durableId="1794596273">
    <w:abstractNumId w:val="6"/>
  </w:num>
  <w:num w:numId="4" w16cid:durableId="232737623">
    <w:abstractNumId w:val="5"/>
  </w:num>
  <w:num w:numId="5" w16cid:durableId="61872979">
    <w:abstractNumId w:val="4"/>
  </w:num>
  <w:num w:numId="6" w16cid:durableId="29497130">
    <w:abstractNumId w:val="8"/>
  </w:num>
  <w:num w:numId="7" w16cid:durableId="1331056260">
    <w:abstractNumId w:val="3"/>
  </w:num>
  <w:num w:numId="8" w16cid:durableId="1496140531">
    <w:abstractNumId w:val="2"/>
  </w:num>
  <w:num w:numId="9" w16cid:durableId="490827904">
    <w:abstractNumId w:val="1"/>
  </w:num>
  <w:num w:numId="10" w16cid:durableId="989015544">
    <w:abstractNumId w:val="0"/>
  </w:num>
  <w:num w:numId="11" w16cid:durableId="1056321289">
    <w:abstractNumId w:val="25"/>
  </w:num>
  <w:num w:numId="12" w16cid:durableId="743068371">
    <w:abstractNumId w:val="41"/>
  </w:num>
  <w:num w:numId="13" w16cid:durableId="1032806506">
    <w:abstractNumId w:val="40"/>
  </w:num>
  <w:num w:numId="14" w16cid:durableId="22564217">
    <w:abstractNumId w:val="31"/>
  </w:num>
  <w:num w:numId="15" w16cid:durableId="1523665329">
    <w:abstractNumId w:val="12"/>
  </w:num>
  <w:num w:numId="16" w16cid:durableId="1484468396">
    <w:abstractNumId w:val="33"/>
  </w:num>
  <w:num w:numId="17" w16cid:durableId="1723869011">
    <w:abstractNumId w:val="20"/>
  </w:num>
  <w:num w:numId="18" w16cid:durableId="1352879571">
    <w:abstractNumId w:val="14"/>
  </w:num>
  <w:num w:numId="19" w16cid:durableId="1264341933">
    <w:abstractNumId w:val="13"/>
  </w:num>
  <w:num w:numId="20" w16cid:durableId="1405714330">
    <w:abstractNumId w:val="37"/>
  </w:num>
  <w:num w:numId="21" w16cid:durableId="139075658">
    <w:abstractNumId w:val="39"/>
  </w:num>
  <w:num w:numId="22" w16cid:durableId="11149550">
    <w:abstractNumId w:val="32"/>
  </w:num>
  <w:num w:numId="23" w16cid:durableId="2095933041">
    <w:abstractNumId w:val="35"/>
  </w:num>
  <w:num w:numId="24" w16cid:durableId="1529953363">
    <w:abstractNumId w:val="24"/>
  </w:num>
  <w:num w:numId="25" w16cid:durableId="1792822222">
    <w:abstractNumId w:val="45"/>
  </w:num>
  <w:num w:numId="26" w16cid:durableId="1718510595">
    <w:abstractNumId w:val="30"/>
  </w:num>
  <w:num w:numId="27" w16cid:durableId="399332294">
    <w:abstractNumId w:val="22"/>
  </w:num>
  <w:num w:numId="28" w16cid:durableId="141240075">
    <w:abstractNumId w:val="26"/>
  </w:num>
  <w:num w:numId="29" w16cid:durableId="2041975077">
    <w:abstractNumId w:val="44"/>
  </w:num>
  <w:num w:numId="30" w16cid:durableId="1836916495">
    <w:abstractNumId w:val="10"/>
  </w:num>
  <w:num w:numId="31" w16cid:durableId="1120763818">
    <w:abstractNumId w:val="15"/>
  </w:num>
  <w:num w:numId="32" w16cid:durableId="1790664509">
    <w:abstractNumId w:val="21"/>
  </w:num>
  <w:num w:numId="33" w16cid:durableId="1804075728">
    <w:abstractNumId w:val="11"/>
  </w:num>
  <w:num w:numId="34" w16cid:durableId="421339112">
    <w:abstractNumId w:val="28"/>
  </w:num>
  <w:num w:numId="35" w16cid:durableId="1297373348">
    <w:abstractNumId w:val="18"/>
  </w:num>
  <w:num w:numId="36" w16cid:durableId="1217207483">
    <w:abstractNumId w:val="19"/>
  </w:num>
  <w:num w:numId="37" w16cid:durableId="1712724084">
    <w:abstractNumId w:val="27"/>
  </w:num>
  <w:num w:numId="38" w16cid:durableId="1309900178">
    <w:abstractNumId w:val="17"/>
  </w:num>
  <w:num w:numId="39" w16cid:durableId="401414098">
    <w:abstractNumId w:val="36"/>
  </w:num>
  <w:num w:numId="40" w16cid:durableId="57557331">
    <w:abstractNumId w:val="34"/>
  </w:num>
  <w:num w:numId="41" w16cid:durableId="1459688322">
    <w:abstractNumId w:val="38"/>
  </w:num>
  <w:num w:numId="42" w16cid:durableId="507255141">
    <w:abstractNumId w:val="16"/>
  </w:num>
  <w:num w:numId="43" w16cid:durableId="1916470780">
    <w:abstractNumId w:val="29"/>
  </w:num>
  <w:num w:numId="44" w16cid:durableId="1359939111">
    <w:abstractNumId w:val="46"/>
  </w:num>
  <w:num w:numId="45" w16cid:durableId="1148135330">
    <w:abstractNumId w:val="42"/>
  </w:num>
  <w:num w:numId="46" w16cid:durableId="907573865">
    <w:abstractNumId w:val="23"/>
  </w:num>
  <w:num w:numId="47" w16cid:durableId="17617578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CD19D6"/>
    <w:rsid w:val="00CD19D6"/>
    <w:rsid w:val="00E90528"/>
    <w:rsid w:val="00ED44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6C20F-D21C-4231-9808-E7B42297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2835"/>
      </w:tabs>
      <w:spacing w:line="240" w:lineRule="atLeast"/>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Par-numberi">
    <w:name w:val="Par-number (i)"/>
    <w:basedOn w:val="Normal"/>
    <w:next w:val="Normal"/>
    <w:pPr>
      <w:widowControl w:val="0"/>
      <w:numPr>
        <w:numId w:val="36"/>
      </w:numPr>
      <w:tabs>
        <w:tab w:val="clear" w:pos="720"/>
        <w:tab w:val="left" w:pos="567"/>
      </w:tabs>
      <w:overflowPunct/>
      <w:autoSpaceDE/>
      <w:autoSpaceDN/>
      <w:adjustRightInd/>
      <w:spacing w:line="360" w:lineRule="auto"/>
      <w:textAlignment w:val="auto"/>
    </w:pPr>
    <w:rPr>
      <w:rFonts w:ascii="Times New Roman" w:hAnsi="Times New Roman"/>
      <w:lang w:eastAsia="fr-BE"/>
    </w:rPr>
  </w:style>
  <w:style w:type="paragraph" w:customStyle="1" w:styleId="Par-numbera">
    <w:name w:val="Par-number (a)"/>
    <w:basedOn w:val="Normal"/>
    <w:next w:val="Normal"/>
    <w:pPr>
      <w:widowControl w:val="0"/>
      <w:numPr>
        <w:numId w:val="37"/>
      </w:numPr>
      <w:overflowPunct/>
      <w:autoSpaceDE/>
      <w:autoSpaceDN/>
      <w:adjustRightInd/>
      <w:spacing w:line="360" w:lineRule="auto"/>
      <w:textAlignment w:val="auto"/>
    </w:pPr>
    <w:rPr>
      <w:rFonts w:ascii="Times New Roman" w:hAnsi="Times New Roman"/>
      <w:lang w:eastAsia="fr-BE"/>
    </w:rPr>
  </w:style>
  <w:style w:type="paragraph" w:customStyle="1" w:styleId="Par-number1">
    <w:name w:val="Par-number 1."/>
    <w:basedOn w:val="Normal"/>
    <w:next w:val="Normal"/>
    <w:pPr>
      <w:widowControl w:val="0"/>
      <w:tabs>
        <w:tab w:val="num" w:pos="360"/>
      </w:tabs>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pPr>
      <w:widowControl w:val="0"/>
      <w:tabs>
        <w:tab w:val="num" w:pos="360"/>
      </w:tabs>
      <w:overflowPunct/>
      <w:autoSpaceDE/>
      <w:autoSpaceDN/>
      <w:adjustRightInd/>
      <w:spacing w:line="360" w:lineRule="auto"/>
      <w:textAlignment w:val="auto"/>
    </w:pPr>
    <w:rPr>
      <w:rFonts w:ascii="Times New Roman" w:hAnsi="Times New Roman"/>
      <w:lang w:eastAsia="fr-BE"/>
    </w:rPr>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bullet">
    <w:name w:val="Par-bullet"/>
    <w:basedOn w:val="Normal"/>
    <w:next w:val="Normal"/>
    <w:pPr>
      <w:widowControl w:val="0"/>
      <w:tabs>
        <w:tab w:val="num" w:pos="360"/>
      </w:tabs>
      <w:overflowPunct/>
      <w:autoSpaceDE/>
      <w:autoSpaceDN/>
      <w:adjustRightInd/>
      <w:spacing w:line="36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4145</Words>
  <Characters>26493</Characters>
  <Application>Microsoft Office Word</Application>
  <DocSecurity>4</DocSecurity>
  <Lines>802</Lines>
  <Paragraphs>360</Paragraphs>
  <ScaleCrop>false</ScaleCrop>
  <HeadingPairs>
    <vt:vector size="2" baseType="variant">
      <vt:variant>
        <vt:lpstr>Titel</vt:lpstr>
      </vt:variant>
      <vt:variant>
        <vt:i4>1</vt:i4>
      </vt:variant>
    </vt:vector>
  </HeadingPairs>
  <TitlesOfParts>
    <vt:vector size="1" baseType="lpstr">
      <vt:lpstr>EPSCO-rådet den 9-10 mars 2006 - Kommenterad dagordning</vt:lpstr>
    </vt:vector>
  </TitlesOfParts>
  <Company>Regeringskansliet</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EPSCO-rådet den 9-10 mars 2006 - Kommenterad dagordning</dc:title>
  <dc:subject>EPSCO-rådet den 9-10 mars 2006 - Kommenterad dagordning</dc:subject>
  <dc:creator>Riksdagen</dc:creator>
  <cp:keywords>Riksdagen</cp:keywords>
  <dc:description/>
  <cp:lastModifiedBy>Lars Brink</cp:lastModifiedBy>
  <cp:revision>2</cp:revision>
  <cp:lastPrinted>2000-01-21T13:02:00Z</cp:lastPrinted>
  <dcterms:created xsi:type="dcterms:W3CDTF">2025-12-16T23:09:00Z</dcterms:created>
  <dcterms:modified xsi:type="dcterms:W3CDTF">2025-12-16T23:09:00Z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7</vt:i4>
  </property>
</Properties>
</file>