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47F792C4" w:rsidR="00907069" w:rsidRDefault="00C85FE1" w:rsidP="001C2731">
          <w:pPr>
            <w:pStyle w:val="Sidhuvud"/>
            <w:ind w:left="3969" w:right="-567"/>
          </w:pPr>
          <w:r>
            <w:t>Riksdagså</w:t>
          </w:r>
          <w:r w:rsidR="00907069">
            <w:t xml:space="preserve">r: </w:t>
          </w:r>
          <w:sdt>
            <w:sdtPr>
              <w:alias w:val="Ar"/>
              <w:tag w:val="Ar"/>
              <w:id w:val="-280807286"/>
              <w:placeholder>
                <w:docPart w:val="3C5519AF1D96487BA80653E2F9D1043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F4D2E">
                <w:t>202</w:t>
              </w:r>
              <w:r w:rsidR="00BC7057">
                <w:t>5</w:t>
              </w:r>
              <w:r w:rsidR="002F4D2E">
                <w:t>/2</w:t>
              </w:r>
              <w:r w:rsidR="00BC7057">
                <w:t>6</w:t>
              </w:r>
            </w:sdtContent>
          </w:sdt>
        </w:p>
        <w:p w14:paraId="49EFBF47" w14:textId="6543E25B"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15271955F4DE4139B327E321C9BC2669"/>
              </w:placeholder>
              <w:dataBinding w:prefixMappings="xmlns:ns0='http://rk.se/faktapm' " w:xpath="/ns0:faktaPM[1]/ns0:Nr[1]" w:storeItemID="{0B9A7431-9D19-4C2A-8E12-639802D7B40B}"/>
              <w:text/>
            </w:sdtPr>
            <w:sdtEndPr/>
            <w:sdtContent>
              <w:r w:rsidR="00944956">
                <w:t>38</w:t>
              </w:r>
            </w:sdtContent>
          </w:sdt>
        </w:p>
        <w:sdt>
          <w:sdtPr>
            <w:alias w:val="Datum"/>
            <w:tag w:val="ccRKShow_UppDat"/>
            <w:id w:val="396561324"/>
            <w:placeholder>
              <w:docPart w:val="5C03D688C878400989A86D630C5E4A94"/>
            </w:placeholder>
            <w:dataBinding w:prefixMappings="xmlns:ns0='http://rk.se/faktapm' " w:xpath="/ns0:faktaPM[1]/ns0:UppDat[1]" w:storeItemID="{0B9A7431-9D19-4C2A-8E12-639802D7B40B}"/>
            <w:date w:fullDate="2025-11-27T00:00:00Z">
              <w:dateFormat w:val="yyyy-MM-dd"/>
              <w:lid w:val="sv-SE"/>
              <w:storeMappedDataAs w:val="dateTime"/>
              <w:calendar w:val="gregorian"/>
            </w:date>
          </w:sdtPr>
          <w:sdtEndPr/>
          <w:sdtContent>
            <w:p w14:paraId="0D89D16D" w14:textId="3A669DB0" w:rsidR="00907069" w:rsidRDefault="00944956" w:rsidP="001C2731">
              <w:pPr>
                <w:pStyle w:val="Sidhuvud"/>
                <w:spacing w:after="960"/>
                <w:ind w:left="3969" w:right="-567"/>
              </w:pPr>
              <w:r>
                <w:t>2025-11-27</w:t>
              </w:r>
            </w:p>
          </w:sdtContent>
        </w:sdt>
      </w:sdtContent>
    </w:sdt>
    <w:p w14:paraId="7B33F2C6" w14:textId="297E485B" w:rsidR="007D542F" w:rsidRDefault="00BD344A"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EndPr/>
            <w:sdtContent>
              <w:r w:rsidR="00F57179">
                <w:t>Förordning om fiskemöjligheter i EU:s vatten i Nordostatlanten och i vissa vatten utanför EU</w:t>
              </w:r>
              <w:r w:rsidR="00BC7057">
                <w:t xml:space="preserve"> för 2026</w:t>
              </w:r>
              <w:r w:rsidR="00471DFC">
                <w:t xml:space="preserve">, 2027 </w:t>
              </w:r>
              <w:r w:rsidR="00BC7057">
                <w:t>och 202</w:t>
              </w:r>
              <w:r w:rsidR="00471DFC">
                <w:t>8</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51E454BB" w:rsidR="007D542F" w:rsidRDefault="00BD344A"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1058A">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BD344A"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4436395C" w:rsidR="00390335" w:rsidRDefault="00BD344A" w:rsidP="00683680">
              <w:pPr>
                <w:pStyle w:val="Brdtext"/>
                <w:tabs>
                  <w:tab w:val="clear" w:pos="1701"/>
                  <w:tab w:val="clear" w:pos="3600"/>
                  <w:tab w:val="left" w:pos="2835"/>
                </w:tabs>
                <w:spacing w:after="80"/>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r w:rsidR="00683680">
                    <w:t>COM (202</w:t>
                  </w:r>
                  <w:r w:rsidR="00471DFC">
                    <w:t>5</w:t>
                  </w:r>
                  <w:r w:rsidR="00683680">
                    <w:t xml:space="preserve">) </w:t>
                  </w:r>
                  <w:r w:rsidR="00471DFC">
                    <w:t>662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0F569FC0A6948B89BB4B7D390884E07"/>
                  </w:placeholder>
                  <w:dataBinding w:prefixMappings="xmlns:ns0='http://rk.se/faktapm' " w:xpath="/ns0:faktaPM[1]/ns0:DokLista[1]/ns0:DokItem[1]/ns0:Celexnummer[1]" w:storeItemID="{0B9A7431-9D19-4C2A-8E12-639802D7B40B}"/>
                  <w:text/>
                </w:sdtPr>
                <w:sdtEndPr/>
                <w:sdtContent>
                  <w:r w:rsidR="00944956" w:rsidRPr="00944956">
                    <w:t>52025PC0662</w:t>
                  </w:r>
                </w:sdtContent>
              </w:sdt>
            </w:p>
            <w:p w14:paraId="6A89A8E7" w14:textId="6FF6FF0D" w:rsidR="007D542F" w:rsidRDefault="00BD344A" w:rsidP="00390335">
              <w:pPr>
                <w:pStyle w:val="Brdtext"/>
                <w:tabs>
                  <w:tab w:val="clear" w:pos="1701"/>
                  <w:tab w:val="clear" w:pos="3600"/>
                </w:tabs>
              </w:pPr>
              <w:sdt>
                <w:sdt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AA18F6" w:rsidRPr="00AA18F6">
                    <w:t>Förslag till RÅDETS FÖRORDNING om fastställande för 202</w:t>
                  </w:r>
                  <w:r w:rsidR="00BC7057">
                    <w:t>6</w:t>
                  </w:r>
                  <w:r w:rsidR="00471DFC">
                    <w:t>,</w:t>
                  </w:r>
                  <w:r w:rsidR="00AA18F6" w:rsidRPr="00AA18F6">
                    <w:t xml:space="preserve"> 202</w:t>
                  </w:r>
                  <w:r w:rsidR="00BC7057">
                    <w:t>7</w:t>
                  </w:r>
                  <w:r w:rsidR="00471DFC">
                    <w:t xml:space="preserve"> och 2028</w:t>
                  </w:r>
                  <w:r w:rsidR="00AA18F6" w:rsidRPr="00AA18F6">
                    <w:t xml:space="preserve"> av fiskemöjligheterna avseende vissa fiskbestånd, i unionens vatten, och för unionsfiskefartyg, i vissa andra vatten.</w:t>
                  </w:r>
                </w:sdtContent>
              </w:sdt>
            </w:p>
          </w:sdtContent>
        </w:sdt>
      </w:sdtContent>
    </w:sdt>
    <w:bookmarkStart w:id="1" w:name="_Toc93996728"/>
    <w:p w14:paraId="3E2198EF" w14:textId="77777777" w:rsidR="007D542F" w:rsidRDefault="00BD344A"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2754B126" w14:textId="108C1946" w:rsidR="008F3D70" w:rsidRPr="00514140" w:rsidRDefault="00683680" w:rsidP="008F3D70">
      <w:pPr>
        <w:pStyle w:val="Brdtext"/>
      </w:pPr>
      <w:bookmarkStart w:id="2" w:name="_Toc93996729"/>
      <w:r w:rsidRPr="00FF0AB8">
        <w:rPr>
          <w:rStyle w:val="BrdtextChar"/>
        </w:rPr>
        <w:t>Begränsningar av fångst och fiskeansträngning fastställs årligen genom olika förordningar</w:t>
      </w:r>
      <w:r w:rsidRPr="00FF0AB8">
        <w:t xml:space="preserve"> bland annat i förordningen om fiskemöjligheter i Nordostatlanten och i vissa vatten utanför EU. Politisk överenskommelse om denna förordning äger i regel rum på jordbruks- och fiskerådsmötet i december. Förslaget till förordning täcker dels de bestånd i EU:s vatten i Atlanten, Nordsjön, Skagerrak och Kattegatt för vilka unionen autonomt fattar beslut om nyttjandenivån, dels fiskemöjligheter utanför EU som förhandlas fram i samråd med tredjeländer eller inom ramen för regionala fiskeriförvaltningsorganisationer. Liksom tidigare år saknas än så länge angivna fångstnivåer för de bestånd som delas med tredje länder för vilka konsultationer pågår under hösten. Sedan Storbritanniens utträde ur unionen utgör dessa en majoritet av de fiskemöjligheter som ingår i förordningen.</w:t>
      </w:r>
      <w:r w:rsidR="00E74964" w:rsidRPr="00FF0AB8">
        <w:t xml:space="preserve"> Förordningen har sedan 2019 även innehållit stängningsperiod</w:t>
      </w:r>
      <w:r w:rsidR="00EC189A">
        <w:t>er</w:t>
      </w:r>
      <w:r w:rsidR="00E74964" w:rsidRPr="00FF0AB8">
        <w:t xml:space="preserve"> för ålfiske i kustvatten i Nordostatlanten och i Östersjön. För 202</w:t>
      </w:r>
      <w:r w:rsidR="00471DFC">
        <w:t>6</w:t>
      </w:r>
      <w:r w:rsidR="00E74964" w:rsidRPr="00FF0AB8">
        <w:t xml:space="preserve"> föreslår kommissionen att nuvarande stängningsperioder</w:t>
      </w:r>
      <w:r w:rsidR="0097527B">
        <w:t xml:space="preserve"> </w:t>
      </w:r>
      <w:r w:rsidR="00E74964" w:rsidRPr="00FF0AB8">
        <w:t xml:space="preserve">ska </w:t>
      </w:r>
      <w:r w:rsidR="00EC189A">
        <w:t>kvarstå</w:t>
      </w:r>
      <w:r w:rsidR="00E74964" w:rsidRPr="00FF0AB8">
        <w:t xml:space="preserve"> </w:t>
      </w:r>
      <w:r w:rsidR="00471DFC">
        <w:t xml:space="preserve">under ålens vandringsperiod </w:t>
      </w:r>
      <w:r w:rsidR="00E74964" w:rsidRPr="00FF0AB8">
        <w:t xml:space="preserve">med fortsatt möjlighet för Östersjöländerna att enas om en och samma period. </w:t>
      </w:r>
      <w:bookmarkEnd w:id="2"/>
      <w:r w:rsidR="00230902" w:rsidRPr="00FF0AB8">
        <w:rPr>
          <w:rStyle w:val="BrdtextChar"/>
        </w:rPr>
        <w:t xml:space="preserve">Regeringens övergripande målsättning är att förvaltningsåtgärder ska beslutas i linje med den </w:t>
      </w:r>
      <w:r w:rsidR="00230902" w:rsidRPr="00FF0AB8">
        <w:rPr>
          <w:rStyle w:val="BrdtextChar"/>
        </w:rPr>
        <w:lastRenderedPageBreak/>
        <w:t xml:space="preserve">gemensamma fiskeripolitikens mål och principer och att kommissionen ska sträva efter dessa mål i konsultationer med tredje länder. Detta innebär bland annat att regeringen anser att det är angeläget att nå målen om beståndsstorlek över den nivå som kan ge Maximal hållbar avkastning (MSY), att den gemensamma fiskeripolitikens mål om landningsskyldighet möjliggörs, att den vetenskapliga rådgivningen, </w:t>
      </w:r>
      <w:r w:rsidR="00636879">
        <w:rPr>
          <w:rStyle w:val="BrdtextChar"/>
        </w:rPr>
        <w:t xml:space="preserve">ekosystemansatsen och </w:t>
      </w:r>
      <w:r w:rsidR="00230902" w:rsidRPr="00FF0AB8">
        <w:rPr>
          <w:rStyle w:val="BrdtextChar"/>
        </w:rPr>
        <w:t>försiktighetsansatsen utgör grunden för besluten</w:t>
      </w:r>
      <w:r w:rsidR="00471DFC">
        <w:rPr>
          <w:rStyle w:val="BrdtextChar"/>
        </w:rPr>
        <w:t xml:space="preserve"> samt</w:t>
      </w:r>
      <w:r w:rsidR="00471DFC" w:rsidRPr="00C71995">
        <w:t xml:space="preserve"> att den fleråriga förvaltningsplanen för</w:t>
      </w:r>
      <w:r w:rsidR="00471DFC">
        <w:t xml:space="preserve"> </w:t>
      </w:r>
      <w:r w:rsidR="00471DFC" w:rsidRPr="00C71995">
        <w:t>Nordsjön ska tillämpas för de bestånd som omfattas av planen.</w:t>
      </w:r>
      <w:r w:rsidR="00471DFC">
        <w:rPr>
          <w:rStyle w:val="BrdtextChar"/>
        </w:rPr>
        <w:t xml:space="preserve"> </w:t>
      </w:r>
      <w:r w:rsidR="00471DFC" w:rsidRPr="00C71995">
        <w:t>Mot bakgrund av behovet att återuppbygga flera av bestånden, anser regeringen, att Sverige bör verka för restriktivt satta fiskemöjligheter</w:t>
      </w:r>
      <w:r w:rsidR="00471DFC">
        <w:t>.</w:t>
      </w:r>
      <w:r w:rsidR="00230902" w:rsidRPr="00FF0AB8">
        <w:rPr>
          <w:rStyle w:val="BrdtextChar"/>
          <w:b/>
          <w:bCs/>
        </w:rPr>
        <w:t xml:space="preserve"> </w:t>
      </w:r>
      <w:r w:rsidR="00230902" w:rsidRPr="00FF0AB8">
        <w:rPr>
          <w:rStyle w:val="BrdtextChar"/>
        </w:rPr>
        <w:t xml:space="preserve">Regeringen stödjer kompletterande bevarandeåtgärder som är i linje med den fleråriga planen för </w:t>
      </w:r>
      <w:r w:rsidR="00D915F8">
        <w:rPr>
          <w:rStyle w:val="BrdtextChar"/>
        </w:rPr>
        <w:t>bottenlevande</w:t>
      </w:r>
      <w:r w:rsidR="00230902" w:rsidRPr="00FF0AB8">
        <w:rPr>
          <w:rStyle w:val="BrdtextChar"/>
        </w:rPr>
        <w:t xml:space="preserve"> arter i Nordsjön och anser att dessa åtgärder ska </w:t>
      </w:r>
      <w:r w:rsidR="000C2167" w:rsidRPr="00FF0AB8">
        <w:rPr>
          <w:rStyle w:val="BrdtextChar"/>
        </w:rPr>
        <w:t xml:space="preserve">vara </w:t>
      </w:r>
      <w:r w:rsidR="00230902" w:rsidRPr="00FF0AB8">
        <w:rPr>
          <w:rStyle w:val="BrdtextChar"/>
        </w:rPr>
        <w:t>ändamålsenliga, grundas på vetenskapliga råd och inte oproportionerligt drabba småskaligt kustnära fiske som fiskar med passiva redskap. Vad gäller å</w:t>
      </w:r>
      <w:r w:rsidR="00F57179">
        <w:rPr>
          <w:rStyle w:val="BrdtextChar"/>
        </w:rPr>
        <w:t>l</w:t>
      </w:r>
      <w:r w:rsidR="00230902" w:rsidRPr="00FF0AB8">
        <w:rPr>
          <w:rStyle w:val="BrdtextChar"/>
        </w:rPr>
        <w:t xml:space="preserve"> </w:t>
      </w:r>
      <w:r w:rsidR="008F3D70">
        <w:t xml:space="preserve">anser regeringen att bevarandeåtgärder behöver omfatta ålens </w:t>
      </w:r>
      <w:r w:rsidR="00E24368">
        <w:t xml:space="preserve">hela </w:t>
      </w:r>
      <w:r w:rsidR="008F3D70">
        <w:t xml:space="preserve">livscykel och annan mänsklig påverkan på beståndet för att få effekt. </w:t>
      </w:r>
      <w:r w:rsidR="00E83FDC">
        <w:t>Regeringen</w:t>
      </w:r>
      <w:r w:rsidR="008F3D70" w:rsidRPr="00894633">
        <w:t xml:space="preserve"> </w:t>
      </w:r>
      <w:r w:rsidR="008F3D70">
        <w:t xml:space="preserve">anser därför att ett effektivt genomförande av EU:s </w:t>
      </w:r>
      <w:proofErr w:type="spellStart"/>
      <w:r w:rsidR="008F3D70">
        <w:t>ålförordning</w:t>
      </w:r>
      <w:proofErr w:type="spellEnd"/>
      <w:r w:rsidR="008F3D70">
        <w:t xml:space="preserve"> bör säkerställas i hela unionen. </w:t>
      </w:r>
      <w:r w:rsidR="008F3D70" w:rsidRPr="00FF0AB8">
        <w:rPr>
          <w:rFonts w:cs="Arial"/>
          <w:bCs/>
        </w:rPr>
        <w:t>Ansvaret för att bevara ålen behöver fördelas jämlikt bland medlemsstaterna och ge jämlika förutsättningar för ett framtida hållbart ålfiske.</w:t>
      </w:r>
      <w:r w:rsidR="008F3D70" w:rsidRPr="00FF0AB8">
        <w:t xml:space="preserve"> Regeringen ställer sig positiv till den fortsatta möjligheten att samordna förbudsperioden mellan</w:t>
      </w:r>
      <w:r w:rsidR="00EC189A">
        <w:t xml:space="preserve"> medlemsländerna i Östersjön</w:t>
      </w:r>
      <w:r w:rsidR="008F3D70" w:rsidRPr="00FF0AB8">
        <w:t xml:space="preserve"> </w:t>
      </w:r>
      <w:r w:rsidR="008F3D70">
        <w:t>i syfte</w:t>
      </w:r>
      <w:r w:rsidR="008F3D70" w:rsidRPr="00894633">
        <w:t xml:space="preserve"> att </w:t>
      </w:r>
      <w:r w:rsidR="008F3D70">
        <w:t>främja</w:t>
      </w:r>
      <w:r w:rsidR="008F3D70" w:rsidRPr="00894633">
        <w:t xml:space="preserve"> ålens möjlighet att vandra </w:t>
      </w:r>
      <w:r w:rsidR="008F3D70">
        <w:t>ut ur Östersjön</w:t>
      </w:r>
      <w:r w:rsidR="008F3D70" w:rsidRPr="00894633">
        <w:t xml:space="preserve"> utan att fiskas upp på vägen. </w:t>
      </w:r>
    </w:p>
    <w:bookmarkStart w:id="3" w:name="_Toc93996730"/>
    <w:p w14:paraId="19CB96F1" w14:textId="77777777" w:rsidR="00660DD7" w:rsidRDefault="00BD344A" w:rsidP="00660DD7">
      <w:pPr>
        <w:pStyle w:val="Rubrik2"/>
      </w:pPr>
      <w:sdt>
        <w:sdtPr>
          <w:id w:val="400485695"/>
          <w:lock w:val="contentLocked"/>
          <w:placeholder>
            <w:docPart w:val="447E482AC5AB4031B654796A5EF5D212"/>
          </w:placeholder>
          <w:group/>
        </w:sdtPr>
        <w:sdtEndPr/>
        <w:sdtContent>
          <w:r w:rsidR="007D542F">
            <w:t>Ärendets bakgrund</w:t>
          </w:r>
          <w:bookmarkEnd w:id="3"/>
        </w:sdtContent>
      </w:sdt>
    </w:p>
    <w:p w14:paraId="31295B4E" w14:textId="1AA0E3C4" w:rsidR="00660DD7" w:rsidRDefault="00C1058A" w:rsidP="00463C38">
      <w:pPr>
        <w:pStyle w:val="Brdtext"/>
      </w:pPr>
      <w:r w:rsidRPr="00FF0AB8">
        <w:t xml:space="preserve">Begränsningar av fångst och fiskeansträngning fastställs årligen genom olika förordningar bland annat i förordningen om fiskemöjligheter i Nordostatlanten och i vissa vatten utanför EU. Kommissionen presenterade den </w:t>
      </w:r>
      <w:r w:rsidR="00463C38">
        <w:t>29</w:t>
      </w:r>
      <w:r w:rsidRPr="00FF0AB8">
        <w:t xml:space="preserve"> oktober 202</w:t>
      </w:r>
      <w:r w:rsidR="00463C38">
        <w:t>5</w:t>
      </w:r>
      <w:r w:rsidRPr="00FF0AB8">
        <w:t xml:space="preserve"> ett förslag till reglering av fiskemöjligheter för 202</w:t>
      </w:r>
      <w:r w:rsidR="00F20A78">
        <w:t>6</w:t>
      </w:r>
      <w:r w:rsidRPr="00FF0AB8">
        <w:t xml:space="preserve"> och för </w:t>
      </w:r>
      <w:proofErr w:type="gramStart"/>
      <w:r w:rsidRPr="00FF0AB8">
        <w:t>2026</w:t>
      </w:r>
      <w:r w:rsidR="00F20A78">
        <w:t>-2028</w:t>
      </w:r>
      <w:proofErr w:type="gramEnd"/>
      <w:r w:rsidRPr="00FF0AB8">
        <w:t xml:space="preserve"> för vissa fiskbestånd och grupper av fiskbestånd i unionens vatten och, för unionsfartyg i vissa vatten utanför unionen. Förslaget följer de principer som fastställts i grundförordningen för den gemensamma fiskeripolitiken (EU) nr 1380/2013 </w:t>
      </w:r>
      <w:r w:rsidR="00F16E3B">
        <w:t xml:space="preserve">de fleråriga planerna för bottenlevande arter i Nordsjön respektive i Västliga vatten (EU nr 2018/973 och EU nr 2019/472) </w:t>
      </w:r>
      <w:r w:rsidRPr="00FF0AB8">
        <w:t>samt kommissionens årliga policymeddelande</w:t>
      </w:r>
      <w:r w:rsidR="00463C38" w:rsidRPr="00463C38">
        <w:t xml:space="preserve"> </w:t>
      </w:r>
      <w:proofErr w:type="gramStart"/>
      <w:r w:rsidR="00463C38" w:rsidRPr="00463C38">
        <w:t>COM(</w:t>
      </w:r>
      <w:proofErr w:type="gramEnd"/>
      <w:r w:rsidR="00463C38" w:rsidRPr="00463C38">
        <w:t>2025) 296</w:t>
      </w:r>
      <w:r w:rsidRPr="00FF0AB8">
        <w:t xml:space="preserve"> från den </w:t>
      </w:r>
      <w:r w:rsidR="00463C38">
        <w:t>6 juni 2025</w:t>
      </w:r>
      <w:r w:rsidRPr="00FF0AB8">
        <w:t xml:space="preserve"> vad gäller fastställande av maximal tillåten fångst (TAC) och kvoter samt associerade åtgärder för 202</w:t>
      </w:r>
      <w:r w:rsidR="00463C38">
        <w:t xml:space="preserve">6 </w:t>
      </w:r>
      <w:r w:rsidRPr="00FF0AB8">
        <w:t xml:space="preserve">och </w:t>
      </w:r>
      <w:r w:rsidR="00F457CB" w:rsidRPr="00FF0AB8">
        <w:t xml:space="preserve">för </w:t>
      </w:r>
      <w:proofErr w:type="gramStart"/>
      <w:r w:rsidR="00F457CB" w:rsidRPr="00FF0AB8">
        <w:t>202</w:t>
      </w:r>
      <w:r w:rsidR="00463C38">
        <w:t>6</w:t>
      </w:r>
      <w:r w:rsidR="00F457CB" w:rsidRPr="00FF0AB8">
        <w:t>-</w:t>
      </w:r>
      <w:r w:rsidRPr="00FF0AB8">
        <w:t>202</w:t>
      </w:r>
      <w:r w:rsidR="00F20A78">
        <w:t>8</w:t>
      </w:r>
      <w:proofErr w:type="gramEnd"/>
      <w:r w:rsidR="00F457CB" w:rsidRPr="00FF0AB8">
        <w:t xml:space="preserve"> för vissa arter</w:t>
      </w:r>
      <w:r w:rsidRPr="00FF0AB8">
        <w:t>.</w:t>
      </w:r>
      <w:r w:rsidR="00F16E3B">
        <w:t xml:space="preserve"> </w:t>
      </w:r>
    </w:p>
    <w:p w14:paraId="1A45843F" w14:textId="7416FE5E" w:rsidR="007D542F" w:rsidRDefault="00BD344A" w:rsidP="00660DD7">
      <w:pPr>
        <w:pStyle w:val="Rubrik2"/>
      </w:pPr>
      <w:sdt>
        <w:sdtPr>
          <w:id w:val="-1352952988"/>
          <w:lock w:val="contentLocked"/>
          <w:placeholder>
            <w:docPart w:val="447E482AC5AB4031B654796A5EF5D212"/>
          </w:placeholder>
          <w:group/>
        </w:sdtPr>
        <w:sdtEndPr/>
        <w:sdtContent>
          <w:r w:rsidR="007D542F">
            <w:t>Förslagets innehåll</w:t>
          </w:r>
        </w:sdtContent>
      </w:sdt>
    </w:p>
    <w:p w14:paraId="64E752FE" w14:textId="4BD0CF49" w:rsidR="00F457CB" w:rsidRDefault="00F457CB" w:rsidP="00F457CB">
      <w:pPr>
        <w:pStyle w:val="Brdtext"/>
      </w:pPr>
      <w:r>
        <w:t>Förslaget till förordning</w:t>
      </w:r>
      <w:r w:rsidRPr="009C12C9">
        <w:t xml:space="preserve"> täcker</w:t>
      </w:r>
      <w:r>
        <w:t xml:space="preserve"> dels de bestånd i EU:s vatten i Atlanten, Nordsjön, Skagerrak och Kattegatt</w:t>
      </w:r>
      <w:r w:rsidRPr="009C12C9">
        <w:t xml:space="preserve"> för vilka un</w:t>
      </w:r>
      <w:r>
        <w:t>ionen autonomt fattar beslut om nyttjandenivån,</w:t>
      </w:r>
      <w:r w:rsidRPr="009C12C9">
        <w:t xml:space="preserve"> dels fiskemöjligheter</w:t>
      </w:r>
      <w:r>
        <w:t xml:space="preserve"> utanför EU </w:t>
      </w:r>
      <w:r w:rsidRPr="009C12C9">
        <w:t>som förhandlas fra</w:t>
      </w:r>
      <w:r>
        <w:t>m i samråd med</w:t>
      </w:r>
      <w:r w:rsidRPr="009C12C9">
        <w:t xml:space="preserve"> tredjeländer</w:t>
      </w:r>
      <w:r>
        <w:t xml:space="preserve"> eller inom ramen för regionala fiskeriförvaltningsorganisationer.</w:t>
      </w:r>
      <w:r w:rsidR="00F57179">
        <w:t xml:space="preserve"> Fiskemöjligheterna gäller år 202</w:t>
      </w:r>
      <w:r w:rsidR="008F3D70">
        <w:t>6</w:t>
      </w:r>
      <w:r w:rsidR="00F57179">
        <w:t xml:space="preserve"> och för vissa arter </w:t>
      </w:r>
      <w:r w:rsidR="00EC189A">
        <w:t xml:space="preserve">för </w:t>
      </w:r>
      <w:proofErr w:type="gramStart"/>
      <w:r w:rsidR="00F57179">
        <w:t>202</w:t>
      </w:r>
      <w:r w:rsidR="00EC189A">
        <w:t>6</w:t>
      </w:r>
      <w:r w:rsidR="00F57179">
        <w:t>-202</w:t>
      </w:r>
      <w:r w:rsidR="008F3D70">
        <w:t>8</w:t>
      </w:r>
      <w:proofErr w:type="gramEnd"/>
      <w:r w:rsidR="00F57179">
        <w:t xml:space="preserve"> eftersom den vetenskapliga rådgivningen för dessa arter täcker </w:t>
      </w:r>
      <w:r w:rsidR="008F3D70">
        <w:t>flera år</w:t>
      </w:r>
      <w:r w:rsidR="00F57179">
        <w:t>.</w:t>
      </w:r>
      <w:r>
        <w:t xml:space="preserve"> </w:t>
      </w:r>
      <w:r w:rsidR="00F57179" w:rsidRPr="005019E7">
        <w:rPr>
          <w:rFonts w:eastAsia="Times New Roman"/>
          <w:noProof/>
          <w:lang w:eastAsia="sv-SE"/>
        </w:rPr>
        <w:t xml:space="preserve">Fiskemöjligheterna är uppdelade </w:t>
      </w:r>
      <w:r w:rsidR="00EC189A">
        <w:rPr>
          <w:rFonts w:eastAsia="Times New Roman"/>
          <w:noProof/>
          <w:lang w:eastAsia="sv-SE"/>
        </w:rPr>
        <w:t xml:space="preserve">i </w:t>
      </w:r>
      <w:r w:rsidR="00F57179" w:rsidRPr="005019E7">
        <w:rPr>
          <w:rFonts w:eastAsia="Times New Roman"/>
          <w:noProof/>
          <w:lang w:eastAsia="sv-SE"/>
        </w:rPr>
        <w:t>fångstbegränsningar (TAC) för olika områden och</w:t>
      </w:r>
      <w:r w:rsidR="00EC189A">
        <w:rPr>
          <w:rFonts w:eastAsia="Times New Roman"/>
          <w:noProof/>
          <w:lang w:eastAsia="sv-SE"/>
        </w:rPr>
        <w:t xml:space="preserve"> i</w:t>
      </w:r>
      <w:r w:rsidR="00F57179" w:rsidRPr="005019E7">
        <w:rPr>
          <w:rFonts w:eastAsia="Times New Roman"/>
          <w:noProof/>
          <w:lang w:eastAsia="sv-SE"/>
        </w:rPr>
        <w:t xml:space="preserve"> andelar mellan medlemsländerna dvs. kvoter. </w:t>
      </w:r>
      <w:r w:rsidR="005019E7" w:rsidRPr="005019E7">
        <w:rPr>
          <w:rFonts w:eastAsia="Times New Roman"/>
          <w:noProof/>
          <w:lang w:eastAsia="sv-SE"/>
        </w:rPr>
        <w:t>Sedan Storbritanneins utträde ur unionen förvaltas en majoretet av bestånden i Nordostatlanten gemensamt med tredje länder. Runt 100 fiskbestånd förvaltas mellan EU och Storbritannien och ytterligare tio bestånd mellan EU, Norge, UK och övriga kuststater i Nordostatlanten.</w:t>
      </w:r>
      <w:r w:rsidR="00463C38">
        <w:rPr>
          <w:rFonts w:eastAsia="Times New Roman"/>
          <w:noProof/>
          <w:lang w:eastAsia="sv-SE"/>
        </w:rPr>
        <w:t xml:space="preserve"> Dessa bestånd är torsk, kolja, sej, vitling, Nordjösill, skarpsill, nordhavsräka</w:t>
      </w:r>
      <w:r w:rsidR="00B17D9A">
        <w:rPr>
          <w:rFonts w:eastAsia="Times New Roman"/>
          <w:noProof/>
          <w:lang w:eastAsia="sv-SE"/>
        </w:rPr>
        <w:t>, makrill, blåvitling och atlantoskandisk sill.</w:t>
      </w:r>
      <w:r w:rsidR="005019E7" w:rsidRPr="005019E7">
        <w:rPr>
          <w:rFonts w:eastAsia="Times New Roman"/>
          <w:noProof/>
          <w:lang w:eastAsia="sv-SE"/>
        </w:rPr>
        <w:t xml:space="preserve"> Dessutom erhåller EU en rad fiskemöjligheter genom s.k. hållbara partnerskapsavtal med tredje länder samt genom regionala fiskeriförvaltningsorganisationer. Förordningen föregås därför av ett omfattande förhandlingsarbete mellan EU och berörda länder.</w:t>
      </w:r>
      <w:r w:rsidR="00F57179">
        <w:rPr>
          <w:rFonts w:eastAsia="Times New Roman"/>
          <w:noProof/>
          <w:lang w:eastAsia="sv-SE"/>
        </w:rPr>
        <w:t xml:space="preserve"> </w:t>
      </w:r>
      <w:r w:rsidR="005019E7" w:rsidRPr="005019E7">
        <w:rPr>
          <w:rFonts w:eastAsia="Times New Roman"/>
          <w:noProof/>
          <w:lang w:eastAsia="sv-SE"/>
        </w:rPr>
        <w:t>I avvaktan på resultatet från dessa förhandlingar samt i avvaktan på vetenskaplig rådgivning för vissa bestånd innehåller förordningen ännu så länge endast ett fåtal EU-interna fiskemöjligheter i Kattegatt och i Biscayabukten.</w:t>
      </w:r>
      <w:r w:rsidR="005019E7" w:rsidRPr="00203D40">
        <w:rPr>
          <w:rFonts w:ascii="Times New Roman" w:eastAsia="Times New Roman" w:hAnsi="Times New Roman"/>
          <w:noProof/>
          <w:sz w:val="19"/>
          <w:szCs w:val="20"/>
          <w:lang w:eastAsia="sv-SE"/>
        </w:rPr>
        <w:t xml:space="preserve"> </w:t>
      </w:r>
      <w:r>
        <w:t xml:space="preserve">Förslaget kommer därför att kompletteras med fångstnivåer för </w:t>
      </w:r>
      <w:r w:rsidR="00EC189A">
        <w:t>resterande</w:t>
      </w:r>
      <w:r>
        <w:t xml:space="preserve"> arter. Sedan Storbritanniens utträde ur unionen utgör dessa en majoritet av de fiskemöjligheter som ingår i förordningen.</w:t>
      </w:r>
    </w:p>
    <w:p w14:paraId="1967B4F0" w14:textId="26E53BBF" w:rsidR="00F457CB" w:rsidRPr="00FF0AB8" w:rsidRDefault="00F457CB" w:rsidP="00F457CB">
      <w:r w:rsidRPr="00FF0AB8">
        <w:t xml:space="preserve">I förordningen ingår i nuläget förslag på fiskemöjligheter för marulk, kummel, havskräfta, </w:t>
      </w:r>
      <w:proofErr w:type="spellStart"/>
      <w:r w:rsidRPr="00FF0AB8">
        <w:t>glasvar</w:t>
      </w:r>
      <w:proofErr w:type="spellEnd"/>
      <w:r w:rsidRPr="00FF0AB8">
        <w:t xml:space="preserve"> och sjötunga i Biscayabukten</w:t>
      </w:r>
      <w:r w:rsidR="00EC189A">
        <w:t xml:space="preserve"> samt för</w:t>
      </w:r>
      <w:r w:rsidRPr="00FF0AB8">
        <w:t xml:space="preserve"> taggmakrill i iberiska vatten som följer ICES MSY-råd altern</w:t>
      </w:r>
      <w:r w:rsidR="00D915F8">
        <w:t>ativt</w:t>
      </w:r>
      <w:r w:rsidRPr="00FF0AB8">
        <w:t xml:space="preserve"> den fleråriga planen för Västliga vatten. Förslaget innehåller även förslag på fiskemöjligheter i Kattegatt för rödspätta</w:t>
      </w:r>
      <w:r w:rsidR="006E3487">
        <w:t xml:space="preserve">, </w:t>
      </w:r>
      <w:r w:rsidRPr="00FF0AB8">
        <w:t>sjötunga</w:t>
      </w:r>
      <w:r w:rsidR="00E83FDC">
        <w:t>,</w:t>
      </w:r>
      <w:r w:rsidR="006E3487">
        <w:t xml:space="preserve"> torsk samt havskräfta och</w:t>
      </w:r>
      <w:r w:rsidRPr="00FF0AB8">
        <w:t xml:space="preserve"> skoläst </w:t>
      </w:r>
      <w:r w:rsidR="006E3487">
        <w:t>i Skagerrak och Kattegatt</w:t>
      </w:r>
      <w:r w:rsidR="00B17D9A">
        <w:t>. Av dessa arter finns endast fångstnivån för rödspätta i Kattegatt och Östersjön med.</w:t>
      </w:r>
      <w:r w:rsidR="006E3487">
        <w:t xml:space="preserve"> </w:t>
      </w:r>
      <w:r w:rsidR="00B17D9A">
        <w:t>I syfte at</w:t>
      </w:r>
      <w:r w:rsidR="00F20A78">
        <w:t>t</w:t>
      </w:r>
      <w:r w:rsidR="00B17D9A">
        <w:t xml:space="preserve"> undvika bifångster av torsk och sjötunga i Kattegatt för vilka ICES rådgivning innebär att inget fiske bör ske har </w:t>
      </w:r>
      <w:r w:rsidR="00E83FDC">
        <w:t>kommissionen</w:t>
      </w:r>
      <w:r w:rsidR="00B17D9A">
        <w:t xml:space="preserve"> föreslagit en låg TAC för rödspätta dvs. under det intervall som följer av EU:s fleråriga plan för bottenlevande arter i Nordsjön. </w:t>
      </w:r>
      <w:r w:rsidR="00220D78" w:rsidRPr="00FF0AB8">
        <w:t xml:space="preserve">I linje med den fleråriga planen föreslås </w:t>
      </w:r>
      <w:r w:rsidR="00EC189A">
        <w:t xml:space="preserve">även </w:t>
      </w:r>
      <w:r w:rsidR="00220D78" w:rsidRPr="00FF0AB8">
        <w:t xml:space="preserve">ett antal bevarandeåtgärder kvarstå i förordningen som bland annat innebär stängda områden för att skydda lekansamlingar för torsk i Nordsjön </w:t>
      </w:r>
      <w:r w:rsidR="00220D78" w:rsidRPr="00FF0AB8">
        <w:lastRenderedPageBreak/>
        <w:t>och Skagerrak.</w:t>
      </w:r>
      <w:r w:rsidRPr="00FF0AB8">
        <w:t xml:space="preserve"> </w:t>
      </w:r>
      <w:r w:rsidR="00220D78" w:rsidRPr="00FF0AB8">
        <w:t>För att skydda torsk</w:t>
      </w:r>
      <w:r w:rsidR="008F3D70">
        <w:t xml:space="preserve"> och tunga</w:t>
      </w:r>
      <w:r w:rsidR="00220D78" w:rsidRPr="00FF0AB8">
        <w:t xml:space="preserve"> i Kattegatt</w:t>
      </w:r>
      <w:r w:rsidR="008F3D70">
        <w:t xml:space="preserve"> väntas liksom tidigare</w:t>
      </w:r>
      <w:r w:rsidR="00220D78" w:rsidRPr="00FF0AB8">
        <w:t xml:space="preserve"> </w:t>
      </w:r>
      <w:r w:rsidR="00EC189A">
        <w:t xml:space="preserve">förslag på </w:t>
      </w:r>
      <w:r w:rsidR="00220D78" w:rsidRPr="00FF0AB8">
        <w:t>låga nivåer</w:t>
      </w:r>
      <w:r w:rsidR="00D915F8">
        <w:t xml:space="preserve"> för</w:t>
      </w:r>
      <w:r w:rsidR="00220D78" w:rsidRPr="00FF0AB8">
        <w:t xml:space="preserve"> havskräfta samt krav på selektiva redskap. </w:t>
      </w:r>
      <w:r w:rsidR="008F3D70">
        <w:t>Ytterligare bevarandeåtgärder kommer även att förhandlas med tredje länder för bestånd</w:t>
      </w:r>
      <w:r w:rsidR="00EC189A">
        <w:t xml:space="preserve"> som är</w:t>
      </w:r>
      <w:r w:rsidR="008F3D70">
        <w:t xml:space="preserve"> </w:t>
      </w:r>
      <w:r w:rsidR="00A35F50">
        <w:t>i behov av återhämtning.</w:t>
      </w:r>
      <w:r w:rsidR="008F3D70">
        <w:t xml:space="preserve"> Det gäller bland annat för Nordsj</w:t>
      </w:r>
      <w:r w:rsidR="00F20A78">
        <w:t>ötorsk</w:t>
      </w:r>
      <w:r w:rsidR="008F3D70">
        <w:t xml:space="preserve"> och </w:t>
      </w:r>
      <w:r w:rsidR="00A35F50">
        <w:t>för torsk och vitling</w:t>
      </w:r>
      <w:r w:rsidR="008F3D70">
        <w:t xml:space="preserve"> i keltiska sjön. </w:t>
      </w:r>
      <w:r w:rsidRPr="00FF0AB8">
        <w:rPr>
          <w:rStyle w:val="BrdtextChar"/>
        </w:rPr>
        <w:t>Med hänsyn till landningsskyldigheten har kommissionen även föreslagit avdrag från kvoterna för de kvantiteter som utgör</w:t>
      </w:r>
      <w:r w:rsidR="00D06504" w:rsidRPr="00FF0AB8">
        <w:rPr>
          <w:rStyle w:val="BrdtextChar"/>
        </w:rPr>
        <w:t xml:space="preserve"> </w:t>
      </w:r>
      <w:r w:rsidR="00004F6F" w:rsidRPr="00FF0AB8">
        <w:rPr>
          <w:rStyle w:val="BrdtextChar"/>
        </w:rPr>
        <w:t>undantag</w:t>
      </w:r>
      <w:r w:rsidRPr="00FF0AB8">
        <w:rPr>
          <w:rStyle w:val="BrdtextChar"/>
        </w:rPr>
        <w:t xml:space="preserve"> från landningsskyldigheten</w:t>
      </w:r>
      <w:r w:rsidR="00A35F50">
        <w:rPr>
          <w:rStyle w:val="BrdtextChar"/>
        </w:rPr>
        <w:t xml:space="preserve"> dvs. för bestånd där överlevnadsgraden </w:t>
      </w:r>
      <w:r w:rsidR="00EC189A">
        <w:rPr>
          <w:rStyle w:val="BrdtextChar"/>
        </w:rPr>
        <w:t>beräknas vara</w:t>
      </w:r>
      <w:r w:rsidR="00A35F50">
        <w:rPr>
          <w:rStyle w:val="BrdtextChar"/>
        </w:rPr>
        <w:t xml:space="preserve"> hög </w:t>
      </w:r>
      <w:r w:rsidR="00EC189A">
        <w:rPr>
          <w:rStyle w:val="BrdtextChar"/>
        </w:rPr>
        <w:t>och</w:t>
      </w:r>
      <w:r w:rsidR="00423429">
        <w:rPr>
          <w:rStyle w:val="BrdtextChar"/>
        </w:rPr>
        <w:t xml:space="preserve"> som</w:t>
      </w:r>
      <w:r w:rsidR="00EC189A">
        <w:rPr>
          <w:rStyle w:val="BrdtextChar"/>
        </w:rPr>
        <w:t xml:space="preserve"> därmed</w:t>
      </w:r>
      <w:r w:rsidR="00423429">
        <w:rPr>
          <w:rStyle w:val="BrdtextChar"/>
        </w:rPr>
        <w:t xml:space="preserve"> fortsatt är</w:t>
      </w:r>
      <w:r w:rsidR="00EC189A">
        <w:rPr>
          <w:rStyle w:val="BrdtextChar"/>
        </w:rPr>
        <w:t xml:space="preserve"> tillåtna att kastas ut</w:t>
      </w:r>
      <w:r w:rsidRPr="00FF0AB8">
        <w:rPr>
          <w:rStyle w:val="BrdtextChar"/>
        </w:rPr>
        <w:t>. För vissa känsliga arter som vissa hajar och rockor föreslås liksom tidigare</w:t>
      </w:r>
      <w:r w:rsidR="00D06504" w:rsidRPr="00FF0AB8">
        <w:rPr>
          <w:rStyle w:val="BrdtextChar"/>
        </w:rPr>
        <w:t xml:space="preserve"> år</w:t>
      </w:r>
      <w:r w:rsidRPr="00FF0AB8">
        <w:rPr>
          <w:rStyle w:val="BrdtextChar"/>
        </w:rPr>
        <w:t xml:space="preserve"> fångstförbud och att oavsiktliga fångster ska återutsättas</w:t>
      </w:r>
      <w:r w:rsidR="00D915F8">
        <w:rPr>
          <w:rStyle w:val="BrdtextChar"/>
        </w:rPr>
        <w:t xml:space="preserve"> då dessa arter anses ha</w:t>
      </w:r>
      <w:r w:rsidR="00423429">
        <w:rPr>
          <w:rStyle w:val="BrdtextChar"/>
        </w:rPr>
        <w:t xml:space="preserve"> mycket</w:t>
      </w:r>
      <w:r w:rsidR="00D915F8">
        <w:rPr>
          <w:rStyle w:val="BrdtextChar"/>
        </w:rPr>
        <w:t xml:space="preserve"> hög överlevnad vid återutsättning</w:t>
      </w:r>
      <w:r w:rsidRPr="00FF0AB8">
        <w:rPr>
          <w:rStyle w:val="BrdtextChar"/>
        </w:rPr>
        <w:t>.</w:t>
      </w:r>
      <w:r w:rsidRPr="00FF0AB8">
        <w:rPr>
          <w:rFonts w:ascii="Times New Roman" w:eastAsia="Times New Roman" w:hAnsi="Times New Roman"/>
          <w:noProof/>
          <w:lang w:eastAsia="sv-SE"/>
        </w:rPr>
        <w:t xml:space="preserve"> </w:t>
      </w:r>
      <w:r w:rsidRPr="00FF0AB8">
        <w:t xml:space="preserve">Förordningen innehåller även förvaltningsåtgärder för ål som i nuläget är oförändrade jämfört med </w:t>
      </w:r>
      <w:r w:rsidR="00004F6F" w:rsidRPr="00FF0AB8">
        <w:t>202</w:t>
      </w:r>
      <w:r w:rsidR="00BC7057">
        <w:t>5</w:t>
      </w:r>
      <w:r w:rsidRPr="00FF0AB8">
        <w:t xml:space="preserve"> </w:t>
      </w:r>
      <w:r w:rsidR="00B17D9A">
        <w:t>vilket</w:t>
      </w:r>
      <w:r w:rsidRPr="00FF0AB8">
        <w:t xml:space="preserve"> </w:t>
      </w:r>
      <w:r w:rsidR="00D915F8">
        <w:t xml:space="preserve">bland annat </w:t>
      </w:r>
      <w:r w:rsidRPr="00FF0AB8">
        <w:t xml:space="preserve">innebär att medlemsländerna i Östersjön har möjlighet att samordna stängningsperioderna regionalt </w:t>
      </w:r>
      <w:r w:rsidR="008F3D70">
        <w:t xml:space="preserve">förutsatt att detta sker när ålens vandring beräknas vara som </w:t>
      </w:r>
      <w:r w:rsidR="00AF460E">
        <w:t xml:space="preserve">störst, </w:t>
      </w:r>
      <w:r w:rsidR="00D06504" w:rsidRPr="00FF0AB8">
        <w:t xml:space="preserve">alternativt </w:t>
      </w:r>
      <w:r w:rsidR="00AF460E">
        <w:t xml:space="preserve">om man inte kommer överens </w:t>
      </w:r>
      <w:r w:rsidR="00D06504" w:rsidRPr="00FF0AB8">
        <w:t>införa</w:t>
      </w:r>
      <w:r w:rsidRPr="00FF0AB8">
        <w:t xml:space="preserve"> </w:t>
      </w:r>
      <w:proofErr w:type="spellStart"/>
      <w:r w:rsidRPr="00FF0AB8">
        <w:t>stängning</w:t>
      </w:r>
      <w:r w:rsidR="00B17D9A">
        <w:t>s</w:t>
      </w:r>
      <w:r w:rsidRPr="00FF0AB8">
        <w:t>perioden</w:t>
      </w:r>
      <w:proofErr w:type="spellEnd"/>
      <w:r w:rsidRPr="00FF0AB8">
        <w:t xml:space="preserve"> </w:t>
      </w:r>
      <w:r w:rsidR="00D06504" w:rsidRPr="00FF0AB8">
        <w:t xml:space="preserve">mellan </w:t>
      </w:r>
      <w:r w:rsidRPr="00FF0AB8">
        <w:t xml:space="preserve">15 september – 15 </w:t>
      </w:r>
      <w:r w:rsidR="00B74C19">
        <w:t>mars</w:t>
      </w:r>
      <w:r w:rsidR="00636879">
        <w:t>.</w:t>
      </w:r>
      <w:r w:rsidRPr="00FF0AB8">
        <w:t xml:space="preserve"> </w:t>
      </w:r>
      <w:r w:rsidR="00D06504" w:rsidRPr="00FF0AB8">
        <w:t xml:space="preserve"> </w:t>
      </w:r>
    </w:p>
    <w:p w14:paraId="2EF5E660" w14:textId="77777777" w:rsidR="007D542F" w:rsidRDefault="00BD344A"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5BC20721" w:rsidR="007D542F" w:rsidRPr="00472EBA" w:rsidRDefault="00BA1C46" w:rsidP="00BA1C46">
      <w:r w:rsidRPr="00771B3E">
        <w:t>Europeiska unionens gemensamma fiskeripolitik är ett fullständigt harmoniserat politikområde.</w:t>
      </w:r>
    </w:p>
    <w:p w14:paraId="004AFD62" w14:textId="77777777" w:rsidR="007D542F" w:rsidRDefault="00BD344A"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0C347118" w:rsidR="007D542F" w:rsidRPr="00BA1C46" w:rsidRDefault="00BA1C46" w:rsidP="007D542F">
      <w:pPr>
        <w:pStyle w:val="Brdtext"/>
      </w:pPr>
      <w:r w:rsidRPr="00BA1C46">
        <w:rPr>
          <w:rFonts w:eastAsia="Times New Roman"/>
          <w:noProof/>
          <w:lang w:eastAsia="sv-SE"/>
        </w:rPr>
        <w:t xml:space="preserve">Förslaget har inga budgetära konsekvenser för statsbudgeten. Förslaget bedöms inte heller få några nya ekonomiska följder på Europeiska unionens budget.  </w:t>
      </w: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59EE5C18" w14:textId="77777777" w:rsidR="007D542F" w:rsidRDefault="00BD344A"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5960B237" w14:textId="76319AB7" w:rsidR="0011571B" w:rsidRPr="00FF0AB8" w:rsidRDefault="00071544" w:rsidP="0011571B">
      <w:pPr>
        <w:rPr>
          <w:rStyle w:val="BrdtextChar"/>
          <w:b/>
          <w:bCs/>
        </w:rPr>
      </w:pPr>
      <w:r w:rsidRPr="00FF0AB8">
        <w:rPr>
          <w:rStyle w:val="BrdtextChar"/>
        </w:rPr>
        <w:t>Regeringens</w:t>
      </w:r>
      <w:r w:rsidR="0011571B" w:rsidRPr="00FF0AB8">
        <w:rPr>
          <w:rStyle w:val="BrdtextChar"/>
        </w:rPr>
        <w:t xml:space="preserve"> övergripande målsättning är att förvaltningsåtgärder ska beslutas i linje med den gemensamma fiskeripolitikens mål och principer och att kommissionen ska sträva efter dessa mål i konsultationer med tredje länder. Detta innebär bland annat att </w:t>
      </w:r>
      <w:r w:rsidR="00AF460E">
        <w:rPr>
          <w:rStyle w:val="BrdtextChar"/>
        </w:rPr>
        <w:t>r</w:t>
      </w:r>
      <w:r w:rsidRPr="00FF0AB8">
        <w:rPr>
          <w:rStyle w:val="BrdtextChar"/>
        </w:rPr>
        <w:t>egeringen</w:t>
      </w:r>
      <w:r w:rsidR="0011571B" w:rsidRPr="00FF0AB8">
        <w:rPr>
          <w:rStyle w:val="BrdtextChar"/>
        </w:rPr>
        <w:t xml:space="preserve"> anser att det är angeläget att nå målen om beståndsstorlek över den nivå som kan ge </w:t>
      </w:r>
      <w:r w:rsidR="0025484A">
        <w:rPr>
          <w:rStyle w:val="BrdtextChar"/>
        </w:rPr>
        <w:t>m</w:t>
      </w:r>
      <w:r w:rsidR="0011571B" w:rsidRPr="00FF0AB8">
        <w:rPr>
          <w:rStyle w:val="BrdtextChar"/>
        </w:rPr>
        <w:t xml:space="preserve">aximal hållbar avkastning (MSY), att den gemensamma fiskeripolitikens mål om landningsskyldighet möjliggörs, att den vetenskapliga rådgivningen, försiktighetsansatsen och </w:t>
      </w:r>
      <w:r w:rsidR="0011571B" w:rsidRPr="00FF0AB8">
        <w:rPr>
          <w:rStyle w:val="BrdtextChar"/>
        </w:rPr>
        <w:lastRenderedPageBreak/>
        <w:t>ekosystemansatsen utgör grunden för besluten</w:t>
      </w:r>
      <w:r w:rsidR="00636879">
        <w:rPr>
          <w:rStyle w:val="BrdtextChar"/>
        </w:rPr>
        <w:t xml:space="preserve"> samt</w:t>
      </w:r>
      <w:r w:rsidR="00636879" w:rsidRPr="00C71995">
        <w:t xml:space="preserve"> att den fleråriga förvaltningsplanen för</w:t>
      </w:r>
      <w:r w:rsidR="00636879">
        <w:t xml:space="preserve"> </w:t>
      </w:r>
      <w:r w:rsidR="00636879" w:rsidRPr="00C71995">
        <w:t>Nordsjön ska tillämpas för de bestånd som omfattas av planen.</w:t>
      </w:r>
      <w:r w:rsidR="00636879">
        <w:rPr>
          <w:rStyle w:val="BrdtextChar"/>
        </w:rPr>
        <w:t xml:space="preserve"> </w:t>
      </w:r>
      <w:r w:rsidR="00636879" w:rsidRPr="00C71995">
        <w:t>Mot bakgrund av behovet att återuppbygga flera av bestånden, anser regeringen, att Sverige bör verka för restriktivt satta fiskemöjligheter</w:t>
      </w:r>
      <w:r w:rsidR="00636879">
        <w:t>.</w:t>
      </w:r>
      <w:r w:rsidR="00636879" w:rsidRPr="00FF0AB8">
        <w:rPr>
          <w:rStyle w:val="BrdtextChar"/>
          <w:b/>
          <w:bCs/>
        </w:rPr>
        <w:t xml:space="preserve"> </w:t>
      </w:r>
    </w:p>
    <w:p w14:paraId="6DA1DA52" w14:textId="0746714F" w:rsidR="0011571B" w:rsidRPr="00FF0AB8" w:rsidRDefault="00071544" w:rsidP="0011571B">
      <w:pPr>
        <w:rPr>
          <w:rStyle w:val="BrdtextChar"/>
          <w:color w:val="000000" w:themeColor="text1"/>
        </w:rPr>
      </w:pPr>
      <w:r w:rsidRPr="00FF0AB8">
        <w:rPr>
          <w:rStyle w:val="BrdtextChar"/>
          <w:bCs/>
        </w:rPr>
        <w:t>Regeringen</w:t>
      </w:r>
      <w:r w:rsidR="0011571B" w:rsidRPr="00FF0AB8">
        <w:rPr>
          <w:rStyle w:val="BrdtextChar"/>
          <w:bCs/>
        </w:rPr>
        <w:t xml:space="preserve"> anser generellt att en stor obalans mellan fiskemöjligheter som naturligt förekommer i samma fångst bör undvikas samt att associerade åtgärder som tekniska regleringar är viktiga i syfte att undvika oönskade bifångster</w:t>
      </w:r>
      <w:r w:rsidR="0011571B" w:rsidRPr="00FF0AB8">
        <w:rPr>
          <w:rStyle w:val="BrdtextChar"/>
          <w:bCs/>
          <w:color w:val="000000" w:themeColor="text1"/>
        </w:rPr>
        <w:t>.</w:t>
      </w:r>
      <w:r w:rsidR="0011571B" w:rsidRPr="00FF0AB8">
        <w:rPr>
          <w:color w:val="000000" w:themeColor="text1"/>
        </w:rPr>
        <w:t xml:space="preserve"> Metodik för att ta fram nivåer för oundvikliga bifångster bör grundas på bästa tillgängliga vetenskapliga rådgivning. </w:t>
      </w:r>
    </w:p>
    <w:p w14:paraId="75415CAB" w14:textId="28AAA295" w:rsidR="0011571B" w:rsidRPr="00FF0AB8" w:rsidRDefault="00BA1C46" w:rsidP="0011571B">
      <w:r>
        <w:t>Regeringen</w:t>
      </w:r>
      <w:r w:rsidR="0011571B" w:rsidRPr="00FF0AB8">
        <w:t xml:space="preserve"> stödjer kompletterande bevarandeåtgärder som är i linje med den fleråriga planen för </w:t>
      </w:r>
      <w:r w:rsidR="00D915F8">
        <w:t>bottenlevande</w:t>
      </w:r>
      <w:r w:rsidR="0011571B" w:rsidRPr="00FF0AB8">
        <w:t xml:space="preserve"> arter i Nordsjön </w:t>
      </w:r>
      <w:r w:rsidR="0011571B" w:rsidRPr="00FF0AB8">
        <w:rPr>
          <w:rStyle w:val="BrdtextChar"/>
        </w:rPr>
        <w:t>och anser att dessa åtgärder</w:t>
      </w:r>
      <w:r w:rsidR="0011571B" w:rsidRPr="00FF0AB8">
        <w:t xml:space="preserve"> ska vara ändamålsenliga, grundas på vetenskapliga råd och inte oproportionerligt drabba småskaligt kustnära fiske som fiskar med passiva redskap. </w:t>
      </w:r>
    </w:p>
    <w:p w14:paraId="2680A3D6" w14:textId="5DD7C1FC" w:rsidR="00F12E13" w:rsidRPr="005D2EA8" w:rsidRDefault="0011571B" w:rsidP="0011571B">
      <w:pPr>
        <w:pStyle w:val="Brdtext"/>
      </w:pPr>
      <w:r w:rsidRPr="00FF0AB8">
        <w:t>Regeringen stödjer att TAC för havskräfta och rödspätta anpassas för att undvika bifångster av torsk</w:t>
      </w:r>
      <w:r w:rsidR="007253D9">
        <w:t xml:space="preserve"> och sjötunga</w:t>
      </w:r>
      <w:r w:rsidRPr="00FF0AB8">
        <w:t>, givet beståndssituation</w:t>
      </w:r>
      <w:r w:rsidR="00D915F8">
        <w:t>en</w:t>
      </w:r>
      <w:r w:rsidRPr="00FF0AB8">
        <w:t xml:space="preserve"> för torsk i Kattegatt</w:t>
      </w:r>
      <w:r w:rsidR="007253D9">
        <w:t xml:space="preserve"> och</w:t>
      </w:r>
      <w:r w:rsidRPr="00FF0AB8">
        <w:t xml:space="preserve"> Skagerrak</w:t>
      </w:r>
      <w:r w:rsidR="007253D9">
        <w:t xml:space="preserve"> samt tunga i Kattegatt och södra Östersjön</w:t>
      </w:r>
      <w:r w:rsidRPr="00FF0AB8">
        <w:t xml:space="preserve">. </w:t>
      </w:r>
    </w:p>
    <w:p w14:paraId="45F45498" w14:textId="1F837062" w:rsidR="00071544" w:rsidRPr="00FF0AB8" w:rsidRDefault="00071544" w:rsidP="0011571B">
      <w:pPr>
        <w:pStyle w:val="Brdtext"/>
      </w:pPr>
      <w:r w:rsidRPr="00FF0AB8">
        <w:rPr>
          <w:rFonts w:cstheme="minorHAnsi"/>
        </w:rPr>
        <w:t>Regeringen stöd</w:t>
      </w:r>
      <w:r w:rsidR="0083199B">
        <w:rPr>
          <w:rFonts w:cstheme="minorHAnsi"/>
        </w:rPr>
        <w:t>j</w:t>
      </w:r>
      <w:r w:rsidRPr="00FF0AB8">
        <w:rPr>
          <w:rFonts w:cstheme="minorHAnsi"/>
        </w:rPr>
        <w:t xml:space="preserve">er att de utkast som är tillåtna genom </w:t>
      </w:r>
      <w:r w:rsidR="00D915F8">
        <w:rPr>
          <w:rFonts w:cstheme="minorHAnsi"/>
        </w:rPr>
        <w:t>överlevnads</w:t>
      </w:r>
      <w:r w:rsidRPr="00FF0AB8">
        <w:rPr>
          <w:rFonts w:cstheme="minorHAnsi"/>
        </w:rPr>
        <w:t xml:space="preserve">undantag till landningsskyldigheten dras av från </w:t>
      </w:r>
      <w:proofErr w:type="spellStart"/>
      <w:r w:rsidRPr="00FF0AB8">
        <w:rPr>
          <w:rFonts w:cstheme="minorHAnsi"/>
        </w:rPr>
        <w:t>TAC:er</w:t>
      </w:r>
      <w:proofErr w:type="spellEnd"/>
      <w:r w:rsidRPr="00FF0AB8">
        <w:rPr>
          <w:rFonts w:cstheme="minorHAnsi"/>
        </w:rPr>
        <w:t xml:space="preserve"> och anser att korrekt data ska används för ändamålet. </w:t>
      </w:r>
    </w:p>
    <w:p w14:paraId="0F00EA2C" w14:textId="4E31ED0C" w:rsidR="00F90C19" w:rsidRPr="00514140" w:rsidRDefault="00F90C19" w:rsidP="00F90C19">
      <w:pPr>
        <w:pStyle w:val="Brdtext"/>
      </w:pPr>
      <w:r>
        <w:t>Vad gäller ål anser regeringen att bevarandeåtgärder behöver omfatta</w:t>
      </w:r>
      <w:r w:rsidR="00E24368">
        <w:t xml:space="preserve"> å</w:t>
      </w:r>
      <w:r>
        <w:t xml:space="preserve">lens </w:t>
      </w:r>
      <w:r w:rsidR="00E24368">
        <w:t xml:space="preserve">hela </w:t>
      </w:r>
      <w:r>
        <w:t xml:space="preserve">livscykel och annan mänsklig påverkan på beståndet för att få effekt. </w:t>
      </w:r>
      <w:bookmarkStart w:id="4" w:name="_Hlk213251371"/>
      <w:r w:rsidR="00A63DBD">
        <w:t>Regeringen</w:t>
      </w:r>
      <w:r w:rsidRPr="00894633">
        <w:t xml:space="preserve"> </w:t>
      </w:r>
      <w:r>
        <w:t xml:space="preserve">anser därför att ett effektivt genomförande av EU:s </w:t>
      </w:r>
      <w:proofErr w:type="spellStart"/>
      <w:r>
        <w:t>ålförordning</w:t>
      </w:r>
      <w:proofErr w:type="spellEnd"/>
      <w:r>
        <w:t xml:space="preserve"> bör säkerställas i hela unionen.</w:t>
      </w:r>
      <w:bookmarkEnd w:id="4"/>
      <w:r>
        <w:t xml:space="preserve"> </w:t>
      </w:r>
      <w:r w:rsidRPr="00FF0AB8">
        <w:rPr>
          <w:rFonts w:cs="Arial"/>
          <w:bCs/>
        </w:rPr>
        <w:t>Ansvaret för att bevara ålen behöver fördelas jämlikt bland medlemsstaterna och ge jämlika förutsättningar för ett framtida hållbart ålfiske.</w:t>
      </w:r>
      <w:r w:rsidRPr="00FF0AB8">
        <w:t xml:space="preserve"> Regeringen ställer sig positiv till den fortsatta möjligheten att samordna förbudsperioden mellan </w:t>
      </w:r>
      <w:proofErr w:type="gramStart"/>
      <w:r w:rsidR="00CC210E">
        <w:t>EUs</w:t>
      </w:r>
      <w:proofErr w:type="gramEnd"/>
      <w:r w:rsidR="00CC210E">
        <w:t xml:space="preserve"> medlems</w:t>
      </w:r>
      <w:r w:rsidR="00423429">
        <w:t>s</w:t>
      </w:r>
      <w:r w:rsidR="00CC210E">
        <w:t>tater</w:t>
      </w:r>
      <w:r w:rsidRPr="00FF0AB8">
        <w:t xml:space="preserve"> inom Östersjö- och </w:t>
      </w:r>
      <w:r>
        <w:t>V</w:t>
      </w:r>
      <w:r w:rsidRPr="00FF0AB8">
        <w:t>ästerhavsregionen, i regionalisering eller direkt i förordningen</w:t>
      </w:r>
      <w:r>
        <w:t xml:space="preserve"> i syfte</w:t>
      </w:r>
      <w:r w:rsidRPr="00894633">
        <w:t xml:space="preserve"> att </w:t>
      </w:r>
      <w:r>
        <w:t>främja</w:t>
      </w:r>
      <w:r w:rsidRPr="00894633">
        <w:t xml:space="preserve"> ålens möjlighet att vandra </w:t>
      </w:r>
      <w:r>
        <w:t>ut ur Östersjön</w:t>
      </w:r>
      <w:r w:rsidRPr="00894633">
        <w:t xml:space="preserve"> utan att fiskas upp på vägen. </w:t>
      </w:r>
    </w:p>
    <w:p w14:paraId="1A874C38" w14:textId="77777777" w:rsidR="007D542F" w:rsidRDefault="00BD344A"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5383C5BA" w14:textId="76DA6AD4" w:rsidR="007D542F" w:rsidRPr="00472EBA" w:rsidRDefault="00BA1C46" w:rsidP="007D542F">
      <w:pPr>
        <w:pStyle w:val="Brdtext"/>
      </w:pPr>
      <w:r>
        <w:t xml:space="preserve">Medlemsstaterna har lämnat preliminära synpunkter på kommissionens förslag i rådets förberedande organ. En majoritet av medlemsstaterna har bland annat </w:t>
      </w:r>
      <w:r>
        <w:lastRenderedPageBreak/>
        <w:t xml:space="preserve">givit uttryck för behovet av att inom de ramar som ställs i den gemensamma fiskeripolitiken undvika alltför stora svängningar i TAC mellan åren. En majoritet av </w:t>
      </w:r>
      <w:r w:rsidR="00CC210E">
        <w:t>medlemsstaterna</w:t>
      </w:r>
      <w:r>
        <w:t xml:space="preserve"> har också understrukit vikten av att undvika att fisket stoppas i förtid på grund av att vissa arter som förekommer i ett blandfiske blir för begränsande samt vikten av att mildra negativa socio-ekonomiska konsekvenser.</w:t>
      </w:r>
      <w:r w:rsidR="007253D9">
        <w:t xml:space="preserve"> Flera </w:t>
      </w:r>
      <w:r w:rsidR="0097527B">
        <w:t>medlemsstater</w:t>
      </w:r>
      <w:r w:rsidR="007253D9">
        <w:t xml:space="preserve"> har invänt mot </w:t>
      </w:r>
      <w:r w:rsidR="00CC210E">
        <w:t>kommissionens</w:t>
      </w:r>
      <w:r w:rsidR="007253D9">
        <w:t xml:space="preserve"> tolkning av artikel 4.6/4.7 i EU:s fleråriga planer för </w:t>
      </w:r>
      <w:proofErr w:type="spellStart"/>
      <w:r w:rsidR="007253D9">
        <w:t>demersala</w:t>
      </w:r>
      <w:proofErr w:type="spellEnd"/>
      <w:r w:rsidR="007253D9">
        <w:t xml:space="preserve"> bestånd i Nordostatlanten och i Nordvästliga vatten som innebär att fiskemöjligheterna behöver fastställas så att risken är lägre än 5% a</w:t>
      </w:r>
      <w:r w:rsidR="00CC210E">
        <w:t>v</w:t>
      </w:r>
      <w:r w:rsidR="007253D9">
        <w:t xml:space="preserve"> beståndet befinner sig utanför säkra biologiska gränser under nästa år.</w:t>
      </w:r>
    </w:p>
    <w:p w14:paraId="0145520E" w14:textId="77777777" w:rsidR="007D542F" w:rsidRDefault="00BD344A"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1F8DAF0E" w:rsidR="007D542F" w:rsidRPr="00472EBA" w:rsidRDefault="00BA1C46" w:rsidP="007D542F">
      <w:pPr>
        <w:pStyle w:val="Brdtext"/>
      </w:pPr>
      <w:r>
        <w:t>Institutionerna har inte yttrat sig.</w:t>
      </w:r>
    </w:p>
    <w:p w14:paraId="7E90AF29" w14:textId="77777777" w:rsidR="007D542F" w:rsidRDefault="00BD344A"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86384B5" w14:textId="5CF2B8A0" w:rsidR="00BA1C46" w:rsidRPr="00472EBA" w:rsidRDefault="00BA1C46" w:rsidP="00BA1C46">
      <w:r>
        <w:t>Förslaget har inte remitterats. Regeringen beredde dock yrkesfiskets organisationer, Fiskbranschens riksförbund, Sportfiskarna, Naturskydds</w:t>
      </w:r>
      <w:r>
        <w:softHyphen/>
        <w:t xml:space="preserve">föreningen, Världsnaturfonden (WWF), Baltic Waters 2030, </w:t>
      </w:r>
      <w:proofErr w:type="spellStart"/>
      <w:r>
        <w:t>Coalition</w:t>
      </w:r>
      <w:proofErr w:type="spellEnd"/>
      <w:r>
        <w:t xml:space="preserve"> Clean Baltic (CCB) och Fiskesekretariatet (FISHSEC) möjlighet att vid samrådsmöten under september 202</w:t>
      </w:r>
      <w:r w:rsidR="00CC210E">
        <w:t>5</w:t>
      </w:r>
      <w:r>
        <w:t xml:space="preserve"> yttra sig om fastställande av nästa års fiskemöjligheter. </w:t>
      </w:r>
    </w:p>
    <w:p w14:paraId="0F9CB7CD" w14:textId="71869823" w:rsidR="007D542F" w:rsidRPr="00472EBA" w:rsidRDefault="007D542F" w:rsidP="007D542F">
      <w:pPr>
        <w:pStyle w:val="Brdtext"/>
      </w:pP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BD344A"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2D029C5D" w:rsidR="007D542F" w:rsidRPr="00472EBA" w:rsidRDefault="00BA1C46" w:rsidP="00BA1C46">
      <w:r w:rsidRPr="00425545">
        <w:t>Artikel 43.3 i fördraget om Europeiska unionens funktionssätt. Beslut fattas av rådet med kvalificerad majoritet på förslag av kommissionen.</w:t>
      </w:r>
    </w:p>
    <w:p w14:paraId="3DC19CD6" w14:textId="77777777" w:rsidR="007D542F" w:rsidRDefault="00BD344A"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3F2C2891" w:rsidR="007D542F" w:rsidRPr="00472EBA" w:rsidRDefault="00BA1C46" w:rsidP="00BA1C46">
      <w:r w:rsidRPr="008F7761">
        <w:t>Kommissionen anger att förslaget omfattas av unionens exklusiva befogenhet i enlighet med artikel 3.1 d i fördraget om Europeiska unionens funktionssätt. Subsidiaritetsprincipen är därför inte tillämplig. Kommissionen anger vidare att förslaget är förenligt med proportionalitets</w:t>
      </w:r>
      <w:r>
        <w:softHyphen/>
      </w:r>
      <w:r w:rsidRPr="008F7761">
        <w:t>principen. Regeringen delar kommissionens bedömning.</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BD344A"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0D25E4E3" w14:textId="5C2A718D" w:rsidR="00BA1C46" w:rsidRDefault="00BA1C46" w:rsidP="00BA1C46">
      <w:bookmarkStart w:id="5" w:name="_Hlk525232202"/>
      <w:r w:rsidRPr="008F7761">
        <w:t xml:space="preserve">Kommissionens förslag till förordning kommer att </w:t>
      </w:r>
      <w:r>
        <w:t xml:space="preserve">kompletteras främst med de fiskemöjligheter som förhandlas med tredje länder och fortsätta att </w:t>
      </w:r>
      <w:r w:rsidRPr="008F7761">
        <w:t>diskuteras</w:t>
      </w:r>
      <w:r>
        <w:t xml:space="preserve"> </w:t>
      </w:r>
      <w:bookmarkEnd w:id="5"/>
      <w:r>
        <w:t xml:space="preserve">i </w:t>
      </w:r>
      <w:r w:rsidRPr="008F7761">
        <w:t>rådet</w:t>
      </w:r>
      <w:r>
        <w:t>s förberedande organ under november och december</w:t>
      </w:r>
      <w:r w:rsidRPr="008F7761">
        <w:t xml:space="preserve"> med målsättningen att rådet ska nå en politisk överenskommelse vid Jordbruks- och fiskerådet den </w:t>
      </w:r>
      <w:proofErr w:type="gramStart"/>
      <w:r w:rsidR="00F90C19">
        <w:t>11-12</w:t>
      </w:r>
      <w:proofErr w:type="gramEnd"/>
      <w:r>
        <w:t xml:space="preserve"> december</w:t>
      </w:r>
      <w:r w:rsidRPr="008F7761">
        <w:t xml:space="preserve"> 20</w:t>
      </w:r>
      <w:r>
        <w:t>2</w:t>
      </w:r>
      <w:r w:rsidR="00F90C19">
        <w:t>5</w:t>
      </w:r>
      <w:r w:rsidRPr="008F7761">
        <w:t>.</w:t>
      </w:r>
      <w:r>
        <w:t xml:space="preserve"> </w:t>
      </w:r>
    </w:p>
    <w:p w14:paraId="6C3CB9F4" w14:textId="5D66969A" w:rsidR="007D542F" w:rsidRDefault="007D542F" w:rsidP="007D542F">
      <w:pPr>
        <w:pStyle w:val="Brdtext"/>
      </w:pPr>
    </w:p>
    <w:p w14:paraId="70B6A4A6" w14:textId="77777777" w:rsidR="007D542F" w:rsidRDefault="00BD344A"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4117E669" w14:textId="13050A62" w:rsidR="00885591" w:rsidRDefault="00885591" w:rsidP="00885591">
      <w:r>
        <w:t xml:space="preserve">TAC: Total </w:t>
      </w:r>
      <w:proofErr w:type="spellStart"/>
      <w:r>
        <w:t>Allowable</w:t>
      </w:r>
      <w:proofErr w:type="spellEnd"/>
      <w:r>
        <w:t xml:space="preserve"> Catch; Maximal tillåten fångst</w:t>
      </w:r>
    </w:p>
    <w:p w14:paraId="4CEF0EB4" w14:textId="7C5C08C1" w:rsidR="00885591" w:rsidRDefault="00885591" w:rsidP="00885591">
      <w:r>
        <w:t>Kvot: Kvoten är den del av TAC som en medlemsstat tilldelats</w:t>
      </w:r>
      <w:r w:rsidR="00A06879">
        <w:t xml:space="preserve"> i ett område</w:t>
      </w:r>
      <w:r>
        <w:t xml:space="preserve"> enligt en fast fördelningsnyckel.</w:t>
      </w:r>
    </w:p>
    <w:p w14:paraId="0A13F0F3" w14:textId="2B5B3245" w:rsidR="00885591" w:rsidRDefault="00885591" w:rsidP="00885591">
      <w:r>
        <w:t xml:space="preserve">MSY: Maximal hållbar avkastning som </w:t>
      </w:r>
      <w:r w:rsidR="001532B2">
        <w:t xml:space="preserve">är ett av målen i den gemensamma fiskeripolitiken och som </w:t>
      </w:r>
      <w:r>
        <w:t>kan uttryckas som e</w:t>
      </w:r>
      <w:r w:rsidR="001532B2">
        <w:t>n fast nivå</w:t>
      </w:r>
      <w:r>
        <w:t xml:space="preserve"> eller som ett försiktighetsintervall som </w:t>
      </w:r>
      <w:r w:rsidR="001532B2">
        <w:t xml:space="preserve">i båda fallen </w:t>
      </w:r>
      <w:r>
        <w:t>innebär att risken för att bestånden hamnar utanför säkra biologiska gränser ska vara mindre än 5 procent.</w:t>
      </w:r>
    </w:p>
    <w:p w14:paraId="3A0F60C9" w14:textId="77777777" w:rsidR="00885591" w:rsidRPr="00885591" w:rsidRDefault="00885591" w:rsidP="00885591">
      <w:pPr>
        <w:rPr>
          <w:lang w:val="en-GB"/>
        </w:rPr>
      </w:pPr>
      <w:r w:rsidRPr="00885591">
        <w:rPr>
          <w:lang w:val="en-GB"/>
        </w:rPr>
        <w:t xml:space="preserve">ICES: International Council for the Exploration of the Sea/Internationella </w:t>
      </w:r>
      <w:proofErr w:type="spellStart"/>
      <w:r w:rsidRPr="00885591">
        <w:rPr>
          <w:lang w:val="en-GB"/>
        </w:rPr>
        <w:t>Havsforskningsrådet</w:t>
      </w:r>
      <w:proofErr w:type="spellEnd"/>
    </w:p>
    <w:p w14:paraId="7B00D5EF" w14:textId="77777777" w:rsidR="00885591" w:rsidRPr="00885591" w:rsidRDefault="00885591" w:rsidP="00885591">
      <w:pPr>
        <w:rPr>
          <w:lang w:val="en-GB"/>
        </w:rPr>
      </w:pPr>
    </w:p>
    <w:p w14:paraId="29D75A6F" w14:textId="49CE865A" w:rsidR="007D542F" w:rsidRPr="00885591" w:rsidRDefault="007D542F" w:rsidP="00A45A84">
      <w:pPr>
        <w:pStyle w:val="Brdtext"/>
        <w:rPr>
          <w:lang w:val="en-GB"/>
        </w:rPr>
      </w:pPr>
    </w:p>
    <w:sectPr w:rsidR="007D542F" w:rsidRPr="00885591"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B7D7" w14:textId="77777777" w:rsidR="00004F05" w:rsidRDefault="00004F05" w:rsidP="00A87A54">
      <w:pPr>
        <w:spacing w:after="0" w:line="240" w:lineRule="auto"/>
      </w:pPr>
      <w:r>
        <w:separator/>
      </w:r>
    </w:p>
  </w:endnote>
  <w:endnote w:type="continuationSeparator" w:id="0">
    <w:p w14:paraId="225EDFD5" w14:textId="77777777" w:rsidR="00004F05" w:rsidRDefault="00004F05" w:rsidP="00A87A54">
      <w:pPr>
        <w:spacing w:after="0" w:line="240" w:lineRule="auto"/>
      </w:pPr>
      <w:r>
        <w:continuationSeparator/>
      </w:r>
    </w:p>
  </w:endnote>
  <w:endnote w:type="continuationNotice" w:id="1">
    <w:p w14:paraId="7605CE48" w14:textId="77777777" w:rsidR="00114E1C" w:rsidRDefault="00114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CB4A" w14:textId="77777777" w:rsidR="00004F05" w:rsidRDefault="00004F05" w:rsidP="00A87A54">
      <w:pPr>
        <w:spacing w:after="0" w:line="240" w:lineRule="auto"/>
      </w:pPr>
      <w:r>
        <w:separator/>
      </w:r>
    </w:p>
  </w:footnote>
  <w:footnote w:type="continuationSeparator" w:id="0">
    <w:p w14:paraId="4FAC58E8" w14:textId="77777777" w:rsidR="00004F05" w:rsidRDefault="00004F05" w:rsidP="00A87A54">
      <w:pPr>
        <w:spacing w:after="0" w:line="240" w:lineRule="auto"/>
      </w:pPr>
      <w:r>
        <w:continuationSeparator/>
      </w:r>
    </w:p>
  </w:footnote>
  <w:footnote w:type="continuationNotice" w:id="1">
    <w:p w14:paraId="77BF22CD" w14:textId="77777777" w:rsidR="00114E1C" w:rsidRDefault="00114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45B6" w14:textId="23D21F65" w:rsidR="003C3720" w:rsidRDefault="00BD344A"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C7057">
          <w:t>2025/26</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944956">
          <w:t>38</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1-27"/>
    <w:docVar w:name="Ar" w:val="2025/26"/>
    <w:docVar w:name="Dep" w:val="Landsbygds- och infrastrukturdepartementet"/>
    <w:docVar w:name="GDB1" w:val="COM (2025) 6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för 2026, 2027 och 2028 av fiskemöjligheterna avseende vissa fiskbestånd, i unionens vatten, och för unionsfiskefartyg, i vissa andra vat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662"/>
    <w:docVar w:name="Nr" w:val="38"/>
    <w:docVar w:name="Rub" w:val="Förordning om fiskemöjligheter i EU:s vatten i Nordostatlanten och i vissa vatten utanför EU för 2026, 2027 och 2028"/>
    <w:docVar w:name="UppDat" w:val="2025-11-27"/>
    <w:docVar w:name="Utsk" w:val="Miljö- och jordbruksutskottet"/>
  </w:docVars>
  <w:rsids>
    <w:rsidRoot w:val="00E70741"/>
    <w:rsid w:val="00000290"/>
    <w:rsid w:val="00001068"/>
    <w:rsid w:val="00002B4B"/>
    <w:rsid w:val="0000412C"/>
    <w:rsid w:val="00004D5C"/>
    <w:rsid w:val="00004F05"/>
    <w:rsid w:val="00004F6F"/>
    <w:rsid w:val="00005F68"/>
    <w:rsid w:val="00006CA7"/>
    <w:rsid w:val="000128EB"/>
    <w:rsid w:val="00012B00"/>
    <w:rsid w:val="00014EF6"/>
    <w:rsid w:val="00015612"/>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40B1"/>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1544"/>
    <w:rsid w:val="00072C86"/>
    <w:rsid w:val="00072FFC"/>
    <w:rsid w:val="00073B75"/>
    <w:rsid w:val="000757FC"/>
    <w:rsid w:val="00075FF0"/>
    <w:rsid w:val="00076667"/>
    <w:rsid w:val="000769B8"/>
    <w:rsid w:val="00080631"/>
    <w:rsid w:val="00082374"/>
    <w:rsid w:val="00084CB9"/>
    <w:rsid w:val="000862E0"/>
    <w:rsid w:val="000873C3"/>
    <w:rsid w:val="00090A5F"/>
    <w:rsid w:val="00093408"/>
    <w:rsid w:val="00093BBF"/>
    <w:rsid w:val="0009435C"/>
    <w:rsid w:val="0009572A"/>
    <w:rsid w:val="00096DF5"/>
    <w:rsid w:val="000A13CA"/>
    <w:rsid w:val="000A1F90"/>
    <w:rsid w:val="000A456A"/>
    <w:rsid w:val="000A5E43"/>
    <w:rsid w:val="000B204C"/>
    <w:rsid w:val="000B56A9"/>
    <w:rsid w:val="000B5E2C"/>
    <w:rsid w:val="000C2167"/>
    <w:rsid w:val="000C61D1"/>
    <w:rsid w:val="000D31A9"/>
    <w:rsid w:val="000D370F"/>
    <w:rsid w:val="000D5449"/>
    <w:rsid w:val="000D7110"/>
    <w:rsid w:val="000D7D18"/>
    <w:rsid w:val="000E12D9"/>
    <w:rsid w:val="000E431B"/>
    <w:rsid w:val="000E5184"/>
    <w:rsid w:val="000E59A9"/>
    <w:rsid w:val="000E638A"/>
    <w:rsid w:val="000E6472"/>
    <w:rsid w:val="000E64CB"/>
    <w:rsid w:val="000F00B8"/>
    <w:rsid w:val="000F1EA7"/>
    <w:rsid w:val="000F2084"/>
    <w:rsid w:val="000F2A8A"/>
    <w:rsid w:val="000F3A92"/>
    <w:rsid w:val="000F6462"/>
    <w:rsid w:val="00101DE6"/>
    <w:rsid w:val="001055DA"/>
    <w:rsid w:val="00106F29"/>
    <w:rsid w:val="00111385"/>
    <w:rsid w:val="00113168"/>
    <w:rsid w:val="0011413E"/>
    <w:rsid w:val="00114E1C"/>
    <w:rsid w:val="0011571B"/>
    <w:rsid w:val="00116BC4"/>
    <w:rsid w:val="0012033A"/>
    <w:rsid w:val="00121002"/>
    <w:rsid w:val="00121EA2"/>
    <w:rsid w:val="00121FF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32B2"/>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3E62"/>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0D78"/>
    <w:rsid w:val="0022187E"/>
    <w:rsid w:val="00222258"/>
    <w:rsid w:val="00223AD6"/>
    <w:rsid w:val="0022666A"/>
    <w:rsid w:val="00227E43"/>
    <w:rsid w:val="00230902"/>
    <w:rsid w:val="002315F5"/>
    <w:rsid w:val="00232EC3"/>
    <w:rsid w:val="00233D52"/>
    <w:rsid w:val="00237147"/>
    <w:rsid w:val="00240F70"/>
    <w:rsid w:val="00242AD1"/>
    <w:rsid w:val="0024412C"/>
    <w:rsid w:val="0024537C"/>
    <w:rsid w:val="002479CD"/>
    <w:rsid w:val="00253CC8"/>
    <w:rsid w:val="0025484A"/>
    <w:rsid w:val="00260D2D"/>
    <w:rsid w:val="00261975"/>
    <w:rsid w:val="00264503"/>
    <w:rsid w:val="00271D00"/>
    <w:rsid w:val="00274AA3"/>
    <w:rsid w:val="00275872"/>
    <w:rsid w:val="002769FD"/>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E62A6"/>
    <w:rsid w:val="002F204A"/>
    <w:rsid w:val="002F3675"/>
    <w:rsid w:val="002F4D2E"/>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690"/>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C7DB6"/>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76FF"/>
    <w:rsid w:val="0042068E"/>
    <w:rsid w:val="00421C61"/>
    <w:rsid w:val="00422030"/>
    <w:rsid w:val="00422A7F"/>
    <w:rsid w:val="00423429"/>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3C38"/>
    <w:rsid w:val="00464CA1"/>
    <w:rsid w:val="004660C8"/>
    <w:rsid w:val="00467DEF"/>
    <w:rsid w:val="00471DFC"/>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19E7"/>
    <w:rsid w:val="0050238B"/>
    <w:rsid w:val="00505905"/>
    <w:rsid w:val="00511A1B"/>
    <w:rsid w:val="00511A68"/>
    <w:rsid w:val="005121C0"/>
    <w:rsid w:val="00513E7D"/>
    <w:rsid w:val="00514A67"/>
    <w:rsid w:val="00515921"/>
    <w:rsid w:val="00520A46"/>
    <w:rsid w:val="00521192"/>
    <w:rsid w:val="0052127C"/>
    <w:rsid w:val="00526AEB"/>
    <w:rsid w:val="005302E0"/>
    <w:rsid w:val="005308B0"/>
    <w:rsid w:val="00534E52"/>
    <w:rsid w:val="005365B6"/>
    <w:rsid w:val="00541FA7"/>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531"/>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0351"/>
    <w:rsid w:val="005B115A"/>
    <w:rsid w:val="005B3ADC"/>
    <w:rsid w:val="005B537F"/>
    <w:rsid w:val="005C120D"/>
    <w:rsid w:val="005C15B3"/>
    <w:rsid w:val="005C3316"/>
    <w:rsid w:val="005C6F80"/>
    <w:rsid w:val="005D07C2"/>
    <w:rsid w:val="005D2817"/>
    <w:rsid w:val="005D2EA8"/>
    <w:rsid w:val="005E2F29"/>
    <w:rsid w:val="005E400D"/>
    <w:rsid w:val="005E49D4"/>
    <w:rsid w:val="005E4E79"/>
    <w:rsid w:val="005E5CE7"/>
    <w:rsid w:val="005E790C"/>
    <w:rsid w:val="005F08C5"/>
    <w:rsid w:val="005F29B4"/>
    <w:rsid w:val="005F6EB0"/>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36879"/>
    <w:rsid w:val="0064133A"/>
    <w:rsid w:val="006416D1"/>
    <w:rsid w:val="00643CA5"/>
    <w:rsid w:val="00647FD7"/>
    <w:rsid w:val="00650080"/>
    <w:rsid w:val="00651F17"/>
    <w:rsid w:val="0065382D"/>
    <w:rsid w:val="00654B4D"/>
    <w:rsid w:val="0065559D"/>
    <w:rsid w:val="00655A40"/>
    <w:rsid w:val="00657D11"/>
    <w:rsid w:val="00660D84"/>
    <w:rsid w:val="00660DD7"/>
    <w:rsid w:val="00660EBF"/>
    <w:rsid w:val="0066133A"/>
    <w:rsid w:val="00663196"/>
    <w:rsid w:val="0066378C"/>
    <w:rsid w:val="0066661D"/>
    <w:rsid w:val="006700F0"/>
    <w:rsid w:val="006706EA"/>
    <w:rsid w:val="00670A48"/>
    <w:rsid w:val="00672F6F"/>
    <w:rsid w:val="00674C2F"/>
    <w:rsid w:val="00674C8B"/>
    <w:rsid w:val="00676786"/>
    <w:rsid w:val="006809DD"/>
    <w:rsid w:val="00683680"/>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E3487"/>
    <w:rsid w:val="006F2588"/>
    <w:rsid w:val="006F25F9"/>
    <w:rsid w:val="00700E5A"/>
    <w:rsid w:val="00710A6C"/>
    <w:rsid w:val="00710D98"/>
    <w:rsid w:val="00711CE9"/>
    <w:rsid w:val="00712266"/>
    <w:rsid w:val="00712593"/>
    <w:rsid w:val="00712D82"/>
    <w:rsid w:val="00716B08"/>
    <w:rsid w:val="00716E22"/>
    <w:rsid w:val="007171AB"/>
    <w:rsid w:val="007213D0"/>
    <w:rsid w:val="007219C0"/>
    <w:rsid w:val="00721D8B"/>
    <w:rsid w:val="0072347F"/>
    <w:rsid w:val="007253D9"/>
    <w:rsid w:val="00731C75"/>
    <w:rsid w:val="00732599"/>
    <w:rsid w:val="00743E09"/>
    <w:rsid w:val="00744FCC"/>
    <w:rsid w:val="00747B9C"/>
    <w:rsid w:val="00750C93"/>
    <w:rsid w:val="00751B91"/>
    <w:rsid w:val="00754947"/>
    <w:rsid w:val="00754E24"/>
    <w:rsid w:val="00757B3B"/>
    <w:rsid w:val="007618C5"/>
    <w:rsid w:val="00764FA6"/>
    <w:rsid w:val="00765294"/>
    <w:rsid w:val="00766E3C"/>
    <w:rsid w:val="007714AB"/>
    <w:rsid w:val="00771DFA"/>
    <w:rsid w:val="007720D9"/>
    <w:rsid w:val="00773075"/>
    <w:rsid w:val="00773F36"/>
    <w:rsid w:val="00775BF6"/>
    <w:rsid w:val="00776254"/>
    <w:rsid w:val="00776436"/>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199B"/>
    <w:rsid w:val="00832661"/>
    <w:rsid w:val="00833F32"/>
    <w:rsid w:val="008349AA"/>
    <w:rsid w:val="008375D5"/>
    <w:rsid w:val="00841486"/>
    <w:rsid w:val="008427AE"/>
    <w:rsid w:val="00842BC9"/>
    <w:rsid w:val="00842D02"/>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5591"/>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C6DF0"/>
    <w:rsid w:val="008D0305"/>
    <w:rsid w:val="008D0A21"/>
    <w:rsid w:val="008D2D6B"/>
    <w:rsid w:val="008D3090"/>
    <w:rsid w:val="008D4306"/>
    <w:rsid w:val="008D4508"/>
    <w:rsid w:val="008D4DC4"/>
    <w:rsid w:val="008D5BCA"/>
    <w:rsid w:val="008D5E79"/>
    <w:rsid w:val="008D7CAF"/>
    <w:rsid w:val="008E02EE"/>
    <w:rsid w:val="008E65A8"/>
    <w:rsid w:val="008E77D6"/>
    <w:rsid w:val="008F3D70"/>
    <w:rsid w:val="009036E7"/>
    <w:rsid w:val="0090605F"/>
    <w:rsid w:val="00907069"/>
    <w:rsid w:val="0091053B"/>
    <w:rsid w:val="00912158"/>
    <w:rsid w:val="00912945"/>
    <w:rsid w:val="00912CBD"/>
    <w:rsid w:val="009144EE"/>
    <w:rsid w:val="00915D4C"/>
    <w:rsid w:val="0092135B"/>
    <w:rsid w:val="009279B2"/>
    <w:rsid w:val="00935814"/>
    <w:rsid w:val="00944956"/>
    <w:rsid w:val="0094502D"/>
    <w:rsid w:val="00946561"/>
    <w:rsid w:val="00946B39"/>
    <w:rsid w:val="00947013"/>
    <w:rsid w:val="0095062C"/>
    <w:rsid w:val="009546CB"/>
    <w:rsid w:val="00956EA9"/>
    <w:rsid w:val="00963CC1"/>
    <w:rsid w:val="00966E40"/>
    <w:rsid w:val="00971BC4"/>
    <w:rsid w:val="00973084"/>
    <w:rsid w:val="00973422"/>
    <w:rsid w:val="00973CBD"/>
    <w:rsid w:val="00974520"/>
    <w:rsid w:val="00974B59"/>
    <w:rsid w:val="0097527B"/>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06879"/>
    <w:rsid w:val="00A12A69"/>
    <w:rsid w:val="00A2019A"/>
    <w:rsid w:val="00A21091"/>
    <w:rsid w:val="00A222BA"/>
    <w:rsid w:val="00A23493"/>
    <w:rsid w:val="00A2416A"/>
    <w:rsid w:val="00A30E06"/>
    <w:rsid w:val="00A31EC8"/>
    <w:rsid w:val="00A3270B"/>
    <w:rsid w:val="00A333A9"/>
    <w:rsid w:val="00A35F50"/>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3DBD"/>
    <w:rsid w:val="00A65996"/>
    <w:rsid w:val="00A67276"/>
    <w:rsid w:val="00A67588"/>
    <w:rsid w:val="00A67840"/>
    <w:rsid w:val="00A7164F"/>
    <w:rsid w:val="00A71A9E"/>
    <w:rsid w:val="00A7382D"/>
    <w:rsid w:val="00A7434A"/>
    <w:rsid w:val="00A743AC"/>
    <w:rsid w:val="00A75AB7"/>
    <w:rsid w:val="00A833B9"/>
    <w:rsid w:val="00A8483F"/>
    <w:rsid w:val="00A870B0"/>
    <w:rsid w:val="00A8728A"/>
    <w:rsid w:val="00A87A54"/>
    <w:rsid w:val="00AA105C"/>
    <w:rsid w:val="00AA1809"/>
    <w:rsid w:val="00AA18F6"/>
    <w:rsid w:val="00AA1FFE"/>
    <w:rsid w:val="00AA23C3"/>
    <w:rsid w:val="00AA3F2E"/>
    <w:rsid w:val="00AA72F4"/>
    <w:rsid w:val="00AB10E7"/>
    <w:rsid w:val="00AB4D25"/>
    <w:rsid w:val="00AB5033"/>
    <w:rsid w:val="00AB5298"/>
    <w:rsid w:val="00AB5519"/>
    <w:rsid w:val="00AB6313"/>
    <w:rsid w:val="00AB6F47"/>
    <w:rsid w:val="00AB71DD"/>
    <w:rsid w:val="00AC15C5"/>
    <w:rsid w:val="00AC59D3"/>
    <w:rsid w:val="00AD0E75"/>
    <w:rsid w:val="00AE7378"/>
    <w:rsid w:val="00AE77EB"/>
    <w:rsid w:val="00AE7BD8"/>
    <w:rsid w:val="00AE7D02"/>
    <w:rsid w:val="00AF0BB7"/>
    <w:rsid w:val="00AF0BDE"/>
    <w:rsid w:val="00AF0EDE"/>
    <w:rsid w:val="00AF36DC"/>
    <w:rsid w:val="00AF460E"/>
    <w:rsid w:val="00AF4853"/>
    <w:rsid w:val="00AF53B9"/>
    <w:rsid w:val="00AF6A10"/>
    <w:rsid w:val="00AF73AD"/>
    <w:rsid w:val="00B00702"/>
    <w:rsid w:val="00B0110B"/>
    <w:rsid w:val="00B0234E"/>
    <w:rsid w:val="00B04799"/>
    <w:rsid w:val="00B06751"/>
    <w:rsid w:val="00B06B65"/>
    <w:rsid w:val="00B07931"/>
    <w:rsid w:val="00B13241"/>
    <w:rsid w:val="00B13699"/>
    <w:rsid w:val="00B136A7"/>
    <w:rsid w:val="00B149E2"/>
    <w:rsid w:val="00B14E3B"/>
    <w:rsid w:val="00B1516B"/>
    <w:rsid w:val="00B17D9A"/>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963"/>
    <w:rsid w:val="00B73091"/>
    <w:rsid w:val="00B74C19"/>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1C46"/>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C7057"/>
    <w:rsid w:val="00BD0826"/>
    <w:rsid w:val="00BD15AB"/>
    <w:rsid w:val="00BD181D"/>
    <w:rsid w:val="00BD344A"/>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058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142"/>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210E"/>
    <w:rsid w:val="00CC3DA7"/>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6504"/>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2FB8"/>
    <w:rsid w:val="00D73F9D"/>
    <w:rsid w:val="00D74B7C"/>
    <w:rsid w:val="00D74FBF"/>
    <w:rsid w:val="00D76068"/>
    <w:rsid w:val="00D76B01"/>
    <w:rsid w:val="00D804A2"/>
    <w:rsid w:val="00D84704"/>
    <w:rsid w:val="00D84BF9"/>
    <w:rsid w:val="00D8517D"/>
    <w:rsid w:val="00D915F8"/>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2F91"/>
    <w:rsid w:val="00DC3E45"/>
    <w:rsid w:val="00DC4598"/>
    <w:rsid w:val="00DD0722"/>
    <w:rsid w:val="00DD0B3D"/>
    <w:rsid w:val="00DD212F"/>
    <w:rsid w:val="00DE18F5"/>
    <w:rsid w:val="00DE20E8"/>
    <w:rsid w:val="00DE73D2"/>
    <w:rsid w:val="00DF5BFB"/>
    <w:rsid w:val="00DF5CD6"/>
    <w:rsid w:val="00E00465"/>
    <w:rsid w:val="00E022DA"/>
    <w:rsid w:val="00E032A1"/>
    <w:rsid w:val="00E03BCB"/>
    <w:rsid w:val="00E124DC"/>
    <w:rsid w:val="00E12EB5"/>
    <w:rsid w:val="00E15A41"/>
    <w:rsid w:val="00E16825"/>
    <w:rsid w:val="00E22D68"/>
    <w:rsid w:val="00E24368"/>
    <w:rsid w:val="00E247D9"/>
    <w:rsid w:val="00E258D8"/>
    <w:rsid w:val="00E26DDF"/>
    <w:rsid w:val="00E270E5"/>
    <w:rsid w:val="00E30167"/>
    <w:rsid w:val="00E324C0"/>
    <w:rsid w:val="00E32C2B"/>
    <w:rsid w:val="00E33493"/>
    <w:rsid w:val="00E334BC"/>
    <w:rsid w:val="00E37922"/>
    <w:rsid w:val="00E37CF5"/>
    <w:rsid w:val="00E406DF"/>
    <w:rsid w:val="00E415D3"/>
    <w:rsid w:val="00E43044"/>
    <w:rsid w:val="00E469E4"/>
    <w:rsid w:val="00E475C3"/>
    <w:rsid w:val="00E509B0"/>
    <w:rsid w:val="00E50B11"/>
    <w:rsid w:val="00E54246"/>
    <w:rsid w:val="00E55D8E"/>
    <w:rsid w:val="00E6641E"/>
    <w:rsid w:val="00E66F18"/>
    <w:rsid w:val="00E70741"/>
    <w:rsid w:val="00E70856"/>
    <w:rsid w:val="00E727DE"/>
    <w:rsid w:val="00E74964"/>
    <w:rsid w:val="00E74A30"/>
    <w:rsid w:val="00E77778"/>
    <w:rsid w:val="00E77B7E"/>
    <w:rsid w:val="00E77BA8"/>
    <w:rsid w:val="00E8139F"/>
    <w:rsid w:val="00E82DF1"/>
    <w:rsid w:val="00E83FDC"/>
    <w:rsid w:val="00E84754"/>
    <w:rsid w:val="00E90CAA"/>
    <w:rsid w:val="00E93339"/>
    <w:rsid w:val="00E96532"/>
    <w:rsid w:val="00E973A0"/>
    <w:rsid w:val="00EA1688"/>
    <w:rsid w:val="00EA1AFC"/>
    <w:rsid w:val="00EA2317"/>
    <w:rsid w:val="00EA34A9"/>
    <w:rsid w:val="00EA3A7D"/>
    <w:rsid w:val="00EA4C83"/>
    <w:rsid w:val="00EB0A37"/>
    <w:rsid w:val="00EB763D"/>
    <w:rsid w:val="00EB7EC2"/>
    <w:rsid w:val="00EB7FE4"/>
    <w:rsid w:val="00EC0A92"/>
    <w:rsid w:val="00EC189A"/>
    <w:rsid w:val="00EC1DA0"/>
    <w:rsid w:val="00EC329B"/>
    <w:rsid w:val="00EC5EB9"/>
    <w:rsid w:val="00EC6006"/>
    <w:rsid w:val="00EC71A6"/>
    <w:rsid w:val="00EC73EB"/>
    <w:rsid w:val="00ED40F4"/>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2E13"/>
    <w:rsid w:val="00F14024"/>
    <w:rsid w:val="00F14FA3"/>
    <w:rsid w:val="00F15DB1"/>
    <w:rsid w:val="00F16E3B"/>
    <w:rsid w:val="00F17FC9"/>
    <w:rsid w:val="00F20A78"/>
    <w:rsid w:val="00F218E5"/>
    <w:rsid w:val="00F22AB1"/>
    <w:rsid w:val="00F24297"/>
    <w:rsid w:val="00F2564A"/>
    <w:rsid w:val="00F25761"/>
    <w:rsid w:val="00F259D7"/>
    <w:rsid w:val="00F32482"/>
    <w:rsid w:val="00F32D05"/>
    <w:rsid w:val="00F34BFC"/>
    <w:rsid w:val="00F35263"/>
    <w:rsid w:val="00F35E34"/>
    <w:rsid w:val="00F403BF"/>
    <w:rsid w:val="00F4342F"/>
    <w:rsid w:val="00F448BD"/>
    <w:rsid w:val="00F45227"/>
    <w:rsid w:val="00F457CB"/>
    <w:rsid w:val="00F5045C"/>
    <w:rsid w:val="00F520C7"/>
    <w:rsid w:val="00F53AEA"/>
    <w:rsid w:val="00F547AF"/>
    <w:rsid w:val="00F55AC7"/>
    <w:rsid w:val="00F55FC9"/>
    <w:rsid w:val="00F563CD"/>
    <w:rsid w:val="00F5663B"/>
    <w:rsid w:val="00F5674D"/>
    <w:rsid w:val="00F57179"/>
    <w:rsid w:val="00F6232D"/>
    <w:rsid w:val="00F6392C"/>
    <w:rsid w:val="00F64256"/>
    <w:rsid w:val="00F66093"/>
    <w:rsid w:val="00F66518"/>
    <w:rsid w:val="00F66657"/>
    <w:rsid w:val="00F6751E"/>
    <w:rsid w:val="00F70848"/>
    <w:rsid w:val="00F73A60"/>
    <w:rsid w:val="00F74E78"/>
    <w:rsid w:val="00F8015D"/>
    <w:rsid w:val="00F829C7"/>
    <w:rsid w:val="00F834AA"/>
    <w:rsid w:val="00F848D6"/>
    <w:rsid w:val="00F859AE"/>
    <w:rsid w:val="00F9071F"/>
    <w:rsid w:val="00F90C19"/>
    <w:rsid w:val="00F922B2"/>
    <w:rsid w:val="00F93B1C"/>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0AB8"/>
    <w:rsid w:val="00FF158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11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66392C" w:rsidRDefault="0066392C">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66392C" w:rsidRDefault="0066392C">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66392C" w:rsidRDefault="0066392C">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66392C" w:rsidRDefault="0066392C">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66392C" w:rsidRDefault="0066392C">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66392C" w:rsidRDefault="0066392C">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66392C" w:rsidRDefault="0066392C">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C5519AF1D96487BA80653E2F9D10436"/>
        <w:category>
          <w:name w:val="Allmänt"/>
          <w:gallery w:val="placeholder"/>
        </w:category>
        <w:types>
          <w:type w:val="bbPlcHdr"/>
        </w:types>
        <w:behaviors>
          <w:behavior w:val="content"/>
        </w:behaviors>
        <w:guid w:val="{2F906198-AA2F-4EBF-B788-B5E922763A18}"/>
      </w:docPartPr>
      <w:docPartBody>
        <w:p w:rsidR="00683D26" w:rsidRDefault="00683D26">
          <w:r w:rsidRPr="00F77645">
            <w:rPr>
              <w:rStyle w:val="Platshllartext"/>
            </w:rPr>
            <w:t xml:space="preserve"> </w:t>
          </w:r>
        </w:p>
      </w:docPartBody>
    </w:docPart>
    <w:docPart>
      <w:docPartPr>
        <w:name w:val="15271955F4DE4139B327E321C9BC2669"/>
        <w:category>
          <w:name w:val="Allmänt"/>
          <w:gallery w:val="placeholder"/>
        </w:category>
        <w:types>
          <w:type w:val="bbPlcHdr"/>
        </w:types>
        <w:behaviors>
          <w:behavior w:val="content"/>
        </w:behaviors>
        <w:guid w:val="{055DCC64-567B-4AB2-B7D2-7CD565A40511}"/>
      </w:docPartPr>
      <w:docPartBody>
        <w:p w:rsidR="00683D26" w:rsidRDefault="00683D26">
          <w:r w:rsidRPr="00F77645">
            <w:rPr>
              <w:rStyle w:val="Platshllartext"/>
            </w:rPr>
            <w:t xml:space="preserve"> </w:t>
          </w:r>
        </w:p>
      </w:docPartBody>
    </w:docPart>
    <w:docPart>
      <w:docPartPr>
        <w:name w:val="5C03D688C878400989A86D630C5E4A94"/>
        <w:category>
          <w:name w:val="Allmänt"/>
          <w:gallery w:val="placeholder"/>
        </w:category>
        <w:types>
          <w:type w:val="bbPlcHdr"/>
        </w:types>
        <w:behaviors>
          <w:behavior w:val="content"/>
        </w:behaviors>
        <w:guid w:val="{333D3756-8DF2-4D41-BCB4-A2D94576EC9C}"/>
      </w:docPartPr>
      <w:docPartBody>
        <w:p w:rsidR="00683D26" w:rsidRDefault="00683D26">
          <w:r w:rsidRPr="00F77645">
            <w:rPr>
              <w:rStyle w:val="Platshllartext"/>
            </w:rPr>
            <w:t xml:space="preserve"> </w:t>
          </w:r>
        </w:p>
      </w:docPartBody>
    </w:docPart>
    <w:docPart>
      <w:docPartPr>
        <w:name w:val="00F569FC0A6948B89BB4B7D390884E07"/>
        <w:category>
          <w:name w:val="Allmänt"/>
          <w:gallery w:val="placeholder"/>
        </w:category>
        <w:types>
          <w:type w:val="bbPlcHdr"/>
        </w:types>
        <w:behaviors>
          <w:behavior w:val="content"/>
        </w:behaviors>
        <w:guid w:val="{8C7DCD5B-6400-4667-BC1D-C11AD2C3BD80}"/>
      </w:docPartPr>
      <w:docPartBody>
        <w:p w:rsidR="00683D26" w:rsidRDefault="00683D26">
          <w:r w:rsidRPr="00F7764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2C"/>
    <w:rsid w:val="000340B1"/>
    <w:rsid w:val="00084CB9"/>
    <w:rsid w:val="000B204C"/>
    <w:rsid w:val="002B3918"/>
    <w:rsid w:val="005B0351"/>
    <w:rsid w:val="00643CA5"/>
    <w:rsid w:val="0066392C"/>
    <w:rsid w:val="00683D26"/>
    <w:rsid w:val="008724C5"/>
    <w:rsid w:val="00963CC1"/>
    <w:rsid w:val="00A15244"/>
    <w:rsid w:val="00A7434A"/>
    <w:rsid w:val="00BB0365"/>
    <w:rsid w:val="00C36142"/>
    <w:rsid w:val="00D72FB8"/>
    <w:rsid w:val="00DE20E8"/>
    <w:rsid w:val="00F448BD"/>
    <w:rsid w:val="00FF1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D26"/>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aktaPM xmlns="http://rk.se/faktapm">
  <Titel>Förordning om fiskemöjligheter i EU:s vatten i Nordostatlanten och i vissa vatten utanför EU för 2026, 2027 och 2028</Titel>
  <Ar>2025/26</Ar>
  <Nr>38</Nr>
  <UppDat>2025-11-27</UppDat>
  <Rub>Förordning om fiskemöjligheter i EU:s vatten i Nordostatlanten och i vissa vatten utanför EU för 2026, 2027 och 2028</Rub>
  <Dep>Landsbygds- och infrastrukturdepartementet</Dep>
  <Utsk>Miljö- och jordbruksutskottet</Utsk>
  <AnkDat>2025-11-27</AnkDat>
  <Egenskap1/>
  <Egenskap2/>
  <Egenskap3/>
  <DepLista>
    <Item>
      <itemnr/>
      <Departementsnamn>Landsbygds- och infrastrukturdepartementet</Departementsnamn>
    </Item>
  </DepLista>
  <DokLista>
    <DokItem>
      <Beteckning>COM (2025) 662</Beteckning>
      <Celexnummer>52025PC0662</Celexnummer>
      <DokTitel>Förslag till RÅDETS FÖRORDNING om fastställande för 2026, 2027 och 2028 av fiskemöjligheterna avseende vissa fiskbestånd, i unionens vatten, och för unionsfiskefartyg, i vissa andra vatten.</DokTitel>
    </DokItem>
  </DokLista>
  <GDB1>COM (2025) 662</GDB1>
  <GDT1>Förslag till RÅDETS FÖRORDNING om fastställande för 2026, 2027 och 2028 av fiskemöjligheterna avseende vissa fiskbestånd, i unionens vatten, och för unionsfiskefartyg, i vissa andra vatten.</GDT1>
  <GDTWeb>COM (2025) 662</GDTWeb>
  <Typ>FPM</Typ>
  <Dokumenttyp>FaktaPM</Dokumenttyp>
  <Epostadress>ne1121aa</Epostadress>
</faktaPM>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xsi:nil="true"/>
    <edbe0b5c82304c8e847ab7b8c02a77c3 xmlns="cc625d36-bb37-4650-91b9-0c96159295ba" xsi:nil="true"/>
  </documentManagement>
</p:properties>
</file>

<file path=customXml/itemProps1.xml><?xml version="1.0" encoding="utf-8"?>
<ds:datastoreItem xmlns:ds="http://schemas.openxmlformats.org/officeDocument/2006/customXml" ds:itemID="{7FEBF88B-E38A-4D57-8A19-FFADA64CF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C67745AA-9EF1-43E0-876F-A665318986CF}">
  <ds:schemaRefs>
    <ds:schemaRef ds:uri="http://lp/documentinfo/RK"/>
  </ds:schemaRefs>
</ds:datastoreItem>
</file>

<file path=customXml/itemProps4.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9381533-DDA6-43B0-A9E0-19DA2536F86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cc625d36-bb37-4650-91b9-0c96159295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1910</Words>
  <Characters>12136</Characters>
  <Application>Microsoft Office Word</Application>
  <DocSecurity>0</DocSecurity>
  <Lines>213</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FPM_202526__38</dc:title>
  <dc:subject/>
  <dc:creator>Arvid Habermann</dc:creator>
  <cp:keywords/>
  <dc:description/>
  <cp:lastModifiedBy>Nicole Nordström</cp:lastModifiedBy>
  <cp:revision>2</cp:revision>
  <cp:lastPrinted>2025-11-28T07:31:00Z</cp:lastPrinted>
  <dcterms:created xsi:type="dcterms:W3CDTF">2025-11-28T07:36:00Z</dcterms:created>
  <dcterms:modified xsi:type="dcterms:W3CDTF">2025-11-28T07:36:00Z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_dlc_DocIdItemGuid">
    <vt:lpwstr>f5403bf0-d03c-44e1-b38b-5cd42a23f567</vt:lpwstr>
  </property>
  <property fmtid="{D5CDD505-2E9C-101B-9397-08002B2CF9AE}" pid="8" name="_dlc_DocId">
    <vt:lpwstr>SNWENR3PSMA7-243763061-79237</vt:lpwstr>
  </property>
  <property fmtid="{D5CDD505-2E9C-101B-9397-08002B2CF9AE}" pid="9" name="_dlc_DocIdUrl">
    <vt:lpwstr>https://dhs.sp.regeringskansliet.se/yta/n-lb/fjr/_layouts/15/DocIdRedir.aspx?ID=SNWENR3PSMA7-243763061-79237, SNWENR3PSMA7-243763061-79237</vt:lpwstr>
  </property>
  <property fmtid="{D5CDD505-2E9C-101B-9397-08002B2CF9AE}" pid="10" name="edbe0b5c82304c8e847ab7b8c02a77c3">
    <vt:lpwstr/>
  </property>
  <property fmtid="{D5CDD505-2E9C-101B-9397-08002B2CF9AE}" pid="11" name="GDB1">
    <vt:lpwstr>COM (2025) 662</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Förordning om fiskemöjligheter i EU:s vatten i Nordostatlanten och i vissa vatten utanför EU för 2026, 2027 och 2028</vt:lpwstr>
  </property>
  <property fmtid="{D5CDD505-2E9C-101B-9397-08002B2CF9AE}" pid="25" name="Ar">
    <vt:lpwstr>2025/26</vt:lpwstr>
  </property>
  <property fmtid="{D5CDD505-2E9C-101B-9397-08002B2CF9AE}" pid="26" name="Nr">
    <vt:lpwstr>38</vt:lpwstr>
  </property>
  <property fmtid="{D5CDD505-2E9C-101B-9397-08002B2CF9AE}" pid="27" name="UppDat">
    <vt:lpwstr>2025-11-27</vt:lpwstr>
  </property>
  <property fmtid="{D5CDD505-2E9C-101B-9397-08002B2CF9AE}" pid="28" name="Dep">
    <vt:lpwstr>Landsbygds- och infrastrukturdepartementet</vt:lpwstr>
  </property>
  <property fmtid="{D5CDD505-2E9C-101B-9397-08002B2CF9AE}" pid="29" name="GDT1">
    <vt:lpwstr>Förslag till RÅDETS FÖRORDNING om fastställande för 2026, 2027 och 2028 av fiskemöjligheterna avseende vissa fiskbestånd, i unionens vatten, och för unionsfiskefartyg, i vissa andra vatten.</vt:lpwstr>
  </property>
  <property fmtid="{D5CDD505-2E9C-101B-9397-08002B2CF9AE}" pid="30" name="GDT2">
    <vt:lpwstr> </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AnkDat">
    <vt:lpwstr>2025-11-27</vt:lpwstr>
  </property>
  <property fmtid="{D5CDD505-2E9C-101B-9397-08002B2CF9AE}" pid="44" name="Utsk">
    <vt:lpwstr>Miljö- och jordbruksutskottet</vt:lpwstr>
  </property>
  <property fmtid="{D5CDD505-2E9C-101B-9397-08002B2CF9AE}" pid="45" name="Dokumenttyp">
    <vt:lpwstr>FaktaPM</vt:lpwstr>
  </property>
  <property fmtid="{D5CDD505-2E9C-101B-9397-08002B2CF9AE}" pid="46" name="Epostadress">
    <vt:lpwstr>ne1121aa</vt:lpwstr>
  </property>
</Properties>
</file>