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AE4" w:rsidRPr="00F23AE4" w:rsidRDefault="00F23AE4">
      <w:pPr>
        <w:pStyle w:val="Hemstlrubrik"/>
      </w:pPr>
      <w:r w:rsidRPr="00F23AE4">
        <w:t>Förslag till riksdagsbeslut</w:t>
      </w:r>
    </w:p>
    <w:p w:rsidR="00F23AE4" w:rsidRPr="00F23AE4" w:rsidRDefault="00F23AE4">
      <w:pPr>
        <w:pStyle w:val="Hemstlatt"/>
        <w:numPr>
          <w:ilvl w:val="0"/>
          <w:numId w:val="1"/>
        </w:numPr>
      </w:pPr>
      <w:r w:rsidRPr="00F23AE4">
        <w:t>Riksdagen tillkännager för regeringen som sin mening vad som anförs i motionen om att Sverige bör verka för att r</w:t>
      </w:r>
      <w:r w:rsidRPr="00F23AE4">
        <w:t>e</w:t>
      </w:r>
      <w:r w:rsidRPr="00F23AE4">
        <w:t>gelverken för handel inte ska hindra utvecklingsländernas utvec</w:t>
      </w:r>
      <w:r w:rsidRPr="00F23AE4">
        <w:t>k</w:t>
      </w:r>
      <w:r w:rsidRPr="00F23AE4">
        <w:t>ling.</w:t>
      </w:r>
    </w:p>
    <w:p w:rsidR="00F23AE4" w:rsidRPr="00F23AE4" w:rsidRDefault="00F23AE4">
      <w:pPr>
        <w:pStyle w:val="Hemstlatt"/>
        <w:numPr>
          <w:ilvl w:val="0"/>
          <w:numId w:val="1"/>
        </w:numPr>
      </w:pPr>
      <w:r w:rsidRPr="00F23AE4">
        <w:t>Riksdagen tillkännager för regeringen som sin mening vad som anförs i motionen om att Sverige bör verka för att utvecklingsländer under ett uppbyggnadsskede ges möjlighet att skydda sina markn</w:t>
      </w:r>
      <w:r w:rsidRPr="00F23AE4">
        <w:t>a</w:t>
      </w:r>
      <w:r w:rsidRPr="00F23AE4">
        <w:t>der.</w:t>
      </w:r>
    </w:p>
    <w:p w:rsidR="00F23AE4" w:rsidRPr="00F23AE4" w:rsidRDefault="00F23AE4">
      <w:pPr>
        <w:pStyle w:val="Hemstlatt"/>
        <w:numPr>
          <w:ilvl w:val="0"/>
          <w:numId w:val="1"/>
        </w:numPr>
      </w:pPr>
      <w:r w:rsidRPr="00F23AE4">
        <w:t>Riksdagen tillkännager för regeringen som sin mening vad som anförs i motionen om att Sverige bör verka för att avtal inte ingås under sådana förutsättningar att dess konsekvenser inte kan överskådas.</w:t>
      </w:r>
    </w:p>
    <w:p w:rsidR="00F23AE4" w:rsidRPr="00F23AE4" w:rsidRDefault="00F23AE4">
      <w:pPr>
        <w:pStyle w:val="Hemstlatt"/>
        <w:numPr>
          <w:ilvl w:val="0"/>
          <w:numId w:val="1"/>
        </w:numPr>
      </w:pPr>
      <w:r w:rsidRPr="00F23AE4">
        <w:t>Riksdagen tillkännager för regeringen som sin mening vad som anförs i motionen om att Sverige bör verka för att EU förändrar sin förhandlingsstrategi.</w:t>
      </w:r>
    </w:p>
    <w:p w:rsidR="00F23AE4" w:rsidRPr="00F23AE4" w:rsidRDefault="00F23AE4">
      <w:pPr>
        <w:pStyle w:val="Hemstlatt"/>
        <w:numPr>
          <w:ilvl w:val="0"/>
          <w:numId w:val="1"/>
        </w:numPr>
      </w:pPr>
      <w:r w:rsidRPr="00F23AE4">
        <w:t xml:space="preserve">Riksdagen tillkännager för regeringen som sin mening vad som anförs i motionen om att Sverige vid förhandlingar bör sluta ställa krav på investeringsregler, </w:t>
      </w:r>
      <w:r w:rsidRPr="00F23AE4">
        <w:rPr>
          <w:iCs/>
        </w:rPr>
        <w:t>regler för offentlig upphandling och konku</w:t>
      </w:r>
      <w:r w:rsidRPr="00F23AE4">
        <w:rPr>
          <w:iCs/>
        </w:rPr>
        <w:t>r</w:t>
      </w:r>
      <w:r w:rsidRPr="00F23AE4">
        <w:rPr>
          <w:iCs/>
        </w:rPr>
        <w:t>renslagstiftning.</w:t>
      </w:r>
      <w:r w:rsidRPr="00F23AE4">
        <w:rPr>
          <w:rStyle w:val="Fotnotsreferens"/>
        </w:rPr>
        <w:t>1</w:t>
      </w: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pPr>
        <w:pStyle w:val="Yrkandehnv"/>
        <w:rPr>
          <w:noProof w:val="0"/>
        </w:rPr>
      </w:pPr>
    </w:p>
    <w:p w:rsidR="00F23AE4" w:rsidRPr="00F23AE4" w:rsidRDefault="00F23AE4">
      <w:r w:rsidRPr="00F23AE4">
        <w:rPr>
          <w:rStyle w:val="Fotnotsreferens"/>
        </w:rPr>
        <w:t>1</w:t>
      </w:r>
      <w:r w:rsidRPr="00F23AE4">
        <w:t xml:space="preserve"> Yrkande 5 hänvisat till NU.</w:t>
      </w:r>
    </w:p>
    <w:p w:rsidR="00F23AE4" w:rsidRPr="00F23AE4" w:rsidRDefault="00F23AE4">
      <w:pPr>
        <w:pStyle w:val="Rubrik1"/>
        <w:pageBreakBefore/>
        <w:spacing w:before="0"/>
      </w:pPr>
      <w:r w:rsidRPr="00F23AE4">
        <w:lastRenderedPageBreak/>
        <w:t>Motivering</w:t>
      </w:r>
    </w:p>
    <w:p w:rsidR="00F23AE4" w:rsidRPr="00F23AE4" w:rsidRDefault="00F23AE4">
      <w:r w:rsidRPr="00F23AE4">
        <w:t>I borgerlig retorik kan det ofta framstå som att ökad handel för u-länder av sig självt kommer att lösa alla fattigdomsproblem. Så är förstås inte fallet. Olika länders förutsättningar skiljer sig åt. De länder som har lyckats med en hållbar positiv utveckling har format självständiga utvecklingsstrategier utifrån sina egna unika förutsättningar</w:t>
      </w:r>
      <w:r w:rsidRPr="00F23AE4">
        <w:rPr>
          <w:vertAlign w:val="superscript"/>
        </w:rPr>
        <w:footnoteReference w:id="2"/>
      </w:r>
      <w:r w:rsidRPr="00F23AE4">
        <w:t>. Ökad handel är bara en, om än viktig, bit i pusslet. Vårt ansvar gentemot u-länderna ligger i att bidra till regelverk för kring handeln som först och främst inte förvärrar situationen för de fattiga, för det andra inte minskar u-ländernas regeringars politiska handlingsutrymme att självständigt utforma och driva sina utvecklingsstrategier, för det tredje gy</w:t>
      </w:r>
      <w:r w:rsidRPr="00F23AE4">
        <w:t>n</w:t>
      </w:r>
      <w:r w:rsidRPr="00F23AE4">
        <w:t>nar u-ländernas situation på vår egen marknad och på världsmarknaden och först i fjärde hand ser till våra egna företags intressen på u-ländernas mar</w:t>
      </w:r>
      <w:r w:rsidRPr="00F23AE4">
        <w:t>kn</w:t>
      </w:r>
      <w:r w:rsidRPr="00F23AE4">
        <w:t>a</w:t>
      </w:r>
      <w:r w:rsidRPr="00F23AE4">
        <w:t xml:space="preserve">der. </w:t>
      </w:r>
    </w:p>
    <w:p w:rsidR="00F23AE4" w:rsidRPr="00F23AE4" w:rsidRDefault="00F23AE4">
      <w:pPr>
        <w:pStyle w:val="Normaltindrag"/>
      </w:pPr>
      <w:r w:rsidRPr="00F23AE4">
        <w:t>I pågående bilaterala och multilaterala handelsförhandlingar är priorit</w:t>
      </w:r>
      <w:r w:rsidRPr="00F23AE4">
        <w:t>e</w:t>
      </w:r>
      <w:r w:rsidRPr="00F23AE4">
        <w:t>ringen i realiteten (om än inte i retoriken) ofta den omvända. Genom EU bär Sverige ett stort ansvar för att de pågående Dohaförhandlingarna inom WTO har strandat gång på gång och nu efter det misslyckade mötet i juli 2008 går en mycket oviss framtid till mötes. Därmed är hela det multilaterala handel</w:t>
      </w:r>
      <w:r w:rsidRPr="00F23AE4">
        <w:t>s</w:t>
      </w:r>
      <w:r w:rsidRPr="00F23AE4">
        <w:t>systemet i gungning. Ett multilateralt system med goda villkor är generellt bättre för små ekonomier än bilaterala avtal. De förslag som låg på WTO:s bord i juli 2008 var för dåliga för majoriteten av u-lände</w:t>
      </w:r>
      <w:r w:rsidRPr="00F23AE4">
        <w:t>rna för att de skulle kunna anta dem. EU och USA har under många år gett stora subventioner till det egna jordbruket, och europeiska och amerikanska företag har därför stora konkurrensfördelar gentemot företag i utvecklingsländer. Därför måste u</w:t>
      </w:r>
      <w:r w:rsidRPr="00F23AE4">
        <w:t>t</w:t>
      </w:r>
      <w:r w:rsidRPr="00F23AE4">
        <w:t>vecklingsländerna ges utrymme att med olika medel skydda sina egna mar</w:t>
      </w:r>
      <w:r w:rsidRPr="00F23AE4">
        <w:t>k</w:t>
      </w:r>
      <w:r w:rsidRPr="00F23AE4">
        <w:t>nader under ett uppbyggnadsskede. De rika ländernas vägran att tillåta den typen av skydd är en huvudorsak till att de globala handelsförhandlingarna strandat gång på gång. Istället för att på al</w:t>
      </w:r>
      <w:r w:rsidRPr="00F23AE4">
        <w:t>lvar först och främst ta itu med de frågor u-länderna hade högst på agendan (som man lovade när förhandling</w:t>
      </w:r>
      <w:r w:rsidRPr="00F23AE4">
        <w:t>s</w:t>
      </w:r>
      <w:r w:rsidRPr="00F23AE4">
        <w:t xml:space="preserve">rundan startade) har i-länderna drivit på med sina offensiva intressen. </w:t>
      </w:r>
    </w:p>
    <w:p w:rsidR="00F23AE4" w:rsidRPr="00F23AE4" w:rsidRDefault="00F23AE4">
      <w:pPr>
        <w:pStyle w:val="Normaltindrag"/>
      </w:pPr>
      <w:r w:rsidRPr="00F23AE4">
        <w:t>Samma problematiska inställning gäller även för områden som tjänsteha</w:t>
      </w:r>
      <w:r w:rsidRPr="00F23AE4">
        <w:t>n</w:t>
      </w:r>
      <w:r w:rsidRPr="00F23AE4">
        <w:t>del och investeringsregler – områden som är mycket kontroversiella eftersom de rör möjligheten att reglera utländska företags agerande vid till exempel upphandlingar eller inom sektorer som vattenförsörjning. EU inklusive Sver</w:t>
      </w:r>
      <w:r w:rsidRPr="00F23AE4">
        <w:t>i</w:t>
      </w:r>
      <w:r w:rsidRPr="00F23AE4">
        <w:t>ge försöker, både i WTO och bilateralt, driva igenom så breda avtal som mö</w:t>
      </w:r>
      <w:r w:rsidRPr="00F23AE4">
        <w:t>j</w:t>
      </w:r>
      <w:r w:rsidRPr="00F23AE4">
        <w:t>ligt. Dessa avtal inkluderar områden som hotar utvecklingsländernas politiska handlingsutrymme genom att exempelvis begränsa möjligheten för utvec</w:t>
      </w:r>
      <w:r w:rsidRPr="00F23AE4">
        <w:t>k</w:t>
      </w:r>
      <w:r w:rsidRPr="00F23AE4">
        <w:t>lingsländer att ha en egen nationell lagstiftning för invester</w:t>
      </w:r>
      <w:r w:rsidRPr="00F23AE4">
        <w:t>ingar eller up</w:t>
      </w:r>
      <w:r w:rsidRPr="00F23AE4">
        <w:t>p</w:t>
      </w:r>
      <w:r w:rsidRPr="00F23AE4">
        <w:t xml:space="preserve">handling. Utvecklingsländer protesterar ihärdigt mot att sådana nya områden förs in i handelsavtal. Ändå fortsätter Sverige och EU enträget att insistera på att sådana ska inkluderas. </w:t>
      </w:r>
    </w:p>
    <w:p w:rsidR="00F23AE4" w:rsidRPr="00F23AE4" w:rsidRDefault="00F23AE4">
      <w:pPr>
        <w:pStyle w:val="Normaltindrag"/>
      </w:pPr>
      <w:r w:rsidRPr="00F23AE4">
        <w:t>Samma attityd märks även i EU:s pågående bilaterala förhandlingar. I fö</w:t>
      </w:r>
      <w:r w:rsidRPr="00F23AE4">
        <w:t>r</w:t>
      </w:r>
      <w:r w:rsidRPr="00F23AE4">
        <w:t>handlingarna om Economic Partnership Agreements (EPA) med länder i Afrika, Karibien och Oceanien, har EU drivit frågor som dessa länder inte</w:t>
      </w:r>
      <w:r w:rsidRPr="00F23AE4">
        <w:t>n</w:t>
      </w:r>
      <w:r w:rsidRPr="00F23AE4">
        <w:t>sivt motsatt sig inom WTO. Paragrafer i EPA-förhandlingarna om att utvec</w:t>
      </w:r>
      <w:r w:rsidRPr="00F23AE4">
        <w:t>k</w:t>
      </w:r>
      <w:r w:rsidRPr="00F23AE4">
        <w:t>lingsländerna ska binda sig för att inte införa exporttullar eller andra exportr</w:t>
      </w:r>
      <w:r w:rsidRPr="00F23AE4">
        <w:t>e</w:t>
      </w:r>
      <w:r w:rsidRPr="00F23AE4">
        <w:t>striktioner på råvaror som olja och naturgas minskar utvecklingsländernas politiska manöverutrymme och visar hur aggressivt EU driver sina offensiva intressen (i det här fallet kontroll över energi</w:t>
      </w:r>
      <w:r w:rsidRPr="00F23AE4">
        <w:softHyphen/>
        <w:t xml:space="preserve">tillgångar). </w:t>
      </w:r>
    </w:p>
    <w:p w:rsidR="00F23AE4" w:rsidRPr="00F23AE4" w:rsidRDefault="00F23AE4">
      <w:pPr>
        <w:pStyle w:val="Normaltindrag"/>
      </w:pPr>
      <w:r w:rsidRPr="00F23AE4">
        <w:t>I fö</w:t>
      </w:r>
      <w:r w:rsidRPr="00F23AE4">
        <w:t>rhandlingarna om ett associationsavtal med länder i Centralamerika och norra Sydamerika kritiseras EU</w:t>
      </w:r>
      <w:r w:rsidRPr="00F23AE4">
        <w:rPr>
          <w:vertAlign w:val="superscript"/>
        </w:rPr>
        <w:footnoteReference w:id="3"/>
      </w:r>
      <w:r w:rsidRPr="00F23AE4">
        <w:t xml:space="preserve"> bland annat för att försätta motparterna i en sådan tidspress att de inte hinner göra ordentliga konsekvensanalyser av vad ett avtal kan komma att innebära, att EU:s mål i associationsavtalet kan ko</w:t>
      </w:r>
      <w:r w:rsidRPr="00F23AE4">
        <w:t>m</w:t>
      </w:r>
      <w:r w:rsidRPr="00F23AE4">
        <w:t>ma i konflikt med mål för fattigdoms</w:t>
      </w:r>
      <w:r w:rsidRPr="00F23AE4">
        <w:softHyphen/>
        <w:t>bekämpning och att EU:s agerande minskar enskilda organisationers möjligheter att aktivt delta i förhandling</w:t>
      </w:r>
      <w:r w:rsidRPr="00F23AE4">
        <w:t>s</w:t>
      </w:r>
      <w:r w:rsidRPr="00F23AE4">
        <w:t xml:space="preserve">processen. </w:t>
      </w:r>
    </w:p>
    <w:p w:rsidR="00F23AE4" w:rsidRPr="00F23AE4" w:rsidRDefault="00F23AE4">
      <w:pPr>
        <w:pStyle w:val="Normaltindrag"/>
      </w:pPr>
      <w:r w:rsidRPr="00F23AE4">
        <w:t xml:space="preserve">Det multilaterala handelssystemet har hamnat i ett dödläge efter WTO:s senaste stora möte. Förhandlingarna har visserligen nu kommit i gång igen, men det </w:t>
      </w:r>
      <w:r w:rsidRPr="00F23AE4">
        <w:t>är högst osäkert när – och över huvud taget om – en överenskomme</w:t>
      </w:r>
      <w:r w:rsidRPr="00F23AE4">
        <w:t>l</w:t>
      </w:r>
      <w:r w:rsidRPr="00F23AE4">
        <w:t xml:space="preserve">se kan nås – detta i ett läge när finanskrisen i USA sänder chockvågor genom hela världsekonomin. </w:t>
      </w:r>
    </w:p>
    <w:p w:rsidR="00F23AE4" w:rsidRPr="00F23AE4" w:rsidRDefault="00F23AE4">
      <w:pPr>
        <w:pStyle w:val="Normaltindrag"/>
      </w:pPr>
      <w:r w:rsidRPr="00F23AE4">
        <w:t>EU kan nu spela en positiv roll för att återskapa förtroendet för det multil</w:t>
      </w:r>
      <w:r w:rsidRPr="00F23AE4">
        <w:t>a</w:t>
      </w:r>
      <w:r w:rsidRPr="00F23AE4">
        <w:t>terala systemet genom att agera annorlunda i de bilaterala förhandlingar uni</w:t>
      </w:r>
      <w:r w:rsidRPr="00F23AE4">
        <w:t>o</w:t>
      </w:r>
      <w:r w:rsidRPr="00F23AE4">
        <w:t>nen är involverad i. En förändrad förhandlingsstrategi i EU, som sätter r</w:t>
      </w:r>
      <w:r w:rsidRPr="00F23AE4">
        <w:t>e</w:t>
      </w:r>
      <w:r w:rsidRPr="00F23AE4">
        <w:t>spekt för motpartens problem och utvecklingsstrategier i första rummet, sku</w:t>
      </w:r>
      <w:r w:rsidRPr="00F23AE4">
        <w:t>l</w:t>
      </w:r>
      <w:r w:rsidRPr="00F23AE4">
        <w:t>le kunna leda till avtal som har en reell positiv inverkan på u-ländernas u</w:t>
      </w:r>
      <w:r w:rsidRPr="00F23AE4">
        <w:t>t</w:t>
      </w:r>
      <w:r w:rsidRPr="00F23AE4">
        <w:t>veckling. Det ökade förtroendekapital som detta skulle medföra skulle i sin föras över till WTO-förhandlingarna. Och resultaten från EU:s bilaterala avtal skulle kunna ge en förebild om hur en uppgörelse inom</w:t>
      </w:r>
      <w:r w:rsidRPr="00F23AE4">
        <w:t xml:space="preserve"> Doha</w:t>
      </w:r>
      <w:r w:rsidRPr="00F23AE4">
        <w:softHyphen/>
        <w:t xml:space="preserve">rundan skulle kunna se ut. </w:t>
      </w:r>
    </w:p>
    <w:p w:rsidR="00F23AE4" w:rsidRPr="00F23AE4" w:rsidRDefault="00F23AE4">
      <w:pPr>
        <w:pStyle w:val="Normaltindrag"/>
      </w:pPr>
      <w:r w:rsidRPr="00F23AE4">
        <w:t>Sverige bör inom WTO- och EPA-förhandlingarna sluta ställa krav på i</w:t>
      </w:r>
      <w:r w:rsidRPr="00F23AE4">
        <w:t>n</w:t>
      </w:r>
      <w:r w:rsidRPr="00F23AE4">
        <w:t>vesteringsregler, då den typen av krav undergräver utvecklingsländernas möjlighet att göra investeringarna hållbara genom nationell lagstiftning. Inom WTO- och EPA-förhandlingarna bör Sverige vidare även sluta ställa krav på regler kring offentlig upphandling och konkurrenslagstiftning, då dessa frågor inte är prioriterade av utvecklingsländerna utan främst drivs för att gynna EU:s egna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AE4">
        <w:trPr>
          <w:cantSplit/>
        </w:trPr>
        <w:tc>
          <w:tcPr>
            <w:tcW w:w="3046" w:type="dxa"/>
          </w:tcPr>
          <w:p w:rsidR="00F23AE4" w:rsidRPr="00F23AE4" w:rsidRDefault="00F23AE4">
            <w:pPr>
              <w:pStyle w:val="UnderskriftDatum"/>
              <w:spacing w:before="240"/>
            </w:pPr>
            <w:r w:rsidRPr="00F23AE4">
              <w:t>Stockholm den 6 oktober 2008</w:t>
            </w:r>
          </w:p>
        </w:tc>
        <w:tc>
          <w:tcPr>
            <w:tcW w:w="3047" w:type="dxa"/>
          </w:tcPr>
          <w:p w:rsidR="00F23AE4" w:rsidRPr="00F23AE4" w:rsidRDefault="00F23AE4">
            <w:pPr>
              <w:pStyle w:val="Underskrifter"/>
              <w:spacing w:before="240"/>
            </w:pPr>
          </w:p>
        </w:tc>
      </w:tr>
      <w:tr w:rsidR="00000000" w:rsidRPr="00F23AE4">
        <w:trPr>
          <w:cantSplit/>
        </w:trPr>
        <w:tc>
          <w:tcPr>
            <w:tcW w:w="3046" w:type="dxa"/>
          </w:tcPr>
          <w:p w:rsidR="00F23AE4" w:rsidRPr="00F23AE4" w:rsidRDefault="00F23AE4">
            <w:pPr>
              <w:pStyle w:val="Underskrifter"/>
            </w:pPr>
            <w:r w:rsidRPr="00F23AE4">
              <w:t>Lage Rahm (mp)</w:t>
            </w:r>
          </w:p>
        </w:tc>
        <w:tc>
          <w:tcPr>
            <w:tcW w:w="3046" w:type="dxa"/>
          </w:tcPr>
          <w:p w:rsidR="00F23AE4" w:rsidRPr="00F23AE4" w:rsidRDefault="00F23AE4">
            <w:pPr>
              <w:pStyle w:val="Underskrifter"/>
            </w:pPr>
          </w:p>
        </w:tc>
      </w:tr>
      <w:tr w:rsidR="00000000" w:rsidRPr="00F23AE4">
        <w:trPr>
          <w:cantSplit/>
        </w:trPr>
        <w:tc>
          <w:tcPr>
            <w:tcW w:w="3046" w:type="dxa"/>
          </w:tcPr>
          <w:p w:rsidR="00F23AE4" w:rsidRPr="00F23AE4" w:rsidRDefault="00F23AE4">
            <w:pPr>
              <w:pStyle w:val="Underskrifter"/>
            </w:pPr>
            <w:r w:rsidRPr="00F23AE4">
              <w:t>Bodil Ceballos (mp)</w:t>
            </w:r>
          </w:p>
        </w:tc>
        <w:tc>
          <w:tcPr>
            <w:tcW w:w="3046" w:type="dxa"/>
          </w:tcPr>
          <w:p w:rsidR="00F23AE4" w:rsidRPr="00F23AE4" w:rsidRDefault="00F23AE4">
            <w:pPr>
              <w:pStyle w:val="Underskrifter"/>
            </w:pPr>
            <w:r w:rsidRPr="00F23AE4">
              <w:t>Peter Rådberg (mp)</w:t>
            </w:r>
          </w:p>
        </w:tc>
      </w:tr>
      <w:tr w:rsidR="00000000" w:rsidRPr="00F23AE4">
        <w:trPr>
          <w:cantSplit/>
        </w:trPr>
        <w:tc>
          <w:tcPr>
            <w:tcW w:w="3046" w:type="dxa"/>
          </w:tcPr>
          <w:p w:rsidR="00F23AE4" w:rsidRPr="00F23AE4" w:rsidRDefault="00F23AE4">
            <w:pPr>
              <w:pStyle w:val="Underskrifter"/>
            </w:pPr>
            <w:r w:rsidRPr="00F23AE4">
              <w:t>Mehmet Kaplan (mp)</w:t>
            </w:r>
          </w:p>
        </w:tc>
        <w:tc>
          <w:tcPr>
            <w:tcW w:w="3046" w:type="dxa"/>
          </w:tcPr>
          <w:p w:rsidR="00F23AE4" w:rsidRPr="00F23AE4" w:rsidRDefault="00F23AE4">
            <w:pPr>
              <w:pStyle w:val="Underskrifter"/>
            </w:pPr>
            <w:r w:rsidRPr="00F23AE4">
              <w:t>Mats Pertoft (mp)</w:t>
            </w:r>
          </w:p>
        </w:tc>
      </w:tr>
    </w:tbl>
    <w:p w:rsidR="00F23AE4" w:rsidRPr="00F23AE4" w:rsidRDefault="00F23AE4">
      <w:pPr>
        <w:pStyle w:val="Normaltindrag"/>
      </w:pPr>
    </w:p>
    <w:sectPr w:rsidR="00000000" w:rsidRPr="00F23A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AE4" w:rsidRPr="00F23AE4" w:rsidRDefault="00F23AE4">
      <w:r w:rsidRPr="00F23AE4">
        <w:separator/>
      </w:r>
    </w:p>
  </w:endnote>
  <w:endnote w:type="continuationSeparator" w:id="0">
    <w:p w:rsidR="00F23AE4" w:rsidRPr="00F23AE4" w:rsidRDefault="00F23AE4">
      <w:r w:rsidRPr="00F23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Sidfot"/>
    </w:pPr>
    <w:r w:rsidRPr="00F23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16700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E4" w:rsidRDefault="00F23A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AE4" w:rsidRDefault="00F23A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Sidfot"/>
    </w:pPr>
    <w:r w:rsidRPr="00F23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8218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E4" w:rsidRDefault="00F23A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AE4" w:rsidRDefault="00F23A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Sidfot"/>
    </w:pPr>
    <w:r w:rsidRPr="00F23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8417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E4" w:rsidRDefault="00F23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AE4" w:rsidRDefault="00F23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AE4" w:rsidRPr="00F23AE4" w:rsidRDefault="00F23AE4">
      <w:pPr>
        <w:pStyle w:val="Sidfot"/>
      </w:pPr>
    </w:p>
  </w:footnote>
  <w:footnote w:type="continuationSeparator" w:id="0">
    <w:p w:rsidR="00F23AE4" w:rsidRPr="00F23AE4" w:rsidRDefault="00F23AE4">
      <w:pPr>
        <w:pStyle w:val="Sidfot"/>
      </w:pPr>
    </w:p>
  </w:footnote>
  <w:footnote w:type="continuationNotice" w:id="1">
    <w:p w:rsidR="00F23AE4" w:rsidRPr="00F23AE4" w:rsidRDefault="00F23AE4"/>
  </w:footnote>
  <w:footnote w:id="2">
    <w:p w:rsidR="00F23AE4" w:rsidRPr="00F23AE4" w:rsidRDefault="00F23AE4">
      <w:pPr>
        <w:pStyle w:val="Fotnotstext"/>
        <w:rPr>
          <w:sz w:val="16"/>
          <w:szCs w:val="16"/>
        </w:rPr>
      </w:pPr>
      <w:r w:rsidRPr="00F23AE4">
        <w:rPr>
          <w:rStyle w:val="Fotnotstecken"/>
          <w:kern w:val="20"/>
          <w:sz w:val="18"/>
          <w:vertAlign w:val="superscript"/>
        </w:rPr>
        <w:footnoteRef/>
      </w:r>
      <w:r w:rsidRPr="00F23AE4">
        <w:t xml:space="preserve"> </w:t>
      </w:r>
      <w:r w:rsidRPr="00F23AE4">
        <w:rPr>
          <w:sz w:val="16"/>
          <w:szCs w:val="16"/>
        </w:rPr>
        <w:t>Utvecklingens drivkrafter, Stefan de Vylder.</w:t>
      </w:r>
    </w:p>
  </w:footnote>
  <w:footnote w:id="3">
    <w:p w:rsidR="00F23AE4" w:rsidRPr="00F23AE4" w:rsidRDefault="00F23AE4">
      <w:pPr>
        <w:pStyle w:val="Fotnotstext"/>
      </w:pPr>
      <w:r w:rsidRPr="00F23AE4">
        <w:rPr>
          <w:rStyle w:val="Fotnotstecken"/>
          <w:kern w:val="20"/>
          <w:sz w:val="18"/>
          <w:vertAlign w:val="superscript"/>
        </w:rPr>
        <w:footnoteRef/>
      </w:r>
      <w:r w:rsidRPr="00F23AE4">
        <w:t xml:space="preserve"> </w:t>
      </w:r>
      <w:r w:rsidRPr="00F23AE4">
        <w:rPr>
          <w:sz w:val="16"/>
          <w:szCs w:val="16"/>
        </w:rPr>
        <w:t>Öppet brev från Aprodev m.fl. enskilda organisationer, juni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Sidhuvud"/>
    </w:pPr>
    <w:r w:rsidRPr="00F23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5214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E4" w:rsidRDefault="00F23A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AE4" w:rsidRDefault="00F23A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Sidhuvud"/>
    </w:pPr>
    <w:r w:rsidRPr="00F23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7801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E4" w:rsidRDefault="00F23A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AE4" w:rsidRDefault="00F23A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AE4" w:rsidRPr="00F23AE4" w:rsidRDefault="00F23AE4">
    <w:pPr>
      <w:pStyle w:val="FSHNormal"/>
      <w:tabs>
        <w:tab w:val="right" w:pos="5840"/>
      </w:tabs>
    </w:pPr>
    <w:r w:rsidRPr="00F23AE4">
      <w:br/>
    </w:r>
    <w:r w:rsidRPr="00F23AE4">
      <w:fldChar w:fldCharType="begin" w:fldLock="1"/>
    </w:r>
    <w:r w:rsidRPr="00F23AE4">
      <w:instrText xml:space="preserve"> DOCPROPERTY</w:instrText>
    </w:r>
    <w:r w:rsidRPr="00F23AE4">
      <w:rPr>
        <w:sz w:val="18"/>
      </w:rPr>
      <w:instrText xml:space="preserve"> "YearUser" *\charformat </w:instrText>
    </w:r>
    <w:r w:rsidRPr="00F23AE4">
      <w:fldChar w:fldCharType="separate"/>
    </w:r>
    <w:r w:rsidRPr="00F23AE4">
      <w:t>2008/09</w:t>
    </w:r>
    <w:r w:rsidRPr="00F23AE4">
      <w:fldChar w:fldCharType="end"/>
    </w:r>
    <w:r w:rsidRPr="00F23AE4">
      <w:t xml:space="preserve"> </w:t>
    </w:r>
    <w:r w:rsidRPr="00F23AE4">
      <w:tab/>
      <w:t xml:space="preserve">mnr: </w:t>
    </w:r>
    <w:r w:rsidRPr="00F23AE4">
      <w:fldChar w:fldCharType="begin" w:fldLock="1"/>
    </w:r>
    <w:r w:rsidRPr="00F23AE4">
      <w:instrText xml:space="preserve"> DOCPROPERTY</w:instrText>
    </w:r>
    <w:r w:rsidRPr="00F23AE4">
      <w:rPr>
        <w:sz w:val="18"/>
      </w:rPr>
      <w:instrText xml:space="preserve"> "Motionsnummer" *\charformat </w:instrText>
    </w:r>
    <w:r w:rsidRPr="00F23AE4">
      <w:fldChar w:fldCharType="separate"/>
    </w:r>
    <w:r w:rsidRPr="00F23AE4">
      <w:t>U313</w:t>
    </w:r>
    <w:r w:rsidRPr="00F23AE4">
      <w:fldChar w:fldCharType="end"/>
    </w:r>
    <w:r w:rsidRPr="00F23AE4">
      <w:br/>
    </w:r>
    <w:r w:rsidRPr="00F23AE4">
      <w:fldChar w:fldCharType="begin" w:fldLock="1"/>
    </w:r>
    <w:r w:rsidRPr="00F23AE4">
      <w:instrText xml:space="preserve"> DOCPROPERTY</w:instrText>
    </w:r>
    <w:r w:rsidRPr="00F23AE4">
      <w:rPr>
        <w:sz w:val="18"/>
      </w:rPr>
      <w:instrText xml:space="preserve"> "Samling" *\charformat </w:instrText>
    </w:r>
    <w:r w:rsidRPr="00F23AE4">
      <w:fldChar w:fldCharType="end"/>
    </w:r>
    <w:r w:rsidRPr="00F23AE4">
      <w:tab/>
      <w:t xml:space="preserve">pnr: </w:t>
    </w:r>
    <w:r w:rsidRPr="00F23AE4">
      <w:fldChar w:fldCharType="begin" w:fldLock="1"/>
    </w:r>
    <w:r w:rsidRPr="00F23AE4">
      <w:instrText xml:space="preserve"> DOCPROPERTY</w:instrText>
    </w:r>
    <w:r w:rsidRPr="00F23AE4">
      <w:rPr>
        <w:sz w:val="18"/>
      </w:rPr>
      <w:instrText xml:space="preserve"> "Partinummer" *\charformat </w:instrText>
    </w:r>
    <w:r w:rsidRPr="00F23AE4">
      <w:fldChar w:fldCharType="separate"/>
    </w:r>
    <w:r w:rsidRPr="00F23AE4">
      <w:t>mp309</w:t>
    </w:r>
    <w:r w:rsidRPr="00F23AE4">
      <w:fldChar w:fldCharType="end"/>
    </w:r>
  </w:p>
  <w:p w:rsidR="00F23AE4" w:rsidRPr="00F23AE4" w:rsidRDefault="00F23AE4">
    <w:pPr>
      <w:pStyle w:val="FSHRub1"/>
    </w:pPr>
    <w:r w:rsidRPr="00F23AE4">
      <w:t>Motion till riksdagen</w:t>
    </w:r>
    <w:r w:rsidRPr="00F23AE4">
      <w:br/>
    </w:r>
    <w:r w:rsidRPr="00F23AE4">
      <w:fldChar w:fldCharType="begin" w:fldLock="1"/>
    </w:r>
    <w:r w:rsidRPr="00F23AE4">
      <w:instrText xml:space="preserve"> DOCPROPERTY "YearUser" *\charformat </w:instrText>
    </w:r>
    <w:r w:rsidRPr="00F23AE4">
      <w:fldChar w:fldCharType="separate"/>
    </w:r>
    <w:r w:rsidRPr="00F23AE4">
      <w:t>2008/09</w:t>
    </w:r>
    <w:r w:rsidRPr="00F23AE4">
      <w:fldChar w:fldCharType="end"/>
    </w:r>
    <w:r w:rsidRPr="00F23AE4">
      <w:t>:</w:t>
    </w:r>
    <w:r w:rsidRPr="00F23AE4">
      <w:fldChar w:fldCharType="begin" w:fldLock="1"/>
    </w:r>
    <w:r w:rsidRPr="00F23AE4">
      <w:instrText xml:space="preserve"> DOCPROPERTY "Motionsnummer" *\charformat </w:instrText>
    </w:r>
    <w:r w:rsidRPr="00F23AE4">
      <w:fldChar w:fldCharType="separate"/>
    </w:r>
    <w:r w:rsidRPr="00F23AE4">
      <w:t>U313</w:t>
    </w:r>
    <w:r w:rsidRPr="00F23AE4">
      <w:fldChar w:fldCharType="end"/>
    </w:r>
  </w:p>
  <w:p w:rsidR="00F23AE4" w:rsidRPr="00F23AE4" w:rsidRDefault="00F23AE4">
    <w:pPr>
      <w:pStyle w:val="FSHNormalS5"/>
    </w:pPr>
    <w:r w:rsidRPr="00F23AE4">
      <w:fldChar w:fldCharType="begin" w:fldLock="1"/>
    </w:r>
    <w:r w:rsidRPr="00F23AE4">
      <w:instrText xml:space="preserve"> DOCPROPERTY "MotionarText" *\charformat </w:instrText>
    </w:r>
    <w:r w:rsidRPr="00F23AE4">
      <w:fldChar w:fldCharType="separate"/>
    </w:r>
    <w:r w:rsidRPr="00F23AE4">
      <w:t>av Lage Rahm m.fl. (mp)</w:t>
    </w:r>
    <w:r w:rsidRPr="00F23AE4">
      <w:fldChar w:fldCharType="end"/>
    </w:r>
    <w:r w:rsidRPr="00F23AE4">
      <w:br/>
    </w:r>
    <w:r w:rsidRPr="00F23AE4">
      <w:fldChar w:fldCharType="begin" w:fldLock="1"/>
    </w:r>
    <w:r w:rsidRPr="00F23AE4">
      <w:instrText xml:space="preserve"> DOCPROPERTY "SvarFrasKort" *\charformat </w:instrText>
    </w:r>
    <w:r w:rsidRPr="00F23AE4">
      <w:fldChar w:fldCharType="end"/>
    </w:r>
  </w:p>
  <w:p w:rsidR="00F23AE4" w:rsidRPr="00F23AE4" w:rsidRDefault="00F23AE4">
    <w:pPr>
      <w:pStyle w:val="FSHTitel"/>
    </w:pPr>
    <w:r w:rsidRPr="00F23AE4">
      <w:fldChar w:fldCharType="begin" w:fldLock="1"/>
    </w:r>
    <w:r w:rsidRPr="00F23AE4">
      <w:instrText xml:space="preserve"> DOCPROPERTY</w:instrText>
    </w:r>
    <w:r w:rsidRPr="00F23AE4">
      <w:rPr>
        <w:sz w:val="18"/>
      </w:rPr>
      <w:instrText xml:space="preserve"> "RubrikSvar" *\charformat </w:instrText>
    </w:r>
    <w:r w:rsidRPr="00F23AE4">
      <w:fldChar w:fldCharType="separate"/>
    </w:r>
    <w:r w:rsidRPr="00F23AE4">
      <w:t>Rättvisa regler för handel</w:t>
    </w:r>
    <w:r w:rsidRPr="00F23AE4">
      <w:fldChar w:fldCharType="end"/>
    </w:r>
  </w:p>
  <w:p w:rsidR="00F23AE4" w:rsidRPr="00F23AE4" w:rsidRDefault="00F23AE4">
    <w:pPr>
      <w:pStyle w:val="Normal00"/>
    </w:pPr>
  </w:p>
  <w:p w:rsidR="00F23AE4" w:rsidRPr="00F23AE4" w:rsidRDefault="00F23A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423399F"/>
    <w:multiLevelType w:val="hybridMultilevel"/>
    <w:tmpl w:val="6E7C013E"/>
    <w:lvl w:ilvl="0" w:tplc="32903E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F8723F"/>
    <w:multiLevelType w:val="hybridMultilevel"/>
    <w:tmpl w:val="81E6E9B8"/>
    <w:lvl w:ilvl="0" w:tplc="5A48E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8798329">
    <w:abstractNumId w:val="8"/>
  </w:num>
  <w:num w:numId="2" w16cid:durableId="1899168414">
    <w:abstractNumId w:val="9"/>
  </w:num>
  <w:num w:numId="3" w16cid:durableId="144973049">
    <w:abstractNumId w:val="8"/>
  </w:num>
  <w:num w:numId="4" w16cid:durableId="635641961">
    <w:abstractNumId w:val="9"/>
  </w:num>
  <w:num w:numId="5" w16cid:durableId="29034401">
    <w:abstractNumId w:val="15"/>
  </w:num>
  <w:num w:numId="6" w16cid:durableId="1332757381">
    <w:abstractNumId w:val="11"/>
  </w:num>
  <w:num w:numId="7" w16cid:durableId="230624980">
    <w:abstractNumId w:val="13"/>
  </w:num>
  <w:num w:numId="8" w16cid:durableId="2056659027">
    <w:abstractNumId w:val="14"/>
  </w:num>
  <w:num w:numId="9" w16cid:durableId="1018627010">
    <w:abstractNumId w:val="8"/>
  </w:num>
  <w:num w:numId="10" w16cid:durableId="1668367013">
    <w:abstractNumId w:val="3"/>
  </w:num>
  <w:num w:numId="11" w16cid:durableId="1896113960">
    <w:abstractNumId w:val="2"/>
  </w:num>
  <w:num w:numId="12" w16cid:durableId="720135856">
    <w:abstractNumId w:val="1"/>
  </w:num>
  <w:num w:numId="13" w16cid:durableId="790173149">
    <w:abstractNumId w:val="0"/>
  </w:num>
  <w:num w:numId="14" w16cid:durableId="1978878739">
    <w:abstractNumId w:val="9"/>
  </w:num>
  <w:num w:numId="15" w16cid:durableId="1471943656">
    <w:abstractNumId w:val="7"/>
  </w:num>
  <w:num w:numId="16" w16cid:durableId="1444611207">
    <w:abstractNumId w:val="6"/>
  </w:num>
  <w:num w:numId="17" w16cid:durableId="1480531727">
    <w:abstractNumId w:val="5"/>
  </w:num>
  <w:num w:numId="18" w16cid:durableId="888496161">
    <w:abstractNumId w:val="4"/>
  </w:num>
  <w:num w:numId="19" w16cid:durableId="562252336">
    <w:abstractNumId w:val="10"/>
  </w:num>
  <w:num w:numId="20" w16cid:durableId="1792358071">
    <w:abstractNumId w:val="12"/>
  </w:num>
  <w:num w:numId="21" w16cid:durableId="1340616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40CF4CF-E74B-4017-8D58-93B738EC5F6D},{44E1179A-EAF6-4300-B094-8294DC01CCC9},{B81B8A0A-08CE-44CC-9E69-32C06335E529},{118C048D-818B-4EE9-99AD-DE1F328BC164},{0F87DCE8-E845-4A82-8576-72C9B4F36723}"/>
  </w:docVars>
  <w:rsids>
    <w:rsidRoot w:val="00E71048"/>
    <w:rsid w:val="00E71048"/>
    <w:rsid w:val="00F23A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027D8FD-8C94-408D-96FF-4F8304F5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Fotnotstecken">
    <w:name w:val="Fotnotstecken"/>
  </w:style>
  <w:style w:type="character" w:styleId="Fotnotsreferens">
    <w:name w:val="footnote reference"/>
    <w:semiHidden/>
    <w:rPr>
      <w:vertAlign w:val="superscript"/>
    </w:rPr>
  </w:style>
  <w:style w:type="paragraph" w:styleId="Brdtext">
    <w:name w:val="Body Text"/>
    <w:basedOn w:val="Normal"/>
    <w:pPr>
      <w:widowControl w:val="0"/>
      <w:suppressAutoHyphens/>
      <w:spacing w:after="120" w:line="240" w:lineRule="auto"/>
    </w:pPr>
    <w:rPr>
      <w:rFonts w:eastAsia="Arial Unicode MS"/>
      <w:kern w:val="1"/>
      <w:szCs w:val="24"/>
    </w:rPr>
  </w:style>
  <w:style w:type="paragraph" w:styleId="Fotnotstext">
    <w:name w:val="footnote text"/>
    <w:basedOn w:val="Normal"/>
    <w:semiHidden/>
    <w:pPr>
      <w:widowControl w:val="0"/>
      <w:suppressLineNumbers/>
      <w:suppressAutoHyphens/>
      <w:spacing w:line="240" w:lineRule="auto"/>
      <w:ind w:left="283" w:hanging="283"/>
    </w:pPr>
    <w:rPr>
      <w:rFonts w:eastAsia="Arial Unicode MS"/>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5595</Characters>
  <Application>Microsoft Office Word</Application>
  <DocSecurity>4</DocSecurity>
  <Lines>121</Lines>
  <Paragraphs>25</Paragraphs>
  <ScaleCrop>false</ScaleCrop>
  <HeadingPairs>
    <vt:vector size="2" baseType="variant">
      <vt:variant>
        <vt:lpstr>Rubrik</vt:lpstr>
      </vt:variant>
      <vt:variant>
        <vt:i4>1</vt:i4>
      </vt:variant>
    </vt:vector>
  </HeadingPairs>
  <TitlesOfParts>
    <vt:vector size="1" baseType="lpstr">
      <vt:lpstr>mp309</vt:lpstr>
    </vt:vector>
  </TitlesOfParts>
  <Company>Riksdagen</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mp309</dc:title>
  <dc:subject>mp309</dc:subject>
  <dc:creator>Riksdagen</dc:creator>
  <cp:keywords>Riksdagen</cp:keywords>
  <dc:description>TKG-ktrl, MSMQ4mb, PersReg-Distribution mm b-&gt;ny fplogga c-&gt;nygamla s-rosen</dc:description>
  <cp:lastModifiedBy>Lars Brink</cp:lastModifiedBy>
  <cp:revision>2</cp:revision>
  <cp:lastPrinted>2008-11-21T09:28:00Z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Rättvisa regler för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regler för 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Lage Rahm m.fl. (mp)</vt:lpwstr>
  </property>
  <property fmtid="{D5CDD505-2E9C-101B-9397-08002B2CF9AE}" pid="26" name="MotionarLista">
    <vt:lpwstr>Rahm, Lage (mp)\Ceballos, Bodil (mp)\Rådberg, Peter (mp)\Kaplan, Mehmet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Bodil Ceballos (mp), Peter Rådberg (mp), Mehmet Kaplan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20082009000001090112000003090075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20082009000001090112000003090075</vt:lpwstr>
  </property>
  <property fmtid="{D5CDD505-2E9C-101B-9397-08002B2CF9AE}" pid="50" name="nummer">
    <vt:lpwstr>313</vt:lpwstr>
  </property>
  <property fmtid="{D5CDD505-2E9C-101B-9397-08002B2CF9AE}" pid="51" name="utskottsbeteckning">
    <vt:lpwstr>U</vt:lpwstr>
  </property>
  <property fmtid="{D5CDD505-2E9C-101B-9397-08002B2CF9AE}" pid="52" name="GlobalUID">
    <vt:lpwstr>{DD9786CB-7644-4DDF-A882-70C16B536B77}</vt:lpwstr>
  </property>
  <property fmtid="{D5CDD505-2E9C-101B-9397-08002B2CF9AE}" pid="53" name="Överföringar">
    <vt:i4>0</vt:i4>
  </property>
  <property fmtid="{D5CDD505-2E9C-101B-9397-08002B2CF9AE}" pid="54" name="Checksum">
    <vt:lpwstr>*0000781692869*</vt:lpwstr>
  </property>
  <property fmtid="{D5CDD505-2E9C-101B-9397-08002B2CF9AE}" pid="55" name="skuggnummer">
    <vt:lpwstr>2822</vt:lpwstr>
  </property>
  <property fmtid="{D5CDD505-2E9C-101B-9397-08002B2CF9AE}" pid="56" name="urixVersion">
    <vt:lpwstr>3.2.0.8</vt:lpwstr>
  </property>
  <property fmtid="{D5CDD505-2E9C-101B-9397-08002B2CF9AE}" pid="57" name="urixOrigin">
    <vt:lpwstr>090402 10:43:52.065</vt:lpwstr>
  </property>
  <property fmtid="{D5CDD505-2E9C-101B-9397-08002B2CF9AE}" pid="58" name="urixGuid">
    <vt:lpwstr>{B7DBCDB3-8027-4264-A89C-DCA5E230B471}</vt:lpwstr>
  </property>
</Properties>
</file>