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B6E" w:rsidRPr="00014C07" w:rsidRDefault="00C05B6E">
      <w:pPr>
        <w:pStyle w:val="1NNote"/>
      </w:pPr>
      <w:r w:rsidRPr="00014C07">
        <w:t>IP</w:t>
      </w:r>
      <w:r w:rsidR="00006985" w:rsidRPr="00014C07">
        <w:t>/07/</w:t>
      </w:r>
      <w:r w:rsidR="00E51557" w:rsidRPr="00014C07">
        <w:t>716</w:t>
      </w:r>
    </w:p>
    <w:p w:rsidR="00C05B6E" w:rsidRPr="00014C07" w:rsidRDefault="00C05B6E">
      <w:pPr>
        <w:pStyle w:val="2Date"/>
        <w:rPr>
          <w:lang w:val="sv-SE"/>
        </w:rPr>
      </w:pPr>
      <w:smartTag w:uri="urn:schemas-microsoft-com:office:smarttags" w:element="place">
        <w:smartTag w:uri="urn:schemas-microsoft-com:office:smarttags" w:element="City">
          <w:r w:rsidRPr="00014C07">
            <w:rPr>
              <w:lang w:val="sv-SE"/>
            </w:rPr>
            <w:t>Brussels</w:t>
          </w:r>
        </w:smartTag>
      </w:smartTag>
      <w:r w:rsidRPr="00014C07">
        <w:rPr>
          <w:lang w:val="sv-SE"/>
        </w:rPr>
        <w:t xml:space="preserve">, </w:t>
      </w:r>
      <w:r w:rsidR="00006985" w:rsidRPr="00014C07">
        <w:rPr>
          <w:lang w:val="sv-SE"/>
        </w:rPr>
        <w:t>30 May</w:t>
      </w:r>
      <w:r w:rsidR="00BC452F" w:rsidRPr="00014C07">
        <w:rPr>
          <w:lang w:val="sv-SE"/>
        </w:rPr>
        <w:t xml:space="preserve"> </w:t>
      </w:r>
      <w:r w:rsidR="00082039" w:rsidRPr="00014C07">
        <w:rPr>
          <w:lang w:val="sv-SE"/>
        </w:rPr>
        <w:t>200</w:t>
      </w:r>
      <w:r w:rsidR="009F220E" w:rsidRPr="00014C07">
        <w:rPr>
          <w:lang w:val="sv-SE"/>
        </w:rPr>
        <w:t>7</w:t>
      </w:r>
    </w:p>
    <w:p w:rsidR="00175116" w:rsidRPr="00014C07" w:rsidRDefault="00175116" w:rsidP="009840BC">
      <w:pPr>
        <w:pStyle w:val="3Titre"/>
        <w:rPr>
          <w:lang w:val="sv-SE"/>
        </w:rPr>
      </w:pPr>
      <w:r w:rsidRPr="00014C07">
        <w:rPr>
          <w:lang w:val="sv-SE"/>
        </w:rPr>
        <w:t xml:space="preserve">Commission assesses stability programme of </w:t>
      </w:r>
      <w:r w:rsidR="00006985" w:rsidRPr="00014C07">
        <w:rPr>
          <w:lang w:val="sv-SE"/>
        </w:rPr>
        <w:t>Austria</w:t>
      </w:r>
      <w:r w:rsidR="00424E10" w:rsidRPr="00014C07">
        <w:rPr>
          <w:lang w:val="sv-SE"/>
        </w:rPr>
        <w:t xml:space="preserve"> </w:t>
      </w:r>
    </w:p>
    <w:p w:rsidR="007F4E0E" w:rsidRPr="00014C07" w:rsidRDefault="00175116" w:rsidP="009840BC">
      <w:pPr>
        <w:pStyle w:val="4Chapeau"/>
      </w:pPr>
      <w:r w:rsidRPr="00014C07">
        <w:t xml:space="preserve">Having examined </w:t>
      </w:r>
      <w:r w:rsidR="00006985" w:rsidRPr="00014C07">
        <w:t>its</w:t>
      </w:r>
      <w:r w:rsidRPr="00014C07">
        <w:t xml:space="preserve"> updated </w:t>
      </w:r>
      <w:r w:rsidR="007D0CFE" w:rsidRPr="00014C07">
        <w:t xml:space="preserve">stability </w:t>
      </w:r>
      <w:r w:rsidRPr="00014C07">
        <w:t>programme</w:t>
      </w:r>
      <w:r w:rsidRPr="00014C07">
        <w:rPr>
          <w:rStyle w:val="Fotnotsreferens"/>
          <w:rFonts w:cs="Arial"/>
          <w:b w:val="0"/>
          <w:bCs/>
          <w:i w:val="0"/>
          <w:iCs/>
          <w:szCs w:val="22"/>
        </w:rPr>
        <w:footnoteReference w:id="1"/>
      </w:r>
      <w:r w:rsidRPr="00014C07">
        <w:t xml:space="preserve">, the European Commission </w:t>
      </w:r>
      <w:r w:rsidR="008D3152" w:rsidRPr="00014C07">
        <w:t xml:space="preserve">finds </w:t>
      </w:r>
      <w:r w:rsidR="0030236B" w:rsidRPr="00014C07">
        <w:t xml:space="preserve">that </w:t>
      </w:r>
      <w:smartTag w:uri="urn:schemas-microsoft-com:office:smarttags" w:element="country-region">
        <w:smartTag w:uri="urn:schemas-microsoft-com:office:smarttags" w:element="place">
          <w:r w:rsidR="0030236B" w:rsidRPr="00014C07">
            <w:t>Austria</w:t>
          </w:r>
        </w:smartTag>
      </w:smartTag>
      <w:r w:rsidR="00542C1F" w:rsidRPr="00014C07">
        <w:t xml:space="preserve"> could be more ambitious and achieve its objective of a balanced budget more quickly than currently envisaged</w:t>
      </w:r>
      <w:r w:rsidR="0030236B" w:rsidRPr="00014C07">
        <w:t xml:space="preserve">. </w:t>
      </w:r>
      <w:r w:rsidR="00031A97" w:rsidRPr="00014C07">
        <w:t>The risks to the budgetary projections in the programme appear broadly balanced for 2007 and 2008, but for 2009 and 2010, the budgetary outcomes could be worse than projected. For this reason, the budgetary stance in the programme</w:t>
      </w:r>
      <w:r w:rsidR="00031A97" w:rsidRPr="00014C07" w:rsidDel="00C94379">
        <w:t xml:space="preserve"> </w:t>
      </w:r>
      <w:r w:rsidR="00031A97" w:rsidRPr="00014C07">
        <w:t xml:space="preserve">may not be sufficient to ensure that </w:t>
      </w:r>
      <w:r w:rsidR="00542C1F" w:rsidRPr="00014C07">
        <w:t>a balanced budget</w:t>
      </w:r>
      <w:r w:rsidR="00031A97" w:rsidRPr="00014C07">
        <w:t xml:space="preserve"> is achieved by 2010, as envisaged in the programme. </w:t>
      </w:r>
      <w:r w:rsidR="00DB1027" w:rsidRPr="00014C07">
        <w:t xml:space="preserve">The Council is expected to adopt an opinion </w:t>
      </w:r>
      <w:r w:rsidR="00C4541A" w:rsidRPr="00014C07">
        <w:t>on the programme on 10 July</w:t>
      </w:r>
      <w:r w:rsidR="00DB1027" w:rsidRPr="00014C07">
        <w:t>.</w:t>
      </w:r>
      <w:r w:rsidR="00031A97" w:rsidRPr="00014C07">
        <w:t xml:space="preserve"> </w:t>
      </w:r>
    </w:p>
    <w:p w:rsidR="00A84112" w:rsidRPr="00014C07" w:rsidRDefault="00031A97" w:rsidP="009840BC">
      <w:pPr>
        <w:pStyle w:val="5Normal"/>
        <w:rPr>
          <w:lang w:val="sv-SE"/>
        </w:rPr>
      </w:pPr>
      <w:r w:rsidRPr="00014C07">
        <w:rPr>
          <w:i/>
          <w:lang w:val="sv-SE"/>
        </w:rPr>
        <w:t xml:space="preserve">"The pace of </w:t>
      </w:r>
      <w:smartTag w:uri="urn:schemas-microsoft-com:office:smarttags" w:element="place">
        <w:smartTag w:uri="urn:schemas-microsoft-com:office:smarttags" w:element="country-region">
          <w:r w:rsidRPr="00014C07">
            <w:rPr>
              <w:i/>
              <w:lang w:val="sv-SE"/>
            </w:rPr>
            <w:t>Austria</w:t>
          </w:r>
        </w:smartTag>
      </w:smartTag>
      <w:r w:rsidRPr="00014C07">
        <w:rPr>
          <w:i/>
          <w:lang w:val="sv-SE"/>
        </w:rPr>
        <w:t>'s budgetary adjustment towards</w:t>
      </w:r>
      <w:r w:rsidR="003C43A6" w:rsidRPr="00014C07">
        <w:rPr>
          <w:i/>
          <w:lang w:val="sv-SE"/>
        </w:rPr>
        <w:t xml:space="preserve"> </w:t>
      </w:r>
      <w:r w:rsidR="00542C1F" w:rsidRPr="00014C07">
        <w:rPr>
          <w:i/>
          <w:lang w:val="sv-SE"/>
        </w:rPr>
        <w:t>a balanced budget</w:t>
      </w:r>
      <w:r w:rsidRPr="00014C07">
        <w:rPr>
          <w:i/>
          <w:lang w:val="sv-SE"/>
        </w:rPr>
        <w:t xml:space="preserve"> should be strengthened, especially </w:t>
      </w:r>
      <w:r w:rsidR="00C954A4" w:rsidRPr="00014C07">
        <w:rPr>
          <w:i/>
          <w:lang w:val="sv-SE"/>
        </w:rPr>
        <w:t>this year and next</w:t>
      </w:r>
      <w:r w:rsidRPr="00014C07">
        <w:rPr>
          <w:i/>
          <w:lang w:val="sv-SE"/>
        </w:rPr>
        <w:t>.</w:t>
      </w:r>
      <w:r w:rsidR="00542C1F" w:rsidRPr="00014C07">
        <w:rPr>
          <w:i/>
          <w:lang w:val="sv-SE"/>
        </w:rPr>
        <w:t xml:space="preserve">  </w:t>
      </w:r>
      <w:smartTag w:uri="urn:schemas-microsoft-com:office:smarttags" w:element="place">
        <w:smartTag w:uri="urn:schemas-microsoft-com:office:smarttags" w:element="country-region">
          <w:r w:rsidR="00C954A4" w:rsidRPr="00014C07">
            <w:rPr>
              <w:i/>
              <w:lang w:val="sv-SE"/>
            </w:rPr>
            <w:t>Austria</w:t>
          </w:r>
        </w:smartTag>
      </w:smartTag>
      <w:r w:rsidR="00C954A4" w:rsidRPr="00014C07">
        <w:rPr>
          <w:i/>
          <w:lang w:val="sv-SE"/>
        </w:rPr>
        <w:t xml:space="preserve"> </w:t>
      </w:r>
      <w:r w:rsidR="00542C1F" w:rsidRPr="00014C07">
        <w:rPr>
          <w:i/>
          <w:lang w:val="sv-SE"/>
        </w:rPr>
        <w:t>should make use of the good times that it is currently enjoying to put its budgetary position on an even sounder footing</w:t>
      </w:r>
      <w:r w:rsidR="00C954A4" w:rsidRPr="00014C07">
        <w:rPr>
          <w:i/>
          <w:lang w:val="sv-SE"/>
        </w:rPr>
        <w:t xml:space="preserve"> even though its public finances are considered at low risk in the long term</w:t>
      </w:r>
      <w:r w:rsidR="00542C1F" w:rsidRPr="00014C07">
        <w:rPr>
          <w:i/>
          <w:lang w:val="sv-SE"/>
        </w:rPr>
        <w:t xml:space="preserve">. </w:t>
      </w:r>
      <w:r w:rsidR="00991B80" w:rsidRPr="00014C07">
        <w:rPr>
          <w:i/>
          <w:lang w:val="sv-SE"/>
        </w:rPr>
        <w:t>T</w:t>
      </w:r>
      <w:r w:rsidRPr="00014C07">
        <w:rPr>
          <w:i/>
          <w:lang w:val="sv-SE"/>
        </w:rPr>
        <w:t xml:space="preserve">he limited improvement in the structural balance planned </w:t>
      </w:r>
      <w:r w:rsidR="003D27C4" w:rsidRPr="00014C07">
        <w:rPr>
          <w:i/>
          <w:lang w:val="sv-SE"/>
        </w:rPr>
        <w:t>between 2007 and 2009</w:t>
      </w:r>
      <w:r w:rsidRPr="00014C07">
        <w:rPr>
          <w:i/>
          <w:lang w:val="sv-SE"/>
        </w:rPr>
        <w:t xml:space="preserve"> falls much short of the agreed </w:t>
      </w:r>
      <w:r w:rsidR="00542C1F" w:rsidRPr="00014C07">
        <w:rPr>
          <w:i/>
          <w:lang w:val="sv-SE"/>
        </w:rPr>
        <w:t xml:space="preserve">0.5% of GDP </w:t>
      </w:r>
      <w:r w:rsidRPr="00014C07">
        <w:rPr>
          <w:i/>
          <w:lang w:val="sv-SE"/>
        </w:rPr>
        <w:t>benchmark for euro-area countries</w:t>
      </w:r>
      <w:r w:rsidR="00D25326" w:rsidRPr="00014C07">
        <w:rPr>
          <w:i/>
          <w:lang w:val="sv-SE"/>
        </w:rPr>
        <w:t>"</w:t>
      </w:r>
      <w:r w:rsidR="00CD4B75" w:rsidRPr="00014C07">
        <w:rPr>
          <w:i/>
          <w:lang w:val="sv-SE"/>
        </w:rPr>
        <w:t>,</w:t>
      </w:r>
      <w:r w:rsidR="00E62EC6" w:rsidRPr="00014C07">
        <w:rPr>
          <w:i/>
          <w:lang w:val="sv-SE"/>
        </w:rPr>
        <w:t xml:space="preserve"> </w:t>
      </w:r>
      <w:r w:rsidR="00601959" w:rsidRPr="00014C07">
        <w:rPr>
          <w:lang w:val="sv-SE"/>
        </w:rPr>
        <w:t>said Economic and Monetary Affairs Commissioner Joaquín Almunia.</w:t>
      </w:r>
    </w:p>
    <w:p w:rsidR="00542C1F" w:rsidRPr="00014C07" w:rsidRDefault="00AF15B1" w:rsidP="009840BC">
      <w:pPr>
        <w:pStyle w:val="5Normal"/>
        <w:rPr>
          <w:lang w:val="sv-SE"/>
        </w:rPr>
      </w:pPr>
      <w:r w:rsidRPr="00014C07">
        <w:rPr>
          <w:lang w:val="sv-SE"/>
        </w:rPr>
        <w:t xml:space="preserve">Following the constitution of </w:t>
      </w:r>
      <w:r w:rsidR="00542C1F" w:rsidRPr="00014C07">
        <w:rPr>
          <w:lang w:val="sv-SE"/>
        </w:rPr>
        <w:t xml:space="preserve">a </w:t>
      </w:r>
      <w:r w:rsidRPr="00014C07">
        <w:rPr>
          <w:lang w:val="sv-SE"/>
        </w:rPr>
        <w:t xml:space="preserve">new government in January 2007, </w:t>
      </w:r>
      <w:smartTag w:uri="urn:schemas-microsoft-com:office:smarttags" w:element="country-region">
        <w:smartTag w:uri="urn:schemas-microsoft-com:office:smarttags" w:element="place">
          <w:r w:rsidR="00006985" w:rsidRPr="00014C07">
            <w:rPr>
              <w:lang w:val="sv-SE"/>
            </w:rPr>
            <w:t>Austria</w:t>
          </w:r>
        </w:smartTag>
      </w:smartTag>
      <w:r w:rsidR="00006985" w:rsidRPr="00014C07">
        <w:rPr>
          <w:lang w:val="sv-SE"/>
        </w:rPr>
        <w:t xml:space="preserve"> submitted a new update of its stability programme on 29 March 2007, covering the period 2006-2010. Based on a macroeconomic scenario</w:t>
      </w:r>
      <w:r w:rsidR="00542C1F" w:rsidRPr="00014C07">
        <w:rPr>
          <w:lang w:val="sv-SE"/>
        </w:rPr>
        <w:t xml:space="preserve"> that appears plausible</w:t>
      </w:r>
      <w:r w:rsidR="00006985" w:rsidRPr="00014C07">
        <w:rPr>
          <w:lang w:val="sv-SE"/>
        </w:rPr>
        <w:t xml:space="preserve">, the programme's main goal is to reach a balanced budget over the cycle. The update projects the general government position to improve from a deficit of 1.1 % of GDP in 2006 to a surplus of 0.4 % in 2010. The programme </w:t>
      </w:r>
      <w:r w:rsidR="00542C1F" w:rsidRPr="00014C07">
        <w:rPr>
          <w:lang w:val="sv-SE"/>
        </w:rPr>
        <w:t xml:space="preserve">also </w:t>
      </w:r>
      <w:r w:rsidR="00006985" w:rsidRPr="00014C07">
        <w:rPr>
          <w:lang w:val="sv-SE"/>
        </w:rPr>
        <w:t xml:space="preserve">aims at reaching the medium-term objective (MTO) for the budgetary position of a balanced budget in structural terms (cyclically-adjusted and net of one-off and temporary measures) broadly by 2009 and to fully achieve it by 2010. </w:t>
      </w:r>
    </w:p>
    <w:p w:rsidR="00542C1F" w:rsidRPr="00014C07" w:rsidRDefault="00746781" w:rsidP="009840BC">
      <w:pPr>
        <w:pStyle w:val="5Normal"/>
        <w:rPr>
          <w:lang w:val="sv-SE"/>
        </w:rPr>
      </w:pPr>
      <w:r w:rsidRPr="00014C07">
        <w:rPr>
          <w:lang w:val="sv-SE"/>
        </w:rPr>
        <w:t xml:space="preserve">The risks to the budgetary projections in the programme appear broadly balanced for 2007 and 2008, but for 2009 and 2010, the budgetary outcomes could </w:t>
      </w:r>
      <w:r w:rsidR="00542C1F" w:rsidRPr="00014C07">
        <w:rPr>
          <w:lang w:val="sv-SE"/>
        </w:rPr>
        <w:t>turn out less positive</w:t>
      </w:r>
      <w:r w:rsidRPr="00014C07">
        <w:rPr>
          <w:lang w:val="sv-SE"/>
        </w:rPr>
        <w:t xml:space="preserve"> than projected, in particular since </w:t>
      </w:r>
      <w:r w:rsidR="003D27C4" w:rsidRPr="00014C07">
        <w:rPr>
          <w:lang w:val="sv-SE"/>
        </w:rPr>
        <w:t xml:space="preserve">additional spending would be made </w:t>
      </w:r>
      <w:r w:rsidRPr="00014C07">
        <w:rPr>
          <w:lang w:val="sv-SE"/>
        </w:rPr>
        <w:t xml:space="preserve">over the programme period, while the expected efficiency gains in public administration remain uncertain. </w:t>
      </w:r>
      <w:r w:rsidR="00DB1027" w:rsidRPr="00014C07">
        <w:rPr>
          <w:lang w:val="sv-SE"/>
        </w:rPr>
        <w:t xml:space="preserve">The programme </w:t>
      </w:r>
      <w:r w:rsidR="00542C1F" w:rsidRPr="00014C07">
        <w:rPr>
          <w:lang w:val="sv-SE"/>
        </w:rPr>
        <w:t xml:space="preserve">also </w:t>
      </w:r>
      <w:r w:rsidR="00DB1027" w:rsidRPr="00014C07">
        <w:rPr>
          <w:lang w:val="sv-SE"/>
        </w:rPr>
        <w:t xml:space="preserve">hints at the possibility of further tax cuts </w:t>
      </w:r>
      <w:r w:rsidR="00542C1F" w:rsidRPr="00014C07">
        <w:rPr>
          <w:lang w:val="sv-SE"/>
        </w:rPr>
        <w:t xml:space="preserve">although they would be </w:t>
      </w:r>
      <w:r w:rsidR="00DB1027" w:rsidRPr="00014C07">
        <w:rPr>
          <w:lang w:val="sv-SE"/>
        </w:rPr>
        <w:t>financed by the planned expenditure savings.</w:t>
      </w:r>
    </w:p>
    <w:p w:rsidR="00006985" w:rsidRPr="00014C07" w:rsidRDefault="00746781" w:rsidP="009840BC">
      <w:pPr>
        <w:pStyle w:val="5Normal"/>
        <w:rPr>
          <w:lang w:val="sv-SE"/>
        </w:rPr>
      </w:pPr>
      <w:r w:rsidRPr="00014C07">
        <w:rPr>
          <w:lang w:val="sv-SE"/>
        </w:rPr>
        <w:t>Government gross debt is estimated at 62.2 % of GDP in 2006, still above the 60 % of GDP Treaty reference value, but the programme projects the debt ratio to fall below the reference value by 2008 and to decline further to 56.8 % of GDP by 2009</w:t>
      </w:r>
      <w:r w:rsidR="00006985" w:rsidRPr="00014C07">
        <w:rPr>
          <w:lang w:val="sv-SE"/>
        </w:rPr>
        <w:t xml:space="preserve">. </w:t>
      </w:r>
      <w:smartTag w:uri="urn:schemas-microsoft-com:office:smarttags" w:element="place">
        <w:smartTag w:uri="urn:schemas-microsoft-com:office:smarttags" w:element="country-region">
          <w:r w:rsidR="00006985" w:rsidRPr="00014C07">
            <w:rPr>
              <w:lang w:val="sv-SE"/>
            </w:rPr>
            <w:t>Austria</w:t>
          </w:r>
        </w:smartTag>
      </w:smartTag>
      <w:r w:rsidR="00006985" w:rsidRPr="00014C07">
        <w:rPr>
          <w:lang w:val="sv-SE"/>
        </w:rPr>
        <w:t xml:space="preserve"> appears to be at low risk with regard to the sustainability of public finances.</w:t>
      </w:r>
    </w:p>
    <w:p w:rsidR="00006985" w:rsidRPr="00014C07" w:rsidRDefault="009840BC" w:rsidP="009840BC">
      <w:pPr>
        <w:pStyle w:val="5Normal"/>
        <w:rPr>
          <w:lang w:val="sv-SE"/>
        </w:rPr>
      </w:pPr>
      <w:r w:rsidRPr="00014C07">
        <w:rPr>
          <w:lang w:val="sv-SE"/>
        </w:rPr>
        <w:br w:type="page"/>
      </w:r>
      <w:r w:rsidR="00006985" w:rsidRPr="00014C07">
        <w:rPr>
          <w:lang w:val="sv-SE"/>
        </w:rPr>
        <w:lastRenderedPageBreak/>
        <w:t xml:space="preserve">Overall, in a context of robust growth prospects, the programme envisages slow progress towards the MTO through a relatively back-loaded adjustment that is based mainly on not-fully-specified expenditure restraint. There are risks to the achievement of the budgetary targets after 2008 and the MTO might not be reached by the end of the programme period. Government debt would approach the 60 % of GDP reference value in 2007 and continue to decline in subsequent years. </w:t>
      </w:r>
    </w:p>
    <w:p w:rsidR="00006985" w:rsidRPr="00014C07" w:rsidRDefault="00006985" w:rsidP="009840BC">
      <w:pPr>
        <w:pStyle w:val="5Normal"/>
        <w:rPr>
          <w:lang w:val="sv-SE"/>
        </w:rPr>
      </w:pPr>
      <w:r w:rsidRPr="00014C07">
        <w:rPr>
          <w:lang w:val="sv-SE"/>
        </w:rPr>
        <w:t xml:space="preserve">Therefore, the Council should invite </w:t>
      </w:r>
      <w:smartTag w:uri="urn:schemas-microsoft-com:office:smarttags" w:element="country-region">
        <w:smartTag w:uri="urn:schemas-microsoft-com:office:smarttags" w:element="place">
          <w:r w:rsidRPr="00014C07">
            <w:rPr>
              <w:lang w:val="sv-SE"/>
            </w:rPr>
            <w:t>Austria</w:t>
          </w:r>
        </w:smartTag>
      </w:smartTag>
      <w:r w:rsidRPr="00014C07">
        <w:rPr>
          <w:lang w:val="sv-SE"/>
        </w:rPr>
        <w:t xml:space="preserve"> to exploit the good economic conditions and the lower-than-targeted deficit in 2006 to frontload and strengthen the adjustment towards the MTO, in particular by rigorously implementing expenditure restraint and by using any unexpected tax revenues for </w:t>
      </w:r>
      <w:r w:rsidR="00542C1F" w:rsidRPr="00014C07">
        <w:rPr>
          <w:lang w:val="sv-SE"/>
        </w:rPr>
        <w:t xml:space="preserve">budgetary </w:t>
      </w:r>
      <w:r w:rsidRPr="00014C07">
        <w:rPr>
          <w:lang w:val="sv-SE"/>
        </w:rPr>
        <w:t>consolidation.</w:t>
      </w:r>
    </w:p>
    <w:p w:rsidR="00B25C5F" w:rsidRPr="00014C07" w:rsidRDefault="00175116" w:rsidP="009840BC">
      <w:pPr>
        <w:pStyle w:val="5Normal"/>
        <w:rPr>
          <w:lang w:val="sv-SE"/>
        </w:rPr>
      </w:pPr>
      <w:r w:rsidRPr="00014C07">
        <w:rPr>
          <w:lang w:val="sv-SE"/>
        </w:rPr>
        <w:t xml:space="preserve">The Commission </w:t>
      </w:r>
      <w:r w:rsidR="00732D6D" w:rsidRPr="00014C07">
        <w:rPr>
          <w:lang w:val="sv-SE"/>
        </w:rPr>
        <w:t>recommendation</w:t>
      </w:r>
      <w:r w:rsidR="009A3AAC" w:rsidRPr="00014C07">
        <w:rPr>
          <w:lang w:val="sv-SE"/>
        </w:rPr>
        <w:t>s</w:t>
      </w:r>
      <w:r w:rsidR="00020DA8" w:rsidRPr="00014C07">
        <w:rPr>
          <w:lang w:val="sv-SE"/>
        </w:rPr>
        <w:t xml:space="preserve"> </w:t>
      </w:r>
      <w:r w:rsidR="00732D6D" w:rsidRPr="00014C07">
        <w:rPr>
          <w:lang w:val="sv-SE"/>
        </w:rPr>
        <w:t>for Council Opinion</w:t>
      </w:r>
      <w:r w:rsidR="009A3AAC" w:rsidRPr="00014C07">
        <w:rPr>
          <w:lang w:val="sv-SE"/>
        </w:rPr>
        <w:t>s are</w:t>
      </w:r>
      <w:r w:rsidRPr="00014C07">
        <w:rPr>
          <w:lang w:val="sv-SE"/>
        </w:rPr>
        <w:t xml:space="preserve"> available at:</w:t>
      </w:r>
    </w:p>
    <w:p w:rsidR="000846BC" w:rsidRPr="00014C07" w:rsidRDefault="00B25C5F" w:rsidP="009840BC">
      <w:pPr>
        <w:pStyle w:val="5Normal"/>
        <w:rPr>
          <w:rFonts w:cs="Arial"/>
          <w:b/>
          <w:i/>
          <w:sz w:val="20"/>
          <w:lang w:val="sv-SE"/>
        </w:rPr>
      </w:pPr>
      <w:hyperlink r:id="rId7" w:history="1">
        <w:r w:rsidRPr="00014C07">
          <w:rPr>
            <w:rFonts w:cs="Arial"/>
            <w:b/>
            <w:i/>
            <w:color w:val="0000FF"/>
            <w:sz w:val="20"/>
            <w:u w:val="single"/>
            <w:lang w:val="sv-SE"/>
          </w:rPr>
          <w:t>http://ec.europa.eu/economy_finance/about/acti</w:t>
        </w:r>
        <w:r w:rsidRPr="00014C07">
          <w:rPr>
            <w:rFonts w:cs="Arial"/>
            <w:b/>
            <w:i/>
            <w:color w:val="0000FF"/>
            <w:sz w:val="20"/>
            <w:u w:val="single"/>
            <w:lang w:val="sv-SE"/>
          </w:rPr>
          <w:t>v</w:t>
        </w:r>
        <w:r w:rsidRPr="00014C07">
          <w:rPr>
            <w:rFonts w:cs="Arial"/>
            <w:b/>
            <w:i/>
            <w:color w:val="0000FF"/>
            <w:sz w:val="20"/>
            <w:u w:val="single"/>
            <w:lang w:val="sv-SE"/>
          </w:rPr>
          <w:t>ities/sgp/country/doctype/cr_en.htm</w:t>
        </w:r>
      </w:hyperlink>
      <w:r w:rsidRPr="00014C07">
        <w:rPr>
          <w:rFonts w:cs="Arial"/>
          <w:b/>
          <w:i/>
          <w:sz w:val="20"/>
          <w:lang w:val="sv-SE"/>
        </w:rPr>
        <w:t xml:space="preserve"> </w:t>
      </w:r>
    </w:p>
    <w:p w:rsidR="009840BC" w:rsidRPr="00014C07" w:rsidRDefault="009840BC" w:rsidP="00345D77">
      <w:pPr>
        <w:pStyle w:val="Sous-titre1"/>
        <w:rPr>
          <w:rFonts w:cs="Arial"/>
          <w:i/>
          <w:sz w:val="20"/>
        </w:rPr>
        <w:sectPr w:rsidR="009840BC" w:rsidRPr="00014C07" w:rsidSect="009840BC">
          <w:footerReference w:type="default" r:id="rId8"/>
          <w:pgSz w:w="11907" w:h="16840" w:code="9"/>
          <w:pgMar w:top="1021" w:right="1191" w:bottom="1644" w:left="2608" w:header="0" w:footer="567" w:gutter="0"/>
          <w:pgNumType w:start="1"/>
          <w:cols w:space="720"/>
          <w:noEndnote/>
          <w:titlePg/>
        </w:sectPr>
      </w:pPr>
    </w:p>
    <w:p w:rsidR="00DE4806" w:rsidRPr="00014C07" w:rsidRDefault="000846BC" w:rsidP="009840BC">
      <w:pPr>
        <w:pStyle w:val="Sous-titre1"/>
      </w:pPr>
      <w:r w:rsidRPr="00014C07">
        <w:rPr>
          <w:rFonts w:cs="Arial"/>
          <w:i/>
          <w:sz w:val="20"/>
        </w:rPr>
        <w:br w:type="page"/>
      </w:r>
      <w:r w:rsidR="00BD4462" w:rsidRPr="00014C07">
        <w:t>Comparison of key macroeconomic and budgetary projections</w:t>
      </w:r>
    </w:p>
    <w:tbl>
      <w:tblPr>
        <w:tblW w:w="8652" w:type="dxa"/>
        <w:tblInd w:w="108" w:type="dxa"/>
        <w:tblLayout w:type="fixed"/>
        <w:tblLook w:val="0000" w:firstRow="0" w:lastRow="0" w:firstColumn="0" w:lastColumn="0" w:noHBand="0" w:noVBand="0"/>
      </w:tblPr>
      <w:tblGrid>
        <w:gridCol w:w="2728"/>
        <w:gridCol w:w="1930"/>
        <w:gridCol w:w="645"/>
        <w:gridCol w:w="20"/>
        <w:gridCol w:w="600"/>
        <w:gridCol w:w="66"/>
        <w:gridCol w:w="527"/>
        <w:gridCol w:w="139"/>
        <w:gridCol w:w="470"/>
        <w:gridCol w:w="196"/>
        <w:gridCol w:w="427"/>
        <w:gridCol w:w="238"/>
        <w:gridCol w:w="355"/>
        <w:gridCol w:w="311"/>
      </w:tblGrid>
      <w:tr w:rsidR="00DE4806" w:rsidRPr="00014C07" w:rsidTr="00DE4806">
        <w:trPr>
          <w:trHeight w:val="264"/>
        </w:trPr>
        <w:tc>
          <w:tcPr>
            <w:tcW w:w="2728" w:type="dxa"/>
            <w:tcBorders>
              <w:top w:val="nil"/>
              <w:left w:val="nil"/>
              <w:bottom w:val="double" w:sz="6" w:space="0" w:color="auto"/>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cs="Arial"/>
                <w:sz w:val="20"/>
              </w:rPr>
            </w:pPr>
            <w:r w:rsidRPr="00014C07">
              <w:rPr>
                <w:rFonts w:cs="Arial"/>
                <w:sz w:val="20"/>
              </w:rPr>
              <w:t> </w:t>
            </w:r>
          </w:p>
        </w:tc>
        <w:tc>
          <w:tcPr>
            <w:tcW w:w="1930" w:type="dxa"/>
            <w:tcBorders>
              <w:top w:val="nil"/>
              <w:left w:val="nil"/>
              <w:bottom w:val="double" w:sz="6" w:space="0" w:color="auto"/>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cs="Arial"/>
                <w:sz w:val="20"/>
              </w:rPr>
            </w:pPr>
            <w:r w:rsidRPr="00014C07">
              <w:rPr>
                <w:rFonts w:cs="Arial"/>
                <w:sz w:val="20"/>
              </w:rPr>
              <w:t> </w:t>
            </w:r>
          </w:p>
        </w:tc>
        <w:tc>
          <w:tcPr>
            <w:tcW w:w="665" w:type="dxa"/>
            <w:gridSpan w:val="2"/>
            <w:tcBorders>
              <w:top w:val="nil"/>
              <w:left w:val="nil"/>
              <w:bottom w:val="double" w:sz="6" w:space="0" w:color="auto"/>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cs="Arial"/>
                <w:sz w:val="20"/>
              </w:rPr>
            </w:pPr>
            <w:r w:rsidRPr="00014C07">
              <w:rPr>
                <w:rFonts w:cs="Arial"/>
                <w:sz w:val="20"/>
              </w:rPr>
              <w:t> </w:t>
            </w:r>
          </w:p>
        </w:tc>
        <w:tc>
          <w:tcPr>
            <w:tcW w:w="666" w:type="dxa"/>
            <w:gridSpan w:val="2"/>
            <w:tcBorders>
              <w:top w:val="nil"/>
              <w:left w:val="nil"/>
              <w:bottom w:val="double" w:sz="6" w:space="0" w:color="auto"/>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cs="Arial"/>
                <w:sz w:val="20"/>
              </w:rPr>
            </w:pPr>
            <w:r w:rsidRPr="00014C07">
              <w:rPr>
                <w:rFonts w:cs="Arial"/>
                <w:sz w:val="20"/>
              </w:rPr>
              <w:t> </w:t>
            </w:r>
          </w:p>
        </w:tc>
        <w:tc>
          <w:tcPr>
            <w:tcW w:w="666" w:type="dxa"/>
            <w:gridSpan w:val="2"/>
            <w:tcBorders>
              <w:top w:val="nil"/>
              <w:left w:val="nil"/>
              <w:bottom w:val="double" w:sz="6" w:space="0" w:color="auto"/>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cs="Arial"/>
                <w:sz w:val="20"/>
              </w:rPr>
            </w:pPr>
            <w:r w:rsidRPr="00014C07">
              <w:rPr>
                <w:rFonts w:cs="Arial"/>
                <w:sz w:val="20"/>
              </w:rPr>
              <w:t> </w:t>
            </w:r>
          </w:p>
        </w:tc>
        <w:tc>
          <w:tcPr>
            <w:tcW w:w="666" w:type="dxa"/>
            <w:gridSpan w:val="2"/>
            <w:tcBorders>
              <w:top w:val="nil"/>
              <w:left w:val="nil"/>
              <w:bottom w:val="double" w:sz="6" w:space="0" w:color="auto"/>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cs="Arial"/>
                <w:sz w:val="20"/>
              </w:rPr>
            </w:pPr>
            <w:r w:rsidRPr="00014C07">
              <w:rPr>
                <w:rFonts w:cs="Arial"/>
                <w:sz w:val="20"/>
              </w:rPr>
              <w:t> </w:t>
            </w:r>
          </w:p>
        </w:tc>
        <w:tc>
          <w:tcPr>
            <w:tcW w:w="665" w:type="dxa"/>
            <w:gridSpan w:val="2"/>
            <w:tcBorders>
              <w:top w:val="nil"/>
              <w:left w:val="nil"/>
              <w:bottom w:val="double" w:sz="6" w:space="0" w:color="auto"/>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cs="Arial"/>
                <w:sz w:val="20"/>
              </w:rPr>
            </w:pPr>
            <w:r w:rsidRPr="00014C07">
              <w:rPr>
                <w:rFonts w:cs="Arial"/>
                <w:sz w:val="20"/>
              </w:rPr>
              <w:t> </w:t>
            </w:r>
          </w:p>
        </w:tc>
        <w:tc>
          <w:tcPr>
            <w:tcW w:w="666" w:type="dxa"/>
            <w:gridSpan w:val="2"/>
            <w:tcBorders>
              <w:top w:val="nil"/>
              <w:left w:val="nil"/>
              <w:bottom w:val="double" w:sz="6" w:space="0" w:color="auto"/>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cs="Arial"/>
                <w:sz w:val="20"/>
              </w:rPr>
            </w:pPr>
            <w:r w:rsidRPr="00014C07">
              <w:rPr>
                <w:rFonts w:cs="Arial"/>
                <w:sz w:val="20"/>
              </w:rPr>
              <w:t> </w:t>
            </w:r>
          </w:p>
        </w:tc>
      </w:tr>
      <w:tr w:rsidR="00DE4806" w:rsidRPr="00014C07" w:rsidTr="00DE4806">
        <w:trPr>
          <w:trHeight w:val="279"/>
        </w:trPr>
        <w:tc>
          <w:tcPr>
            <w:tcW w:w="2728" w:type="dxa"/>
            <w:tcBorders>
              <w:top w:val="nil"/>
              <w:left w:val="double" w:sz="6" w:space="0" w:color="auto"/>
              <w:bottom w:val="single" w:sz="8" w:space="0" w:color="auto"/>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 </w:t>
            </w:r>
          </w:p>
        </w:tc>
        <w:tc>
          <w:tcPr>
            <w:tcW w:w="1930" w:type="dxa"/>
            <w:tcBorders>
              <w:top w:val="nil"/>
              <w:left w:val="nil"/>
              <w:bottom w:val="single" w:sz="8" w:space="0" w:color="auto"/>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 </w:t>
            </w:r>
          </w:p>
        </w:tc>
        <w:tc>
          <w:tcPr>
            <w:tcW w:w="665" w:type="dxa"/>
            <w:gridSpan w:val="2"/>
            <w:tcBorders>
              <w:top w:val="nil"/>
              <w:left w:val="single" w:sz="4" w:space="0" w:color="auto"/>
              <w:bottom w:val="single" w:sz="8" w:space="0" w:color="auto"/>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2005</w:t>
            </w:r>
          </w:p>
        </w:tc>
        <w:tc>
          <w:tcPr>
            <w:tcW w:w="666" w:type="dxa"/>
            <w:gridSpan w:val="2"/>
            <w:tcBorders>
              <w:top w:val="nil"/>
              <w:left w:val="nil"/>
              <w:bottom w:val="single" w:sz="8" w:space="0" w:color="auto"/>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2006</w:t>
            </w:r>
          </w:p>
        </w:tc>
        <w:tc>
          <w:tcPr>
            <w:tcW w:w="666" w:type="dxa"/>
            <w:gridSpan w:val="2"/>
            <w:tcBorders>
              <w:top w:val="nil"/>
              <w:left w:val="nil"/>
              <w:bottom w:val="single" w:sz="8" w:space="0" w:color="auto"/>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2007</w:t>
            </w:r>
          </w:p>
        </w:tc>
        <w:tc>
          <w:tcPr>
            <w:tcW w:w="666" w:type="dxa"/>
            <w:gridSpan w:val="2"/>
            <w:tcBorders>
              <w:top w:val="nil"/>
              <w:left w:val="nil"/>
              <w:bottom w:val="single" w:sz="8" w:space="0" w:color="auto"/>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2008</w:t>
            </w:r>
          </w:p>
        </w:tc>
        <w:tc>
          <w:tcPr>
            <w:tcW w:w="665" w:type="dxa"/>
            <w:gridSpan w:val="2"/>
            <w:tcBorders>
              <w:top w:val="nil"/>
              <w:left w:val="nil"/>
              <w:bottom w:val="single" w:sz="8" w:space="0" w:color="auto"/>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2009</w:t>
            </w:r>
          </w:p>
        </w:tc>
        <w:tc>
          <w:tcPr>
            <w:tcW w:w="666" w:type="dxa"/>
            <w:gridSpan w:val="2"/>
            <w:tcBorders>
              <w:top w:val="nil"/>
              <w:left w:val="nil"/>
              <w:bottom w:val="single" w:sz="8" w:space="0" w:color="auto"/>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2010</w:t>
            </w:r>
          </w:p>
        </w:tc>
      </w:tr>
      <w:tr w:rsidR="00DE4806" w:rsidRPr="00014C07" w:rsidTr="00DE4806">
        <w:trPr>
          <w:trHeight w:val="250"/>
        </w:trPr>
        <w:tc>
          <w:tcPr>
            <w:tcW w:w="2728" w:type="dxa"/>
            <w:vMerge w:val="restart"/>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Real GDP</w:t>
            </w:r>
            <w:r w:rsidRPr="00014C07">
              <w:rPr>
                <w:rFonts w:ascii="Times New Roman" w:hAnsi="Times New Roman"/>
                <w:sz w:val="20"/>
              </w:rPr>
              <w:br/>
              <w:t>(% change)</w:t>
            </w: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color w:val="000000"/>
                <w:sz w:val="20"/>
              </w:rPr>
            </w:pPr>
            <w:r w:rsidRPr="00014C07">
              <w:rPr>
                <w:rFonts w:ascii="Times New Roman" w:hAnsi="Times New Roman"/>
                <w:b/>
                <w:bCs/>
                <w:color w:val="000000"/>
                <w:sz w:val="20"/>
              </w:rPr>
              <w:t>SP Mar. 2007</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2.0</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3.1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2.7</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2.3</w:t>
            </w:r>
          </w:p>
        </w:tc>
        <w:tc>
          <w:tcPr>
            <w:tcW w:w="665"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2.5</w:t>
            </w:r>
          </w:p>
        </w:tc>
        <w:tc>
          <w:tcPr>
            <w:tcW w:w="666" w:type="dxa"/>
            <w:gridSpan w:val="2"/>
            <w:tcBorders>
              <w:top w:val="nil"/>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2.6</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COM May 2007</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2.0</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3.1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2.9</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2.5</w:t>
            </w:r>
          </w:p>
        </w:tc>
        <w:tc>
          <w:tcPr>
            <w:tcW w:w="665"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c>
          <w:tcPr>
            <w:tcW w:w="666" w:type="dxa"/>
            <w:gridSpan w:val="2"/>
            <w:tcBorders>
              <w:top w:val="nil"/>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color w:val="000000"/>
                <w:sz w:val="20"/>
              </w:rPr>
            </w:pPr>
            <w:r w:rsidRPr="00014C07">
              <w:rPr>
                <w:rFonts w:ascii="Times New Roman" w:hAnsi="Times New Roman"/>
                <w:i/>
                <w:iCs/>
                <w:color w:val="000000"/>
                <w:sz w:val="20"/>
              </w:rPr>
              <w:t>SP Nov. 2005</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1.7</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1.8</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2.4</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2.5</w:t>
            </w:r>
          </w:p>
        </w:tc>
        <w:tc>
          <w:tcPr>
            <w:tcW w:w="665"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c>
          <w:tcPr>
            <w:tcW w:w="666" w:type="dxa"/>
            <w:gridSpan w:val="2"/>
            <w:tcBorders>
              <w:top w:val="nil"/>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r>
      <w:tr w:rsidR="00DE4806" w:rsidRPr="00014C07" w:rsidTr="00DE4806">
        <w:trPr>
          <w:trHeight w:val="250"/>
        </w:trPr>
        <w:tc>
          <w:tcPr>
            <w:tcW w:w="2728" w:type="dxa"/>
            <w:vMerge w:val="restart"/>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HICP inflation</w:t>
            </w:r>
            <w:r w:rsidRPr="00014C07">
              <w:rPr>
                <w:rFonts w:ascii="Times New Roman" w:hAnsi="Times New Roman"/>
                <w:color w:val="000000"/>
                <w:sz w:val="20"/>
              </w:rPr>
              <w:br/>
              <w:t>(%)</w:t>
            </w:r>
          </w:p>
        </w:tc>
        <w:tc>
          <w:tcPr>
            <w:tcW w:w="1930" w:type="dxa"/>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color w:val="000000"/>
                <w:sz w:val="20"/>
              </w:rPr>
            </w:pPr>
            <w:r w:rsidRPr="00014C07">
              <w:rPr>
                <w:rFonts w:ascii="Times New Roman" w:hAnsi="Times New Roman"/>
                <w:b/>
                <w:bCs/>
                <w:color w:val="000000"/>
                <w:sz w:val="20"/>
              </w:rPr>
              <w:t>SP Mar. 2007</w:t>
            </w:r>
          </w:p>
        </w:tc>
        <w:tc>
          <w:tcPr>
            <w:tcW w:w="665" w:type="dxa"/>
            <w:gridSpan w:val="2"/>
            <w:tcBorders>
              <w:top w:val="single" w:sz="4" w:space="0" w:color="auto"/>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2.1</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1.5</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1.6</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1.7</w:t>
            </w:r>
          </w:p>
        </w:tc>
        <w:tc>
          <w:tcPr>
            <w:tcW w:w="665"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1.7</w:t>
            </w:r>
          </w:p>
        </w:tc>
        <w:tc>
          <w:tcPr>
            <w:tcW w:w="666" w:type="dxa"/>
            <w:gridSpan w:val="2"/>
            <w:tcBorders>
              <w:top w:val="single" w:sz="4" w:space="0" w:color="auto"/>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1.8</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COM May 2007</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2.1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1.7</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1.8</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1.7</w:t>
            </w:r>
          </w:p>
        </w:tc>
        <w:tc>
          <w:tcPr>
            <w:tcW w:w="665"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c>
          <w:tcPr>
            <w:tcW w:w="666" w:type="dxa"/>
            <w:gridSpan w:val="2"/>
            <w:tcBorders>
              <w:top w:val="nil"/>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color w:val="000000"/>
                <w:sz w:val="20"/>
              </w:rPr>
            </w:pPr>
            <w:r w:rsidRPr="00014C07">
              <w:rPr>
                <w:rFonts w:ascii="Times New Roman" w:hAnsi="Times New Roman"/>
                <w:i/>
                <w:iCs/>
                <w:color w:val="000000"/>
                <w:sz w:val="20"/>
              </w:rPr>
              <w:t>SP Nov. 2005</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2.3</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2.1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1.7</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1.5</w:t>
            </w:r>
          </w:p>
        </w:tc>
        <w:tc>
          <w:tcPr>
            <w:tcW w:w="665"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c>
          <w:tcPr>
            <w:tcW w:w="666" w:type="dxa"/>
            <w:gridSpan w:val="2"/>
            <w:tcBorders>
              <w:top w:val="nil"/>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r>
      <w:tr w:rsidR="00DE4806" w:rsidRPr="00014C07" w:rsidTr="00DE4806">
        <w:trPr>
          <w:trHeight w:val="250"/>
        </w:trPr>
        <w:tc>
          <w:tcPr>
            <w:tcW w:w="2728" w:type="dxa"/>
            <w:vMerge w:val="restart"/>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Output gap</w:t>
            </w:r>
            <w:r w:rsidRPr="00014C07">
              <w:rPr>
                <w:rFonts w:ascii="Times New Roman" w:hAnsi="Times New Roman"/>
                <w:color w:val="000000"/>
                <w:sz w:val="20"/>
              </w:rPr>
              <w:br/>
              <w:t>(% of potential GDP)</w:t>
            </w:r>
          </w:p>
        </w:tc>
        <w:tc>
          <w:tcPr>
            <w:tcW w:w="1930" w:type="dxa"/>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color w:val="000000"/>
                <w:sz w:val="20"/>
              </w:rPr>
            </w:pPr>
            <w:r w:rsidRPr="00014C07">
              <w:rPr>
                <w:rFonts w:ascii="Times New Roman" w:hAnsi="Times New Roman"/>
                <w:b/>
                <w:bCs/>
                <w:color w:val="000000"/>
                <w:sz w:val="20"/>
              </w:rPr>
              <w:t>SP Mar. 2007</w:t>
            </w:r>
            <w:r w:rsidRPr="00014C07">
              <w:rPr>
                <w:rFonts w:ascii="Times New Roman" w:hAnsi="Times New Roman"/>
                <w:b/>
                <w:bCs/>
                <w:color w:val="000000"/>
                <w:sz w:val="20"/>
                <w:vertAlign w:val="superscript"/>
              </w:rPr>
              <w:t>1</w:t>
            </w:r>
          </w:p>
        </w:tc>
        <w:tc>
          <w:tcPr>
            <w:tcW w:w="665" w:type="dxa"/>
            <w:gridSpan w:val="2"/>
            <w:tcBorders>
              <w:top w:val="single" w:sz="4" w:space="0" w:color="auto"/>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-1.1</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-0.3</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0.1</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-0.1</w:t>
            </w:r>
          </w:p>
        </w:tc>
        <w:tc>
          <w:tcPr>
            <w:tcW w:w="665"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0.1</w:t>
            </w:r>
          </w:p>
        </w:tc>
        <w:tc>
          <w:tcPr>
            <w:tcW w:w="666" w:type="dxa"/>
            <w:gridSpan w:val="2"/>
            <w:tcBorders>
              <w:top w:val="single" w:sz="4" w:space="0" w:color="auto"/>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0.3</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COM May 2007</w:t>
            </w:r>
            <w:r w:rsidRPr="00014C07">
              <w:rPr>
                <w:rFonts w:ascii="Times New Roman" w:hAnsi="Times New Roman"/>
                <w:b/>
                <w:bCs/>
                <w:color w:val="000000"/>
                <w:sz w:val="20"/>
                <w:vertAlign w:val="superscript"/>
              </w:rPr>
              <w:t>5</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-0.2</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0.5</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0.8</w:t>
            </w:r>
          </w:p>
        </w:tc>
        <w:tc>
          <w:tcPr>
            <w:tcW w:w="665"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c>
          <w:tcPr>
            <w:tcW w:w="666" w:type="dxa"/>
            <w:gridSpan w:val="2"/>
            <w:tcBorders>
              <w:top w:val="nil"/>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color w:val="000000"/>
                <w:sz w:val="20"/>
              </w:rPr>
            </w:pPr>
            <w:r w:rsidRPr="00014C07">
              <w:rPr>
                <w:rFonts w:ascii="Times New Roman" w:hAnsi="Times New Roman"/>
                <w:i/>
                <w:iCs/>
                <w:color w:val="000000"/>
                <w:sz w:val="20"/>
              </w:rPr>
              <w:t>SP Nov. 2005</w:t>
            </w:r>
            <w:r w:rsidRPr="00014C07">
              <w:rPr>
                <w:rFonts w:ascii="Times New Roman" w:hAnsi="Times New Roman"/>
                <w:b/>
                <w:bCs/>
                <w:color w:val="000000"/>
                <w:sz w:val="20"/>
                <w:vertAlign w:val="superscript"/>
              </w:rPr>
              <w:t>1</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-0.7</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-0.9</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-0.5</w:t>
            </w:r>
          </w:p>
        </w:tc>
        <w:tc>
          <w:tcPr>
            <w:tcW w:w="665"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c>
          <w:tcPr>
            <w:tcW w:w="666" w:type="dxa"/>
            <w:gridSpan w:val="2"/>
            <w:tcBorders>
              <w:top w:val="nil"/>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r>
      <w:tr w:rsidR="00DE4806" w:rsidRPr="00014C07" w:rsidTr="00DE4806">
        <w:trPr>
          <w:trHeight w:val="250"/>
        </w:trPr>
        <w:tc>
          <w:tcPr>
            <w:tcW w:w="2728" w:type="dxa"/>
            <w:vMerge w:val="restart"/>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General government balance</w:t>
            </w:r>
            <w:r w:rsidRPr="00014C07">
              <w:rPr>
                <w:rFonts w:ascii="Times New Roman" w:hAnsi="Times New Roman"/>
                <w:color w:val="000000"/>
                <w:sz w:val="20"/>
              </w:rPr>
              <w:br/>
              <w:t>(% of GDP)</w:t>
            </w:r>
          </w:p>
        </w:tc>
        <w:tc>
          <w:tcPr>
            <w:tcW w:w="1930" w:type="dxa"/>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color w:val="000000"/>
                <w:sz w:val="20"/>
              </w:rPr>
            </w:pPr>
            <w:r w:rsidRPr="00014C07">
              <w:rPr>
                <w:rFonts w:ascii="Times New Roman" w:hAnsi="Times New Roman"/>
                <w:b/>
                <w:bCs/>
                <w:color w:val="000000"/>
                <w:sz w:val="20"/>
              </w:rPr>
              <w:t>SP Mar. 2007</w:t>
            </w:r>
          </w:p>
        </w:tc>
        <w:tc>
          <w:tcPr>
            <w:tcW w:w="665" w:type="dxa"/>
            <w:gridSpan w:val="2"/>
            <w:tcBorders>
              <w:top w:val="single" w:sz="4" w:space="0" w:color="auto"/>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sz w:val="20"/>
              </w:rPr>
              <w:t>-1.6</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-1.1</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-0.9</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-0.7</w:t>
            </w:r>
          </w:p>
        </w:tc>
        <w:tc>
          <w:tcPr>
            <w:tcW w:w="665"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-0.2</w:t>
            </w:r>
          </w:p>
        </w:tc>
        <w:tc>
          <w:tcPr>
            <w:tcW w:w="666" w:type="dxa"/>
            <w:gridSpan w:val="2"/>
            <w:tcBorders>
              <w:top w:val="single" w:sz="4" w:space="0" w:color="auto"/>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0.4</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COM May 2007</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-1.6</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-0.9</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-0.8</w:t>
            </w:r>
          </w:p>
        </w:tc>
        <w:tc>
          <w:tcPr>
            <w:tcW w:w="665"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c>
          <w:tcPr>
            <w:tcW w:w="666" w:type="dxa"/>
            <w:gridSpan w:val="2"/>
            <w:tcBorders>
              <w:top w:val="nil"/>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color w:val="000000"/>
                <w:sz w:val="20"/>
              </w:rPr>
            </w:pPr>
            <w:r w:rsidRPr="00014C07">
              <w:rPr>
                <w:rFonts w:ascii="Times New Roman" w:hAnsi="Times New Roman"/>
                <w:i/>
                <w:iCs/>
                <w:color w:val="000000"/>
                <w:sz w:val="20"/>
              </w:rPr>
              <w:t>SP Nov. 2005</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-1.9</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-1.7</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-0.8</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0.0</w:t>
            </w:r>
          </w:p>
        </w:tc>
        <w:tc>
          <w:tcPr>
            <w:tcW w:w="665"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c>
          <w:tcPr>
            <w:tcW w:w="666" w:type="dxa"/>
            <w:gridSpan w:val="2"/>
            <w:tcBorders>
              <w:top w:val="nil"/>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r>
      <w:tr w:rsidR="00DE4806" w:rsidRPr="00014C07" w:rsidTr="00DE4806">
        <w:trPr>
          <w:trHeight w:val="250"/>
        </w:trPr>
        <w:tc>
          <w:tcPr>
            <w:tcW w:w="2728" w:type="dxa"/>
            <w:vMerge w:val="restart"/>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Primary balance</w:t>
            </w:r>
            <w:r w:rsidRPr="00014C07">
              <w:rPr>
                <w:rFonts w:ascii="Times New Roman" w:hAnsi="Times New Roman"/>
                <w:color w:val="000000"/>
                <w:sz w:val="20"/>
                <w:vertAlign w:val="superscript"/>
              </w:rPr>
              <w:t>6</w:t>
            </w:r>
            <w:r w:rsidRPr="00014C07">
              <w:rPr>
                <w:rFonts w:ascii="Times New Roman" w:hAnsi="Times New Roman"/>
                <w:color w:val="000000"/>
                <w:sz w:val="20"/>
              </w:rPr>
              <w:br/>
              <w:t>(% of GDP)</w:t>
            </w:r>
          </w:p>
        </w:tc>
        <w:tc>
          <w:tcPr>
            <w:tcW w:w="1930" w:type="dxa"/>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color w:val="000000"/>
                <w:sz w:val="20"/>
              </w:rPr>
            </w:pPr>
            <w:r w:rsidRPr="00014C07">
              <w:rPr>
                <w:rFonts w:ascii="Times New Roman" w:hAnsi="Times New Roman"/>
                <w:b/>
                <w:bCs/>
                <w:color w:val="000000"/>
                <w:sz w:val="20"/>
              </w:rPr>
              <w:t>SP Mar. 2007</w:t>
            </w:r>
          </w:p>
        </w:tc>
        <w:tc>
          <w:tcPr>
            <w:tcW w:w="665" w:type="dxa"/>
            <w:gridSpan w:val="2"/>
            <w:tcBorders>
              <w:top w:val="single" w:sz="4" w:space="0" w:color="auto"/>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sz w:val="20"/>
              </w:rPr>
              <w:t>1.3</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1.9</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2.0</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2.1</w:t>
            </w:r>
          </w:p>
        </w:tc>
        <w:tc>
          <w:tcPr>
            <w:tcW w:w="665"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2.6</w:t>
            </w:r>
          </w:p>
        </w:tc>
        <w:tc>
          <w:tcPr>
            <w:tcW w:w="666" w:type="dxa"/>
            <w:gridSpan w:val="2"/>
            <w:tcBorders>
              <w:top w:val="single" w:sz="4" w:space="0" w:color="auto"/>
              <w:left w:val="single" w:sz="4" w:space="0" w:color="auto"/>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3.1</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COM May 2007</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1.3</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1.6</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1.8</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1.7</w:t>
            </w:r>
          </w:p>
        </w:tc>
        <w:tc>
          <w:tcPr>
            <w:tcW w:w="665"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c>
          <w:tcPr>
            <w:tcW w:w="666" w:type="dxa"/>
            <w:gridSpan w:val="2"/>
            <w:tcBorders>
              <w:left w:val="nil"/>
              <w:right w:val="doub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n.a.</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color w:val="000000"/>
                <w:sz w:val="20"/>
              </w:rPr>
            </w:pPr>
            <w:r w:rsidRPr="00014C07">
              <w:rPr>
                <w:rFonts w:ascii="Times New Roman" w:hAnsi="Times New Roman"/>
                <w:i/>
                <w:iCs/>
                <w:color w:val="000000"/>
                <w:sz w:val="20"/>
              </w:rPr>
              <w:t>SP Nov. 2005</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1.2</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2.0</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2.7</w:t>
            </w:r>
          </w:p>
        </w:tc>
        <w:tc>
          <w:tcPr>
            <w:tcW w:w="665"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c>
          <w:tcPr>
            <w:tcW w:w="666" w:type="dxa"/>
            <w:gridSpan w:val="2"/>
            <w:tcBorders>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r>
      <w:tr w:rsidR="00DE4806" w:rsidRPr="00014C07" w:rsidTr="00DE4806">
        <w:trPr>
          <w:trHeight w:val="250"/>
        </w:trPr>
        <w:tc>
          <w:tcPr>
            <w:tcW w:w="2728" w:type="dxa"/>
            <w:vMerge w:val="restart"/>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Cyclically-adjusted balance</w:t>
            </w:r>
            <w:r w:rsidRPr="00014C07">
              <w:rPr>
                <w:rFonts w:ascii="Times New Roman" w:hAnsi="Times New Roman"/>
                <w:color w:val="000000"/>
                <w:sz w:val="20"/>
              </w:rPr>
              <w:br/>
              <w:t>(% of GDP)</w:t>
            </w:r>
          </w:p>
        </w:tc>
        <w:tc>
          <w:tcPr>
            <w:tcW w:w="1930" w:type="dxa"/>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color w:val="000000"/>
                <w:sz w:val="20"/>
              </w:rPr>
            </w:pPr>
            <w:r w:rsidRPr="00014C07">
              <w:rPr>
                <w:rFonts w:ascii="Times New Roman" w:hAnsi="Times New Roman"/>
                <w:b/>
                <w:bCs/>
                <w:color w:val="000000"/>
                <w:sz w:val="20"/>
              </w:rPr>
              <w:t>SP Mar. 2007</w:t>
            </w:r>
            <w:r w:rsidRPr="00014C07">
              <w:rPr>
                <w:rFonts w:ascii="Times New Roman" w:hAnsi="Times New Roman"/>
                <w:b/>
                <w:bCs/>
                <w:color w:val="000000"/>
                <w:sz w:val="20"/>
                <w:vertAlign w:val="superscript"/>
              </w:rPr>
              <w:t>1</w:t>
            </w:r>
          </w:p>
        </w:tc>
        <w:tc>
          <w:tcPr>
            <w:tcW w:w="665" w:type="dxa"/>
            <w:gridSpan w:val="2"/>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sz w:val="20"/>
              </w:rPr>
              <w:t>-1.1</w:t>
            </w:r>
          </w:p>
        </w:tc>
        <w:tc>
          <w:tcPr>
            <w:tcW w:w="666" w:type="dxa"/>
            <w:gridSpan w:val="2"/>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-1.0</w:t>
            </w:r>
          </w:p>
        </w:tc>
        <w:tc>
          <w:tcPr>
            <w:tcW w:w="666" w:type="dxa"/>
            <w:gridSpan w:val="2"/>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-0.9</w:t>
            </w:r>
          </w:p>
        </w:tc>
        <w:tc>
          <w:tcPr>
            <w:tcW w:w="666" w:type="dxa"/>
            <w:gridSpan w:val="2"/>
            <w:tcBorders>
              <w:top w:val="single" w:sz="4" w:space="0" w:color="auto"/>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-0.7</w:t>
            </w:r>
          </w:p>
        </w:tc>
        <w:tc>
          <w:tcPr>
            <w:tcW w:w="665" w:type="dxa"/>
            <w:gridSpan w:val="2"/>
            <w:tcBorders>
              <w:top w:val="single" w:sz="4" w:space="0" w:color="auto"/>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-0.2</w:t>
            </w:r>
          </w:p>
        </w:tc>
        <w:tc>
          <w:tcPr>
            <w:tcW w:w="666" w:type="dxa"/>
            <w:gridSpan w:val="2"/>
            <w:tcBorders>
              <w:top w:val="single" w:sz="4" w:space="0" w:color="auto"/>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0.2</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COM May 2007</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-1.0</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-1.2</w:t>
            </w:r>
          </w:p>
        </w:tc>
        <w:tc>
          <w:tcPr>
            <w:tcW w:w="665"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c>
          <w:tcPr>
            <w:tcW w:w="666" w:type="dxa"/>
            <w:gridSpan w:val="2"/>
            <w:tcBorders>
              <w:top w:val="nil"/>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color w:val="000000"/>
                <w:sz w:val="20"/>
              </w:rPr>
            </w:pPr>
            <w:r w:rsidRPr="00014C07">
              <w:rPr>
                <w:rFonts w:ascii="Times New Roman" w:hAnsi="Times New Roman"/>
                <w:i/>
                <w:iCs/>
                <w:color w:val="000000"/>
                <w:sz w:val="20"/>
              </w:rPr>
              <w:t>SP Nov. 2005</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-1.6</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-1.2</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-0.4</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0.2</w:t>
            </w:r>
          </w:p>
        </w:tc>
        <w:tc>
          <w:tcPr>
            <w:tcW w:w="665"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c>
          <w:tcPr>
            <w:tcW w:w="666" w:type="dxa"/>
            <w:gridSpan w:val="2"/>
            <w:tcBorders>
              <w:top w:val="nil"/>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r>
      <w:tr w:rsidR="00DE4806" w:rsidRPr="00014C07" w:rsidTr="00DE4806">
        <w:trPr>
          <w:trHeight w:val="250"/>
        </w:trPr>
        <w:tc>
          <w:tcPr>
            <w:tcW w:w="2728" w:type="dxa"/>
            <w:vMerge w:val="restart"/>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Structural balance</w:t>
            </w:r>
            <w:r w:rsidRPr="00014C07">
              <w:rPr>
                <w:rFonts w:ascii="Times New Roman" w:hAnsi="Times New Roman"/>
                <w:color w:val="000000"/>
                <w:sz w:val="20"/>
                <w:vertAlign w:val="superscript"/>
              </w:rPr>
              <w:t>2</w:t>
            </w:r>
            <w:r w:rsidRPr="00014C07">
              <w:rPr>
                <w:rFonts w:ascii="Times New Roman" w:hAnsi="Times New Roman"/>
                <w:color w:val="000000"/>
                <w:sz w:val="20"/>
                <w:vertAlign w:val="superscript"/>
              </w:rPr>
              <w:br/>
            </w:r>
            <w:r w:rsidRPr="00014C07">
              <w:rPr>
                <w:rFonts w:ascii="Times New Roman" w:hAnsi="Times New Roman"/>
                <w:color w:val="000000"/>
                <w:sz w:val="20"/>
              </w:rPr>
              <w:t>(% of GDP)</w:t>
            </w:r>
          </w:p>
        </w:tc>
        <w:tc>
          <w:tcPr>
            <w:tcW w:w="1930" w:type="dxa"/>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color w:val="000000"/>
                <w:sz w:val="20"/>
              </w:rPr>
            </w:pPr>
            <w:r w:rsidRPr="00014C07">
              <w:rPr>
                <w:rFonts w:ascii="Times New Roman" w:hAnsi="Times New Roman"/>
                <w:b/>
                <w:bCs/>
                <w:color w:val="000000"/>
                <w:sz w:val="20"/>
              </w:rPr>
              <w:t>SP Mar. 2007</w:t>
            </w:r>
            <w:r w:rsidRPr="00014C07">
              <w:rPr>
                <w:rFonts w:ascii="Times New Roman" w:hAnsi="Times New Roman"/>
                <w:b/>
                <w:bCs/>
                <w:color w:val="000000"/>
                <w:sz w:val="20"/>
                <w:vertAlign w:val="superscript"/>
              </w:rPr>
              <w:t>3</w:t>
            </w:r>
            <w:r w:rsidRPr="00014C07">
              <w:rPr>
                <w:rFonts w:ascii="Times New Roman" w:hAnsi="Times New Roman"/>
                <w:color w:val="000000"/>
                <w:sz w:val="18"/>
                <w:szCs w:val="18"/>
              </w:rPr>
              <w:t xml:space="preserve"> </w:t>
            </w:r>
          </w:p>
        </w:tc>
        <w:tc>
          <w:tcPr>
            <w:tcW w:w="665" w:type="dxa"/>
            <w:gridSpan w:val="2"/>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sz w:val="20"/>
              </w:rPr>
              <w:t>-1.1</w:t>
            </w:r>
          </w:p>
        </w:tc>
        <w:tc>
          <w:tcPr>
            <w:tcW w:w="666" w:type="dxa"/>
            <w:gridSpan w:val="2"/>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-1.0</w:t>
            </w:r>
          </w:p>
        </w:tc>
        <w:tc>
          <w:tcPr>
            <w:tcW w:w="666" w:type="dxa"/>
            <w:gridSpan w:val="2"/>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-0.8</w:t>
            </w:r>
          </w:p>
        </w:tc>
        <w:tc>
          <w:tcPr>
            <w:tcW w:w="666" w:type="dxa"/>
            <w:gridSpan w:val="2"/>
            <w:tcBorders>
              <w:top w:val="single" w:sz="4" w:space="0" w:color="auto"/>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-0.4</w:t>
            </w:r>
          </w:p>
        </w:tc>
        <w:tc>
          <w:tcPr>
            <w:tcW w:w="665" w:type="dxa"/>
            <w:gridSpan w:val="2"/>
            <w:tcBorders>
              <w:top w:val="single" w:sz="4" w:space="0" w:color="auto"/>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-0.2</w:t>
            </w:r>
          </w:p>
        </w:tc>
        <w:tc>
          <w:tcPr>
            <w:tcW w:w="666" w:type="dxa"/>
            <w:gridSpan w:val="2"/>
            <w:tcBorders>
              <w:top w:val="single" w:sz="4" w:space="0" w:color="auto"/>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0.2</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COM May 2007</w:t>
            </w:r>
            <w:r w:rsidRPr="00014C07">
              <w:rPr>
                <w:rFonts w:ascii="Times New Roman" w:hAnsi="Times New Roman"/>
                <w:b/>
                <w:bCs/>
                <w:color w:val="000000"/>
                <w:sz w:val="20"/>
                <w:vertAlign w:val="superscript"/>
              </w:rPr>
              <w:t>4</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-1.0</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-1.1</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-1.2</w:t>
            </w:r>
          </w:p>
        </w:tc>
        <w:tc>
          <w:tcPr>
            <w:tcW w:w="665"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c>
          <w:tcPr>
            <w:tcW w:w="666" w:type="dxa"/>
            <w:gridSpan w:val="2"/>
            <w:tcBorders>
              <w:top w:val="nil"/>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color w:val="000000"/>
                <w:sz w:val="20"/>
              </w:rPr>
            </w:pPr>
            <w:r w:rsidRPr="00014C07">
              <w:rPr>
                <w:rFonts w:ascii="Times New Roman" w:hAnsi="Times New Roman"/>
                <w:i/>
                <w:iCs/>
                <w:color w:val="000000"/>
                <w:sz w:val="20"/>
              </w:rPr>
              <w:t>SP Nov. 2005</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-1.6</w:t>
            </w:r>
          </w:p>
        </w:tc>
        <w:tc>
          <w:tcPr>
            <w:tcW w:w="666"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-1.2</w:t>
            </w:r>
          </w:p>
        </w:tc>
        <w:tc>
          <w:tcPr>
            <w:tcW w:w="666" w:type="dxa"/>
            <w:gridSpan w:val="2"/>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-0.4</w:t>
            </w:r>
          </w:p>
        </w:tc>
        <w:tc>
          <w:tcPr>
            <w:tcW w:w="666"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0.2</w:t>
            </w:r>
          </w:p>
        </w:tc>
        <w:tc>
          <w:tcPr>
            <w:tcW w:w="665"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c>
          <w:tcPr>
            <w:tcW w:w="666" w:type="dxa"/>
            <w:gridSpan w:val="2"/>
            <w:tcBorders>
              <w:top w:val="nil"/>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r>
      <w:tr w:rsidR="00DE4806" w:rsidRPr="00014C07" w:rsidTr="00DE4806">
        <w:trPr>
          <w:trHeight w:val="250"/>
        </w:trPr>
        <w:tc>
          <w:tcPr>
            <w:tcW w:w="2728" w:type="dxa"/>
            <w:vMerge w:val="restart"/>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Government gross debt</w:t>
            </w:r>
            <w:r w:rsidRPr="00014C07">
              <w:rPr>
                <w:rFonts w:ascii="Times New Roman" w:hAnsi="Times New Roman"/>
                <w:color w:val="000000"/>
                <w:sz w:val="20"/>
              </w:rPr>
              <w:br/>
              <w:t>(% of GDP)</w:t>
            </w:r>
          </w:p>
        </w:tc>
        <w:tc>
          <w:tcPr>
            <w:tcW w:w="1930" w:type="dxa"/>
            <w:tcBorders>
              <w:top w:val="single" w:sz="4" w:space="0" w:color="auto"/>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color w:val="000000"/>
                <w:sz w:val="20"/>
              </w:rPr>
            </w:pPr>
            <w:r w:rsidRPr="00014C07">
              <w:rPr>
                <w:rFonts w:ascii="Times New Roman" w:hAnsi="Times New Roman"/>
                <w:b/>
                <w:bCs/>
                <w:color w:val="000000"/>
                <w:sz w:val="20"/>
              </w:rPr>
              <w:t>SP Mar. 2007</w:t>
            </w:r>
          </w:p>
        </w:tc>
        <w:tc>
          <w:tcPr>
            <w:tcW w:w="665" w:type="dxa"/>
            <w:gridSpan w:val="2"/>
            <w:tcBorders>
              <w:top w:val="single" w:sz="4" w:space="0" w:color="auto"/>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63.5</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62.2</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61.2</w:t>
            </w:r>
          </w:p>
        </w:tc>
        <w:tc>
          <w:tcPr>
            <w:tcW w:w="666"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59.9</w:t>
            </w:r>
          </w:p>
        </w:tc>
        <w:tc>
          <w:tcPr>
            <w:tcW w:w="665" w:type="dxa"/>
            <w:gridSpan w:val="2"/>
            <w:tcBorders>
              <w:top w:val="single" w:sz="4" w:space="0" w:color="auto"/>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58.5</w:t>
            </w:r>
          </w:p>
        </w:tc>
        <w:tc>
          <w:tcPr>
            <w:tcW w:w="666" w:type="dxa"/>
            <w:gridSpan w:val="2"/>
            <w:tcBorders>
              <w:top w:val="single" w:sz="4" w:space="0" w:color="auto"/>
              <w:left w:val="single" w:sz="4" w:space="0" w:color="auto"/>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b/>
                <w:bCs/>
                <w:sz w:val="20"/>
              </w:rPr>
            </w:pPr>
            <w:r w:rsidRPr="00014C07">
              <w:rPr>
                <w:rFonts w:ascii="Times New Roman" w:hAnsi="Times New Roman"/>
                <w:b/>
                <w:bCs/>
                <w:sz w:val="20"/>
              </w:rPr>
              <w:t>56.8</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color w:val="000000"/>
                <w:sz w:val="20"/>
              </w:rPr>
            </w:pPr>
            <w:r w:rsidRPr="00014C07">
              <w:rPr>
                <w:rFonts w:ascii="Times New Roman" w:hAnsi="Times New Roman"/>
                <w:color w:val="000000"/>
                <w:sz w:val="20"/>
              </w:rPr>
              <w:t>COM May 2007</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63.5</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62.2</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60.6</w:t>
            </w:r>
          </w:p>
        </w:tc>
        <w:tc>
          <w:tcPr>
            <w:tcW w:w="666" w:type="dxa"/>
            <w:gridSpan w:val="2"/>
            <w:tcBorders>
              <w:top w:val="nil"/>
              <w:left w:val="single" w:sz="4" w:space="0" w:color="auto"/>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59.2</w:t>
            </w:r>
          </w:p>
        </w:tc>
        <w:tc>
          <w:tcPr>
            <w:tcW w:w="665" w:type="dxa"/>
            <w:gridSpan w:val="2"/>
            <w:tcBorders>
              <w:top w:val="nil"/>
              <w:left w:val="single" w:sz="4" w:space="0" w:color="auto"/>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c>
          <w:tcPr>
            <w:tcW w:w="666" w:type="dxa"/>
            <w:gridSpan w:val="2"/>
            <w:tcBorders>
              <w:top w:val="nil"/>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20"/>
              </w:rPr>
            </w:pPr>
            <w:r w:rsidRPr="00014C07">
              <w:rPr>
                <w:rFonts w:ascii="Times New Roman" w:hAnsi="Times New Roman"/>
                <w:sz w:val="20"/>
              </w:rPr>
              <w:t>n.a.</w:t>
            </w:r>
          </w:p>
        </w:tc>
      </w:tr>
      <w:tr w:rsidR="00DE4806" w:rsidRPr="00014C07" w:rsidTr="00DE4806">
        <w:trPr>
          <w:trHeight w:val="250"/>
        </w:trPr>
        <w:tc>
          <w:tcPr>
            <w:tcW w:w="2728" w:type="dxa"/>
            <w:vMerge/>
            <w:tcBorders>
              <w:top w:val="nil"/>
              <w:left w:val="double" w:sz="6" w:space="0" w:color="auto"/>
              <w:bottom w:val="single" w:sz="4" w:space="0" w:color="000000"/>
              <w:right w:val="single" w:sz="4" w:space="0" w:color="auto"/>
            </w:tcBorders>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20"/>
              </w:rPr>
            </w:pPr>
          </w:p>
        </w:tc>
        <w:tc>
          <w:tcPr>
            <w:tcW w:w="1930" w:type="dxa"/>
            <w:tcBorders>
              <w:top w:val="nil"/>
              <w:left w:val="nil"/>
              <w:bottom w:val="nil"/>
              <w:right w:val="single" w:sz="4"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color w:val="000000"/>
                <w:sz w:val="20"/>
              </w:rPr>
            </w:pPr>
            <w:r w:rsidRPr="00014C07">
              <w:rPr>
                <w:rFonts w:ascii="Times New Roman" w:hAnsi="Times New Roman"/>
                <w:i/>
                <w:iCs/>
                <w:color w:val="000000"/>
                <w:sz w:val="20"/>
              </w:rPr>
              <w:t>SP Nov. 2005</w:t>
            </w:r>
          </w:p>
        </w:tc>
        <w:tc>
          <w:tcPr>
            <w:tcW w:w="665" w:type="dxa"/>
            <w:gridSpan w:val="2"/>
            <w:tcBorders>
              <w:top w:val="nil"/>
              <w:left w:val="nil"/>
              <w:bottom w:val="single" w:sz="4" w:space="0" w:color="auto"/>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63.4</w:t>
            </w:r>
          </w:p>
        </w:tc>
        <w:tc>
          <w:tcPr>
            <w:tcW w:w="666" w:type="dxa"/>
            <w:gridSpan w:val="2"/>
            <w:tcBorders>
              <w:top w:val="nil"/>
              <w:left w:val="single" w:sz="4" w:space="0" w:color="auto"/>
              <w:bottom w:val="single" w:sz="4" w:space="0" w:color="auto"/>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63.1</w:t>
            </w:r>
          </w:p>
        </w:tc>
        <w:tc>
          <w:tcPr>
            <w:tcW w:w="666" w:type="dxa"/>
            <w:gridSpan w:val="2"/>
            <w:tcBorders>
              <w:top w:val="nil"/>
              <w:left w:val="single" w:sz="4" w:space="0" w:color="auto"/>
              <w:bottom w:val="single" w:sz="4" w:space="0" w:color="auto"/>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61.6</w:t>
            </w:r>
          </w:p>
        </w:tc>
        <w:tc>
          <w:tcPr>
            <w:tcW w:w="666" w:type="dxa"/>
            <w:gridSpan w:val="2"/>
            <w:tcBorders>
              <w:top w:val="nil"/>
              <w:left w:val="single" w:sz="4" w:space="0" w:color="auto"/>
              <w:bottom w:val="single" w:sz="4" w:space="0" w:color="auto"/>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59.5</w:t>
            </w:r>
          </w:p>
        </w:tc>
        <w:tc>
          <w:tcPr>
            <w:tcW w:w="665" w:type="dxa"/>
            <w:gridSpan w:val="2"/>
            <w:tcBorders>
              <w:top w:val="nil"/>
              <w:left w:val="single" w:sz="4" w:space="0" w:color="auto"/>
              <w:bottom w:val="single" w:sz="4" w:space="0" w:color="auto"/>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c>
          <w:tcPr>
            <w:tcW w:w="666" w:type="dxa"/>
            <w:gridSpan w:val="2"/>
            <w:tcBorders>
              <w:top w:val="nil"/>
              <w:left w:val="single" w:sz="4" w:space="0" w:color="auto"/>
              <w:bottom w:val="single" w:sz="4" w:space="0" w:color="auto"/>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i/>
                <w:iCs/>
                <w:sz w:val="20"/>
              </w:rPr>
            </w:pPr>
            <w:r w:rsidRPr="00014C07">
              <w:rPr>
                <w:rFonts w:ascii="Times New Roman" w:hAnsi="Times New Roman"/>
                <w:i/>
                <w:iCs/>
                <w:sz w:val="20"/>
              </w:rPr>
              <w:t>n.a.</w:t>
            </w:r>
          </w:p>
        </w:tc>
      </w:tr>
      <w:tr w:rsidR="00DE4806" w:rsidRPr="00014C07" w:rsidTr="00DE4806">
        <w:trPr>
          <w:trHeight w:val="250"/>
        </w:trPr>
        <w:tc>
          <w:tcPr>
            <w:tcW w:w="2728" w:type="dxa"/>
            <w:tcBorders>
              <w:top w:val="nil"/>
              <w:left w:val="double" w:sz="6" w:space="0" w:color="auto"/>
              <w:bottom w:val="nil"/>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18"/>
                <w:szCs w:val="18"/>
                <w:u w:val="single"/>
              </w:rPr>
            </w:pPr>
            <w:bookmarkStart w:id="0" w:name="RANGE!B28"/>
            <w:r w:rsidRPr="00014C07">
              <w:rPr>
                <w:rFonts w:ascii="Times New Roman" w:hAnsi="Times New Roman"/>
                <w:color w:val="000000"/>
                <w:sz w:val="18"/>
                <w:szCs w:val="18"/>
                <w:u w:val="single"/>
              </w:rPr>
              <w:t>Notes</w:t>
            </w:r>
            <w:r w:rsidRPr="00014C07">
              <w:rPr>
                <w:rFonts w:ascii="Times New Roman" w:hAnsi="Times New Roman"/>
                <w:color w:val="000000"/>
                <w:sz w:val="18"/>
                <w:szCs w:val="18"/>
              </w:rPr>
              <w:t>:</w:t>
            </w:r>
            <w:bookmarkEnd w:id="0"/>
          </w:p>
        </w:tc>
        <w:tc>
          <w:tcPr>
            <w:tcW w:w="1930" w:type="dxa"/>
            <w:tcBorders>
              <w:top w:val="single" w:sz="4" w:space="0" w:color="auto"/>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18"/>
                <w:szCs w:val="18"/>
              </w:rPr>
            </w:pPr>
            <w:r w:rsidRPr="00014C07">
              <w:rPr>
                <w:rFonts w:ascii="Times New Roman" w:hAnsi="Times New Roman"/>
                <w:sz w:val="18"/>
                <w:szCs w:val="18"/>
              </w:rPr>
              <w:t> </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r w:rsidRPr="00014C07">
              <w:rPr>
                <w:rFonts w:ascii="Times New Roman" w:hAnsi="Times New Roman"/>
                <w:sz w:val="18"/>
                <w:szCs w:val="18"/>
              </w:rPr>
              <w:t> </w:t>
            </w:r>
          </w:p>
        </w:tc>
        <w:tc>
          <w:tcPr>
            <w:tcW w:w="666"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r w:rsidRPr="00014C07">
              <w:rPr>
                <w:rFonts w:ascii="Times New Roman" w:hAnsi="Times New Roman"/>
                <w:sz w:val="18"/>
                <w:szCs w:val="18"/>
              </w:rPr>
              <w:t> </w:t>
            </w:r>
          </w:p>
        </w:tc>
        <w:tc>
          <w:tcPr>
            <w:tcW w:w="666"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r w:rsidRPr="00014C07">
              <w:rPr>
                <w:rFonts w:ascii="Times New Roman" w:hAnsi="Times New Roman"/>
                <w:sz w:val="18"/>
                <w:szCs w:val="18"/>
              </w:rPr>
              <w:t> </w:t>
            </w:r>
          </w:p>
        </w:tc>
        <w:tc>
          <w:tcPr>
            <w:tcW w:w="666"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r w:rsidRPr="00014C07">
              <w:rPr>
                <w:rFonts w:ascii="Times New Roman" w:hAnsi="Times New Roman"/>
                <w:sz w:val="18"/>
                <w:szCs w:val="18"/>
              </w:rPr>
              <w:t> </w:t>
            </w:r>
          </w:p>
        </w:tc>
        <w:tc>
          <w:tcPr>
            <w:tcW w:w="665" w:type="dxa"/>
            <w:gridSpan w:val="2"/>
            <w:tcBorders>
              <w:top w:val="nil"/>
              <w:left w:val="nil"/>
              <w:bottom w:val="nil"/>
              <w:right w:val="nil"/>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r w:rsidRPr="00014C07">
              <w:rPr>
                <w:rFonts w:ascii="Times New Roman" w:hAnsi="Times New Roman"/>
                <w:sz w:val="18"/>
                <w:szCs w:val="18"/>
              </w:rPr>
              <w:t> </w:t>
            </w:r>
          </w:p>
        </w:tc>
        <w:tc>
          <w:tcPr>
            <w:tcW w:w="666" w:type="dxa"/>
            <w:gridSpan w:val="2"/>
            <w:tcBorders>
              <w:top w:val="nil"/>
              <w:left w:val="nil"/>
              <w:bottom w:val="nil"/>
              <w:right w:val="double" w:sz="6" w:space="0" w:color="auto"/>
            </w:tcBorders>
            <w:noWrap/>
            <w:vAlign w:val="center"/>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r w:rsidRPr="00014C07">
              <w:rPr>
                <w:rFonts w:ascii="Times New Roman" w:hAnsi="Times New Roman"/>
                <w:sz w:val="18"/>
                <w:szCs w:val="18"/>
              </w:rPr>
              <w:t> </w:t>
            </w:r>
          </w:p>
        </w:tc>
      </w:tr>
      <w:tr w:rsidR="00DE4806" w:rsidRPr="00014C07" w:rsidTr="00DE4806">
        <w:trPr>
          <w:trHeight w:val="264"/>
        </w:trPr>
        <w:tc>
          <w:tcPr>
            <w:tcW w:w="8650" w:type="dxa"/>
            <w:gridSpan w:val="14"/>
            <w:tcBorders>
              <w:top w:val="nil"/>
              <w:left w:val="double" w:sz="6" w:space="0" w:color="auto"/>
              <w:bottom w:val="nil"/>
              <w:right w:val="double" w:sz="6" w:space="0" w:color="auto"/>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18"/>
                <w:szCs w:val="18"/>
              </w:rPr>
            </w:pPr>
            <w:r w:rsidRPr="00014C07">
              <w:rPr>
                <w:rFonts w:ascii="Times New Roman" w:hAnsi="Times New Roman"/>
                <w:color w:val="000000"/>
                <w:sz w:val="18"/>
                <w:szCs w:val="18"/>
                <w:vertAlign w:val="superscript"/>
              </w:rPr>
              <w:t>1</w:t>
            </w:r>
            <w:r w:rsidRPr="00014C07">
              <w:rPr>
                <w:rFonts w:ascii="Times New Roman" w:hAnsi="Times New Roman"/>
                <w:color w:val="000000"/>
                <w:sz w:val="18"/>
                <w:szCs w:val="18"/>
              </w:rPr>
              <w:t>Commission services calculations on the basis of the information in the programme</w:t>
            </w:r>
            <w:r w:rsidRPr="00014C07">
              <w:rPr>
                <w:rFonts w:ascii="Times New Roman" w:hAnsi="Times New Roman"/>
                <w:sz w:val="18"/>
                <w:szCs w:val="18"/>
              </w:rPr>
              <w:t xml:space="preserve"> with potential growth estimated at 2.3%, 2.3%, 2.4%, 2.4% and 2.3% respectively in the period 2006-2010. </w:t>
            </w:r>
          </w:p>
        </w:tc>
      </w:tr>
      <w:tr w:rsidR="00DE4806" w:rsidRPr="00014C07" w:rsidTr="00DE4806">
        <w:trPr>
          <w:trHeight w:val="264"/>
        </w:trPr>
        <w:tc>
          <w:tcPr>
            <w:tcW w:w="8650" w:type="dxa"/>
            <w:gridSpan w:val="14"/>
            <w:tcBorders>
              <w:top w:val="nil"/>
              <w:left w:val="double" w:sz="6" w:space="0" w:color="auto"/>
              <w:bottom w:val="nil"/>
              <w:right w:val="double" w:sz="6" w:space="0" w:color="auto"/>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18"/>
                <w:szCs w:val="18"/>
              </w:rPr>
            </w:pPr>
            <w:r w:rsidRPr="00014C07">
              <w:rPr>
                <w:rFonts w:ascii="Times New Roman" w:hAnsi="Times New Roman"/>
                <w:color w:val="000000"/>
                <w:sz w:val="18"/>
                <w:szCs w:val="18"/>
                <w:vertAlign w:val="superscript"/>
              </w:rPr>
              <w:t>2</w:t>
            </w:r>
            <w:r w:rsidRPr="00014C07">
              <w:rPr>
                <w:rFonts w:ascii="Times New Roman" w:hAnsi="Times New Roman"/>
                <w:color w:val="000000"/>
                <w:sz w:val="18"/>
                <w:szCs w:val="18"/>
              </w:rPr>
              <w:t>Cyclically-adjusted balance (as in the previous rows) excluding one-off and other temporary measures</w:t>
            </w:r>
            <w:r w:rsidRPr="00014C07">
              <w:rPr>
                <w:rFonts w:ascii="Times New Roman" w:hAnsi="Times New Roman"/>
                <w:sz w:val="18"/>
                <w:szCs w:val="18"/>
              </w:rPr>
              <w:t> </w:t>
            </w:r>
          </w:p>
        </w:tc>
      </w:tr>
      <w:tr w:rsidR="00DE4806" w:rsidRPr="00014C07" w:rsidTr="00DE4806">
        <w:trPr>
          <w:trHeight w:val="264"/>
        </w:trPr>
        <w:tc>
          <w:tcPr>
            <w:tcW w:w="8650" w:type="dxa"/>
            <w:gridSpan w:val="14"/>
            <w:tcBorders>
              <w:top w:val="nil"/>
              <w:left w:val="double" w:sz="6" w:space="0" w:color="auto"/>
              <w:bottom w:val="nil"/>
              <w:right w:val="double" w:sz="6" w:space="0" w:color="000000"/>
            </w:tcBorders>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18"/>
                <w:szCs w:val="18"/>
              </w:rPr>
            </w:pPr>
            <w:r w:rsidRPr="00014C07">
              <w:rPr>
                <w:rFonts w:ascii="Times New Roman" w:hAnsi="Times New Roman"/>
                <w:color w:val="000000"/>
                <w:sz w:val="18"/>
                <w:szCs w:val="18"/>
                <w:vertAlign w:val="superscript"/>
              </w:rPr>
              <w:t>3</w:t>
            </w:r>
            <w:r w:rsidRPr="00014C07">
              <w:rPr>
                <w:rFonts w:ascii="Times New Roman" w:hAnsi="Times New Roman"/>
                <w:color w:val="000000"/>
                <w:sz w:val="18"/>
                <w:szCs w:val="18"/>
              </w:rPr>
              <w:t>Deficit-increasing one-off and other temporary measures taken from the programme (purchase of military aircraft</w:t>
            </w:r>
          </w:p>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18"/>
                <w:szCs w:val="18"/>
              </w:rPr>
            </w:pPr>
            <w:r w:rsidRPr="00014C07">
              <w:rPr>
                <w:rFonts w:ascii="Times New Roman" w:hAnsi="Times New Roman"/>
                <w:color w:val="000000"/>
                <w:sz w:val="18"/>
                <w:szCs w:val="18"/>
              </w:rPr>
              <w:t>of 0.2% of GDP in 2007, 0.4% in 2008 and 0.1% in 2009).</w:t>
            </w:r>
          </w:p>
        </w:tc>
      </w:tr>
      <w:tr w:rsidR="00DE4806" w:rsidRPr="00014C07" w:rsidTr="00DE4806">
        <w:trPr>
          <w:trHeight w:val="264"/>
        </w:trPr>
        <w:tc>
          <w:tcPr>
            <w:tcW w:w="8650" w:type="dxa"/>
            <w:gridSpan w:val="14"/>
            <w:tcBorders>
              <w:top w:val="nil"/>
              <w:left w:val="double" w:sz="6" w:space="0" w:color="auto"/>
              <w:bottom w:val="nil"/>
              <w:right w:val="double" w:sz="6" w:space="0" w:color="000000"/>
            </w:tcBorders>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18"/>
                <w:szCs w:val="18"/>
              </w:rPr>
            </w:pPr>
            <w:r w:rsidRPr="00014C07">
              <w:rPr>
                <w:rFonts w:ascii="Times New Roman" w:hAnsi="Times New Roman"/>
                <w:color w:val="000000"/>
                <w:sz w:val="18"/>
                <w:szCs w:val="18"/>
                <w:vertAlign w:val="superscript"/>
              </w:rPr>
              <w:t>4</w:t>
            </w:r>
            <w:r w:rsidRPr="00014C07">
              <w:rPr>
                <w:rFonts w:ascii="Times New Roman" w:hAnsi="Times New Roman"/>
                <w:color w:val="000000"/>
                <w:sz w:val="18"/>
                <w:szCs w:val="18"/>
              </w:rPr>
              <w:t xml:space="preserve">Compared with the programme (see note 3), the Commission services’ spring 2007 forecast does not consider the purchase of military aircraft as one-offs, since it spreads over several years and does not substantially increase total government expenditure. </w:t>
            </w:r>
          </w:p>
        </w:tc>
      </w:tr>
      <w:tr w:rsidR="00DE4806" w:rsidRPr="00014C07" w:rsidTr="00DE4806">
        <w:trPr>
          <w:trHeight w:val="250"/>
        </w:trPr>
        <w:tc>
          <w:tcPr>
            <w:tcW w:w="8650" w:type="dxa"/>
            <w:gridSpan w:val="14"/>
            <w:tcBorders>
              <w:top w:val="nil"/>
              <w:left w:val="double" w:sz="6" w:space="0" w:color="auto"/>
              <w:bottom w:val="nil"/>
              <w:right w:val="double" w:sz="6" w:space="0" w:color="000000"/>
            </w:tcBorders>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color w:val="000000"/>
                <w:sz w:val="18"/>
                <w:szCs w:val="18"/>
              </w:rPr>
            </w:pPr>
            <w:r w:rsidRPr="00014C07">
              <w:rPr>
                <w:rFonts w:ascii="Times New Roman" w:hAnsi="Times New Roman"/>
                <w:color w:val="000000"/>
                <w:sz w:val="18"/>
                <w:szCs w:val="18"/>
                <w:vertAlign w:val="superscript"/>
              </w:rPr>
              <w:t>5</w:t>
            </w:r>
            <w:r w:rsidRPr="00014C07">
              <w:rPr>
                <w:rFonts w:ascii="Times New Roman" w:hAnsi="Times New Roman"/>
                <w:color w:val="000000"/>
                <w:sz w:val="18"/>
                <w:szCs w:val="18"/>
              </w:rPr>
              <w:t>Based on estimated potential growth of 2.3%, 2.0%, 2.2% and 2.2% respectively in the period 2005-2008.</w:t>
            </w:r>
          </w:p>
        </w:tc>
      </w:tr>
      <w:tr w:rsidR="00DE4806" w:rsidRPr="00014C07" w:rsidTr="00DE4806">
        <w:trPr>
          <w:trHeight w:val="250"/>
        </w:trPr>
        <w:tc>
          <w:tcPr>
            <w:tcW w:w="8650" w:type="dxa"/>
            <w:gridSpan w:val="14"/>
            <w:tcBorders>
              <w:top w:val="nil"/>
              <w:left w:val="double" w:sz="6" w:space="0" w:color="auto"/>
              <w:bottom w:val="nil"/>
              <w:right w:val="double" w:sz="6" w:space="0" w:color="000000"/>
            </w:tcBorders>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20" w:after="120"/>
              <w:jc w:val="both"/>
              <w:rPr>
                <w:rFonts w:ascii="Times New Roman" w:hAnsi="Times New Roman"/>
                <w:color w:val="000000"/>
                <w:sz w:val="18"/>
                <w:szCs w:val="18"/>
              </w:rPr>
            </w:pPr>
            <w:r w:rsidRPr="00014C07">
              <w:rPr>
                <w:rFonts w:ascii="Times New Roman" w:hAnsi="Times New Roman"/>
                <w:color w:val="000000"/>
                <w:sz w:val="18"/>
                <w:szCs w:val="18"/>
                <w:vertAlign w:val="superscript"/>
              </w:rPr>
              <w:t>6</w:t>
            </w:r>
            <w:r w:rsidRPr="00014C07">
              <w:rPr>
                <w:rFonts w:ascii="Times New Roman" w:hAnsi="Times New Roman"/>
                <w:sz w:val="18"/>
                <w:szCs w:val="18"/>
              </w:rPr>
              <w:t xml:space="preserve"> Data on the primary balance in the programme and in the Commission services' forecasts are not directly comparable because of a different treatment of FISIM. Data in the programme follow the definitions required by the code of conduct. To be comparable with data in the programme, Commission data on the primary balance need to be adjusted by around 0.1-0.2% of GDP.</w:t>
            </w:r>
          </w:p>
        </w:tc>
      </w:tr>
      <w:tr w:rsidR="00DE4806" w:rsidRPr="00014C07" w:rsidTr="00DE4806">
        <w:trPr>
          <w:trHeight w:val="250"/>
        </w:trPr>
        <w:tc>
          <w:tcPr>
            <w:tcW w:w="2728" w:type="dxa"/>
            <w:tcBorders>
              <w:top w:val="nil"/>
              <w:left w:val="double" w:sz="6" w:space="0" w:color="auto"/>
              <w:bottom w:val="nil"/>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i/>
                <w:iCs/>
                <w:color w:val="000000"/>
                <w:sz w:val="18"/>
                <w:szCs w:val="18"/>
                <w:u w:val="single"/>
              </w:rPr>
            </w:pPr>
            <w:r w:rsidRPr="00014C07">
              <w:rPr>
                <w:rFonts w:ascii="Times New Roman" w:hAnsi="Times New Roman"/>
                <w:i/>
                <w:iCs/>
                <w:color w:val="000000"/>
                <w:sz w:val="18"/>
                <w:szCs w:val="18"/>
                <w:u w:val="single"/>
              </w:rPr>
              <w:t>Source:</w:t>
            </w:r>
          </w:p>
        </w:tc>
        <w:tc>
          <w:tcPr>
            <w:tcW w:w="2575" w:type="dxa"/>
            <w:gridSpan w:val="2"/>
            <w:tcBorders>
              <w:top w:val="nil"/>
              <w:left w:val="nil"/>
              <w:bottom w:val="nil"/>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center"/>
              <w:rPr>
                <w:rFonts w:ascii="Times New Roman" w:hAnsi="Times New Roman"/>
                <w:sz w:val="18"/>
                <w:szCs w:val="18"/>
              </w:rPr>
            </w:pPr>
          </w:p>
        </w:tc>
        <w:tc>
          <w:tcPr>
            <w:tcW w:w="620" w:type="dxa"/>
            <w:gridSpan w:val="2"/>
            <w:tcBorders>
              <w:top w:val="nil"/>
              <w:left w:val="nil"/>
              <w:bottom w:val="nil"/>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p>
        </w:tc>
        <w:tc>
          <w:tcPr>
            <w:tcW w:w="593" w:type="dxa"/>
            <w:gridSpan w:val="2"/>
            <w:tcBorders>
              <w:top w:val="nil"/>
              <w:left w:val="nil"/>
              <w:bottom w:val="nil"/>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p>
        </w:tc>
        <w:tc>
          <w:tcPr>
            <w:tcW w:w="609" w:type="dxa"/>
            <w:gridSpan w:val="2"/>
            <w:tcBorders>
              <w:top w:val="nil"/>
              <w:left w:val="nil"/>
              <w:bottom w:val="nil"/>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p>
        </w:tc>
        <w:tc>
          <w:tcPr>
            <w:tcW w:w="623" w:type="dxa"/>
            <w:gridSpan w:val="2"/>
            <w:tcBorders>
              <w:top w:val="nil"/>
              <w:left w:val="nil"/>
              <w:bottom w:val="nil"/>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p>
        </w:tc>
        <w:tc>
          <w:tcPr>
            <w:tcW w:w="593" w:type="dxa"/>
            <w:gridSpan w:val="2"/>
            <w:tcBorders>
              <w:top w:val="nil"/>
              <w:left w:val="nil"/>
              <w:bottom w:val="nil"/>
              <w:right w:val="nil"/>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p>
        </w:tc>
        <w:tc>
          <w:tcPr>
            <w:tcW w:w="308" w:type="dxa"/>
            <w:tcBorders>
              <w:top w:val="nil"/>
              <w:left w:val="nil"/>
              <w:bottom w:val="nil"/>
              <w:right w:val="double" w:sz="6" w:space="0" w:color="auto"/>
            </w:tcBorders>
            <w:noWrap/>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right"/>
              <w:rPr>
                <w:rFonts w:ascii="Times New Roman" w:hAnsi="Times New Roman"/>
                <w:sz w:val="18"/>
                <w:szCs w:val="18"/>
              </w:rPr>
            </w:pPr>
            <w:r w:rsidRPr="00014C07">
              <w:rPr>
                <w:rFonts w:ascii="Times New Roman" w:hAnsi="Times New Roman"/>
                <w:sz w:val="18"/>
                <w:szCs w:val="18"/>
              </w:rPr>
              <w:t> </w:t>
            </w:r>
          </w:p>
        </w:tc>
      </w:tr>
      <w:tr w:rsidR="00DE4806" w:rsidRPr="00014C07" w:rsidTr="00DE4806">
        <w:trPr>
          <w:trHeight w:val="264"/>
        </w:trPr>
        <w:tc>
          <w:tcPr>
            <w:tcW w:w="8650" w:type="dxa"/>
            <w:gridSpan w:val="14"/>
            <w:tcBorders>
              <w:top w:val="nil"/>
              <w:left w:val="double" w:sz="6" w:space="0" w:color="auto"/>
              <w:bottom w:val="double" w:sz="6" w:space="0" w:color="auto"/>
              <w:right w:val="double" w:sz="6" w:space="0" w:color="000000"/>
            </w:tcBorders>
            <w:vAlign w:val="bottom"/>
          </w:tcPr>
          <w:p w:rsidR="00DE4806" w:rsidRPr="00014C07" w:rsidRDefault="00DE4806" w:rsidP="00DE480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i/>
                <w:iCs/>
                <w:color w:val="000000"/>
                <w:sz w:val="18"/>
                <w:szCs w:val="18"/>
              </w:rPr>
            </w:pPr>
            <w:r w:rsidRPr="00014C07">
              <w:rPr>
                <w:rFonts w:ascii="Times New Roman" w:hAnsi="Times New Roman"/>
                <w:i/>
                <w:iCs/>
                <w:color w:val="000000"/>
                <w:sz w:val="18"/>
                <w:szCs w:val="18"/>
              </w:rPr>
              <w:t>Stability programme (SP); Commission services’ spring 2007 economic forecasts (COM); Commission services’ calculations</w:t>
            </w:r>
          </w:p>
        </w:tc>
      </w:tr>
    </w:tbl>
    <w:p w:rsidR="00BD4462" w:rsidRPr="00014C07" w:rsidRDefault="00BD4462" w:rsidP="009840BC">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20" w:after="120"/>
        <w:jc w:val="both"/>
      </w:pPr>
    </w:p>
    <w:sectPr w:rsidR="00BD4462" w:rsidRPr="00014C07" w:rsidSect="009840BC">
      <w:type w:val="continuous"/>
      <w:pgSz w:w="11907" w:h="16840" w:code="9"/>
      <w:pgMar w:top="1021" w:right="1191" w:bottom="1644" w:left="1701" w:header="0"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36F" w:rsidRPr="00014C07" w:rsidRDefault="00A9136F">
      <w:r w:rsidRPr="00014C07">
        <w:separator/>
      </w:r>
    </w:p>
  </w:endnote>
  <w:endnote w:type="continuationSeparator" w:id="0">
    <w:p w:rsidR="00A9136F" w:rsidRPr="00014C07" w:rsidRDefault="00A9136F">
      <w:r w:rsidRPr="00014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441" w:rsidRPr="00014C07" w:rsidRDefault="00BF7441">
    <w:pPr>
      <w:pStyle w:val="Sidfot"/>
      <w:jc w:val="center"/>
      <w:rPr>
        <w:lang w:val="sv-SE"/>
      </w:rPr>
    </w:pPr>
    <w:r w:rsidRPr="00014C07">
      <w:rPr>
        <w:rStyle w:val="Sidnummer"/>
        <w:lang w:val="sv-SE"/>
      </w:rPr>
      <w:fldChar w:fldCharType="begin" w:fldLock="1"/>
    </w:r>
    <w:r w:rsidRPr="00014C07">
      <w:rPr>
        <w:rStyle w:val="Sidnummer"/>
        <w:lang w:val="sv-SE"/>
      </w:rPr>
      <w:instrText xml:space="preserve"> PAGE </w:instrText>
    </w:r>
    <w:r w:rsidRPr="00014C07">
      <w:rPr>
        <w:rStyle w:val="Sidnummer"/>
        <w:lang w:val="sv-SE"/>
      </w:rPr>
      <w:fldChar w:fldCharType="separate"/>
    </w:r>
    <w:r w:rsidR="009B64B0" w:rsidRPr="00014C07">
      <w:rPr>
        <w:rStyle w:val="Sidnummer"/>
        <w:lang w:val="sv-SE"/>
      </w:rPr>
      <w:t>2</w:t>
    </w:r>
    <w:r w:rsidRPr="00014C07">
      <w:rPr>
        <w:rStyle w:val="Sidnummer"/>
        <w:lang w:val="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36F" w:rsidRPr="00014C07" w:rsidRDefault="00A9136F">
      <w:r w:rsidRPr="00014C07">
        <w:separator/>
      </w:r>
    </w:p>
  </w:footnote>
  <w:footnote w:type="continuationSeparator" w:id="0">
    <w:p w:rsidR="00A9136F" w:rsidRPr="00014C07" w:rsidRDefault="00A9136F">
      <w:r w:rsidRPr="00014C07">
        <w:continuationSeparator/>
      </w:r>
    </w:p>
  </w:footnote>
  <w:footnote w:id="1">
    <w:p w:rsidR="00BF7441" w:rsidRPr="00014C07" w:rsidRDefault="00BF7441" w:rsidP="009840BC">
      <w:pPr>
        <w:ind w:left="284" w:hanging="284"/>
        <w:jc w:val="both"/>
        <w:rPr>
          <w:sz w:val="16"/>
          <w:szCs w:val="16"/>
        </w:rPr>
      </w:pPr>
      <w:r w:rsidRPr="00014C07">
        <w:rPr>
          <w:rStyle w:val="Fotnotsreferens"/>
          <w:sz w:val="16"/>
          <w:szCs w:val="16"/>
        </w:rPr>
        <w:footnoteRef/>
      </w:r>
      <w:r w:rsidRPr="00014C07">
        <w:rPr>
          <w:sz w:val="16"/>
          <w:szCs w:val="16"/>
        </w:rPr>
        <w:t xml:space="preserve"> </w:t>
      </w:r>
      <w:r w:rsidRPr="00014C07">
        <w:rPr>
          <w:sz w:val="16"/>
          <w:szCs w:val="16"/>
        </w:rPr>
        <w:tab/>
        <w:t xml:space="preserve">According to Council Regulation (EC) No 1466/97 on the strengthening of budgetary surveillance and the surveillance and coordination of economic policies (as amended by Regulation No 1055/2005), </w:t>
      </w:r>
      <w:smartTag w:uri="urn:schemas-microsoft-com:office:smarttags" w:element="place">
        <w:smartTag w:uri="urn:schemas-microsoft-com:office:smarttags" w:element="PlaceName">
          <w:r w:rsidRPr="00014C07">
            <w:rPr>
              <w:sz w:val="16"/>
              <w:szCs w:val="16"/>
            </w:rPr>
            <w:t>Member</w:t>
          </w:r>
        </w:smartTag>
        <w:r w:rsidRPr="00014C07">
          <w:rPr>
            <w:sz w:val="16"/>
            <w:szCs w:val="16"/>
          </w:rPr>
          <w:t xml:space="preserve"> </w:t>
        </w:r>
        <w:smartTag w:uri="urn:schemas-microsoft-com:office:smarttags" w:element="PlaceType">
          <w:r w:rsidRPr="00014C07">
            <w:rPr>
              <w:sz w:val="16"/>
              <w:szCs w:val="16"/>
            </w:rPr>
            <w:t>States</w:t>
          </w:r>
        </w:smartTag>
      </w:smartTag>
      <w:r w:rsidRPr="00014C07">
        <w:rPr>
          <w:sz w:val="16"/>
          <w:szCs w:val="16"/>
        </w:rPr>
        <w:t xml:space="preserve"> must submit updated macroeconomic and budgetary projections every year. Such updates are called stability programmes in the case of countries that have adopted the euro, and c</w:t>
      </w:r>
      <w:r w:rsidRPr="00014C07">
        <w:rPr>
          <w:rFonts w:cs="Arial"/>
          <w:sz w:val="16"/>
          <w:szCs w:val="16"/>
        </w:rPr>
        <w:t xml:space="preserve">onvergence programmes in the case of those that have not yet done so. This regulation is also referred to as the 'preventive arm' of the Stability and Growth Pact.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7A0384"/>
    <w:multiLevelType w:val="singleLevel"/>
    <w:tmpl w:val="36802114"/>
    <w:lvl w:ilvl="0">
      <w:start w:val="1"/>
      <w:numFmt w:val="bullet"/>
      <w:pStyle w:val="Tiret2"/>
      <w:lvlText w:val="-"/>
      <w:lvlJc w:val="left"/>
      <w:pPr>
        <w:tabs>
          <w:tab w:val="num" w:pos="644"/>
        </w:tabs>
        <w:ind w:left="567" w:hanging="283"/>
      </w:pPr>
      <w:rPr>
        <w:rFonts w:ascii="Times New Roman" w:hAnsi="Times New Roman" w:hint="default"/>
        <w:sz w:val="22"/>
      </w:rPr>
    </w:lvl>
  </w:abstractNum>
  <w:abstractNum w:abstractNumId="2" w15:restartNumberingAfterBreak="0">
    <w:nsid w:val="1E346EC6"/>
    <w:multiLevelType w:val="singleLevel"/>
    <w:tmpl w:val="EAA2D466"/>
    <w:lvl w:ilvl="0">
      <w:start w:val="1"/>
      <w:numFmt w:val="bullet"/>
      <w:lvlRestart w:val="0"/>
      <w:pStyle w:val="Punktlista"/>
      <w:lvlText w:val=""/>
      <w:lvlJc w:val="left"/>
      <w:pPr>
        <w:tabs>
          <w:tab w:val="num" w:pos="283"/>
        </w:tabs>
        <w:ind w:left="283" w:hanging="283"/>
      </w:pPr>
      <w:rPr>
        <w:rFonts w:ascii="Symbol" w:hAnsi="Symbol"/>
      </w:rPr>
    </w:lvl>
  </w:abstractNum>
  <w:abstractNum w:abstractNumId="3" w15:restartNumberingAfterBreak="0">
    <w:nsid w:val="35425A1D"/>
    <w:multiLevelType w:val="singleLevel"/>
    <w:tmpl w:val="007042C2"/>
    <w:lvl w:ilvl="0">
      <w:numFmt w:val="bullet"/>
      <w:pStyle w:val="Tiret3"/>
      <w:lvlText w:val="-"/>
      <w:lvlJc w:val="left"/>
      <w:pPr>
        <w:tabs>
          <w:tab w:val="num" w:pos="1069"/>
        </w:tabs>
        <w:ind w:left="1021" w:hanging="312"/>
      </w:pPr>
      <w:rPr>
        <w:rFonts w:ascii="Times New Roman" w:hAnsi="Times New Roman" w:hint="default"/>
      </w:rPr>
    </w:lvl>
  </w:abstractNum>
  <w:abstractNum w:abstractNumId="4" w15:restartNumberingAfterBreak="0">
    <w:nsid w:val="5DFD014F"/>
    <w:multiLevelType w:val="singleLevel"/>
    <w:tmpl w:val="03C29486"/>
    <w:lvl w:ilvl="0">
      <w:start w:val="1"/>
      <w:numFmt w:val="bullet"/>
      <w:pStyle w:val="Tiret1"/>
      <w:lvlText w:val="-"/>
      <w:lvlJc w:val="left"/>
      <w:pPr>
        <w:tabs>
          <w:tab w:val="num" w:pos="360"/>
        </w:tabs>
        <w:ind w:left="284" w:hanging="284"/>
      </w:pPr>
      <w:rPr>
        <w:rFonts w:ascii="Times New Roman" w:hAnsi="Times New Roman" w:hint="default"/>
      </w:rPr>
    </w:lvl>
  </w:abstractNum>
  <w:abstractNum w:abstractNumId="5" w15:restartNumberingAfterBreak="0">
    <w:nsid w:val="733D3843"/>
    <w:multiLevelType w:val="multilevel"/>
    <w:tmpl w:val="F8C0685A"/>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5893219">
    <w:abstractNumId w:val="4"/>
  </w:num>
  <w:num w:numId="2" w16cid:durableId="832179924">
    <w:abstractNumId w:val="1"/>
  </w:num>
  <w:num w:numId="3" w16cid:durableId="35503888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16cid:durableId="1853563617">
    <w:abstractNumId w:val="3"/>
  </w:num>
  <w:num w:numId="5" w16cid:durableId="1082097128">
    <w:abstractNumId w:val="5"/>
  </w:num>
  <w:num w:numId="6" w16cid:durableId="1866282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IP_EN"/>
  </w:docVars>
  <w:rsids>
    <w:rsidRoot w:val="003B20BC"/>
    <w:rsid w:val="00006985"/>
    <w:rsid w:val="000126F8"/>
    <w:rsid w:val="00014C07"/>
    <w:rsid w:val="000153B4"/>
    <w:rsid w:val="00020DA8"/>
    <w:rsid w:val="00024745"/>
    <w:rsid w:val="00031A97"/>
    <w:rsid w:val="00042A4A"/>
    <w:rsid w:val="000549D5"/>
    <w:rsid w:val="000553CB"/>
    <w:rsid w:val="0005594F"/>
    <w:rsid w:val="000759B2"/>
    <w:rsid w:val="00082039"/>
    <w:rsid w:val="000846BC"/>
    <w:rsid w:val="00084F69"/>
    <w:rsid w:val="000D5925"/>
    <w:rsid w:val="000E17E1"/>
    <w:rsid w:val="000E2DF2"/>
    <w:rsid w:val="0010396B"/>
    <w:rsid w:val="00112775"/>
    <w:rsid w:val="00112DCB"/>
    <w:rsid w:val="0012224B"/>
    <w:rsid w:val="00142B76"/>
    <w:rsid w:val="001701A0"/>
    <w:rsid w:val="0017494A"/>
    <w:rsid w:val="00175116"/>
    <w:rsid w:val="00176392"/>
    <w:rsid w:val="00191BC3"/>
    <w:rsid w:val="001A70FE"/>
    <w:rsid w:val="001D773D"/>
    <w:rsid w:val="001F2DAC"/>
    <w:rsid w:val="001F4902"/>
    <w:rsid w:val="0020002E"/>
    <w:rsid w:val="00207B20"/>
    <w:rsid w:val="0021170F"/>
    <w:rsid w:val="00213F08"/>
    <w:rsid w:val="00225207"/>
    <w:rsid w:val="002422EE"/>
    <w:rsid w:val="002506EC"/>
    <w:rsid w:val="002515E0"/>
    <w:rsid w:val="00261F41"/>
    <w:rsid w:val="002656F8"/>
    <w:rsid w:val="002766A9"/>
    <w:rsid w:val="00292796"/>
    <w:rsid w:val="002972FE"/>
    <w:rsid w:val="002A4B34"/>
    <w:rsid w:val="002B1B34"/>
    <w:rsid w:val="002B316E"/>
    <w:rsid w:val="002C26A7"/>
    <w:rsid w:val="002D4582"/>
    <w:rsid w:val="002D6955"/>
    <w:rsid w:val="002E22F8"/>
    <w:rsid w:val="002E3542"/>
    <w:rsid w:val="002E41ED"/>
    <w:rsid w:val="002F4696"/>
    <w:rsid w:val="002F52C6"/>
    <w:rsid w:val="0030236B"/>
    <w:rsid w:val="00303636"/>
    <w:rsid w:val="0030408A"/>
    <w:rsid w:val="003109C9"/>
    <w:rsid w:val="00312DA4"/>
    <w:rsid w:val="00333805"/>
    <w:rsid w:val="00335059"/>
    <w:rsid w:val="00335EC5"/>
    <w:rsid w:val="00345D77"/>
    <w:rsid w:val="00347745"/>
    <w:rsid w:val="003501C0"/>
    <w:rsid w:val="00352365"/>
    <w:rsid w:val="00363828"/>
    <w:rsid w:val="00363AD0"/>
    <w:rsid w:val="0036538C"/>
    <w:rsid w:val="00370789"/>
    <w:rsid w:val="00382345"/>
    <w:rsid w:val="0038686B"/>
    <w:rsid w:val="003A0F60"/>
    <w:rsid w:val="003A3536"/>
    <w:rsid w:val="003B20BC"/>
    <w:rsid w:val="003C35F4"/>
    <w:rsid w:val="003C43A6"/>
    <w:rsid w:val="003D27C4"/>
    <w:rsid w:val="003D716C"/>
    <w:rsid w:val="003E167A"/>
    <w:rsid w:val="003F442D"/>
    <w:rsid w:val="003F7C8C"/>
    <w:rsid w:val="00424E10"/>
    <w:rsid w:val="0043467A"/>
    <w:rsid w:val="00466B1A"/>
    <w:rsid w:val="004756AF"/>
    <w:rsid w:val="0047713C"/>
    <w:rsid w:val="0048367F"/>
    <w:rsid w:val="00487F1F"/>
    <w:rsid w:val="004931CB"/>
    <w:rsid w:val="004A41BD"/>
    <w:rsid w:val="004A49F3"/>
    <w:rsid w:val="004B28F6"/>
    <w:rsid w:val="004C6FEE"/>
    <w:rsid w:val="004C72D9"/>
    <w:rsid w:val="004D7758"/>
    <w:rsid w:val="004E2FA5"/>
    <w:rsid w:val="004E5227"/>
    <w:rsid w:val="00503D35"/>
    <w:rsid w:val="00510F0E"/>
    <w:rsid w:val="00514242"/>
    <w:rsid w:val="00515F42"/>
    <w:rsid w:val="00535270"/>
    <w:rsid w:val="005365B2"/>
    <w:rsid w:val="00542C1F"/>
    <w:rsid w:val="00544975"/>
    <w:rsid w:val="00545CDE"/>
    <w:rsid w:val="00555580"/>
    <w:rsid w:val="005641C2"/>
    <w:rsid w:val="005667F1"/>
    <w:rsid w:val="00567D98"/>
    <w:rsid w:val="00591755"/>
    <w:rsid w:val="005B2C98"/>
    <w:rsid w:val="005B4B79"/>
    <w:rsid w:val="005C0D63"/>
    <w:rsid w:val="005D0810"/>
    <w:rsid w:val="005D20F1"/>
    <w:rsid w:val="005E244D"/>
    <w:rsid w:val="005E68A5"/>
    <w:rsid w:val="005F03F0"/>
    <w:rsid w:val="005F12DD"/>
    <w:rsid w:val="005F7D69"/>
    <w:rsid w:val="00601959"/>
    <w:rsid w:val="00611B77"/>
    <w:rsid w:val="00614F9B"/>
    <w:rsid w:val="00631E4E"/>
    <w:rsid w:val="00640471"/>
    <w:rsid w:val="00642DFD"/>
    <w:rsid w:val="006469D9"/>
    <w:rsid w:val="00656D21"/>
    <w:rsid w:val="00670A38"/>
    <w:rsid w:val="006748AF"/>
    <w:rsid w:val="006906C4"/>
    <w:rsid w:val="006A006F"/>
    <w:rsid w:val="006A20D7"/>
    <w:rsid w:val="006A4576"/>
    <w:rsid w:val="006B4C29"/>
    <w:rsid w:val="006C0623"/>
    <w:rsid w:val="006C2DDA"/>
    <w:rsid w:val="006F1A16"/>
    <w:rsid w:val="00706514"/>
    <w:rsid w:val="00713294"/>
    <w:rsid w:val="007173A6"/>
    <w:rsid w:val="0072248B"/>
    <w:rsid w:val="00724A95"/>
    <w:rsid w:val="00732D6D"/>
    <w:rsid w:val="007348A9"/>
    <w:rsid w:val="00746781"/>
    <w:rsid w:val="007469A0"/>
    <w:rsid w:val="0075501F"/>
    <w:rsid w:val="00756226"/>
    <w:rsid w:val="00770C9A"/>
    <w:rsid w:val="00784634"/>
    <w:rsid w:val="00797B30"/>
    <w:rsid w:val="007A111D"/>
    <w:rsid w:val="007B18FA"/>
    <w:rsid w:val="007B4284"/>
    <w:rsid w:val="007C2F95"/>
    <w:rsid w:val="007C4140"/>
    <w:rsid w:val="007D0CFE"/>
    <w:rsid w:val="007D250C"/>
    <w:rsid w:val="007D33C1"/>
    <w:rsid w:val="007D6274"/>
    <w:rsid w:val="007F2999"/>
    <w:rsid w:val="007F4E0E"/>
    <w:rsid w:val="00814FCE"/>
    <w:rsid w:val="00817447"/>
    <w:rsid w:val="008200AA"/>
    <w:rsid w:val="00821D67"/>
    <w:rsid w:val="00827425"/>
    <w:rsid w:val="008323D4"/>
    <w:rsid w:val="00832E71"/>
    <w:rsid w:val="00846C2E"/>
    <w:rsid w:val="00856ABC"/>
    <w:rsid w:val="0086102B"/>
    <w:rsid w:val="00870A1D"/>
    <w:rsid w:val="00874229"/>
    <w:rsid w:val="008802E5"/>
    <w:rsid w:val="0089112B"/>
    <w:rsid w:val="008A0F23"/>
    <w:rsid w:val="008B593A"/>
    <w:rsid w:val="008C0769"/>
    <w:rsid w:val="008D3152"/>
    <w:rsid w:val="008D699C"/>
    <w:rsid w:val="00902753"/>
    <w:rsid w:val="0090513E"/>
    <w:rsid w:val="009306BD"/>
    <w:rsid w:val="00936DE7"/>
    <w:rsid w:val="00941E8A"/>
    <w:rsid w:val="00945F4D"/>
    <w:rsid w:val="009545E6"/>
    <w:rsid w:val="00957647"/>
    <w:rsid w:val="00964BDA"/>
    <w:rsid w:val="0096719F"/>
    <w:rsid w:val="00967ABE"/>
    <w:rsid w:val="00981DDD"/>
    <w:rsid w:val="009840BC"/>
    <w:rsid w:val="00991B80"/>
    <w:rsid w:val="00996B34"/>
    <w:rsid w:val="009A3AAC"/>
    <w:rsid w:val="009B64B0"/>
    <w:rsid w:val="009C0098"/>
    <w:rsid w:val="009E13E0"/>
    <w:rsid w:val="009E603F"/>
    <w:rsid w:val="009F1E7D"/>
    <w:rsid w:val="009F220E"/>
    <w:rsid w:val="009F299D"/>
    <w:rsid w:val="00A04769"/>
    <w:rsid w:val="00A11ECC"/>
    <w:rsid w:val="00A324CB"/>
    <w:rsid w:val="00A33C96"/>
    <w:rsid w:val="00A4632E"/>
    <w:rsid w:val="00A5264A"/>
    <w:rsid w:val="00A543E9"/>
    <w:rsid w:val="00A722F3"/>
    <w:rsid w:val="00A725A0"/>
    <w:rsid w:val="00A72957"/>
    <w:rsid w:val="00A76A62"/>
    <w:rsid w:val="00A77E76"/>
    <w:rsid w:val="00A8295E"/>
    <w:rsid w:val="00A84112"/>
    <w:rsid w:val="00A9136F"/>
    <w:rsid w:val="00AA279E"/>
    <w:rsid w:val="00AA494A"/>
    <w:rsid w:val="00AB1D48"/>
    <w:rsid w:val="00AB6E3A"/>
    <w:rsid w:val="00AC201C"/>
    <w:rsid w:val="00AC2D5E"/>
    <w:rsid w:val="00AD7E70"/>
    <w:rsid w:val="00AE63D0"/>
    <w:rsid w:val="00AF15B1"/>
    <w:rsid w:val="00B0329E"/>
    <w:rsid w:val="00B07DEB"/>
    <w:rsid w:val="00B115D6"/>
    <w:rsid w:val="00B13D88"/>
    <w:rsid w:val="00B16C40"/>
    <w:rsid w:val="00B16CCC"/>
    <w:rsid w:val="00B20941"/>
    <w:rsid w:val="00B24AD7"/>
    <w:rsid w:val="00B25C5F"/>
    <w:rsid w:val="00B42B00"/>
    <w:rsid w:val="00B46163"/>
    <w:rsid w:val="00B82E72"/>
    <w:rsid w:val="00BA4233"/>
    <w:rsid w:val="00BA573C"/>
    <w:rsid w:val="00BB38F7"/>
    <w:rsid w:val="00BC1147"/>
    <w:rsid w:val="00BC452F"/>
    <w:rsid w:val="00BD1BDF"/>
    <w:rsid w:val="00BD4462"/>
    <w:rsid w:val="00BD4E8A"/>
    <w:rsid w:val="00BF2B1A"/>
    <w:rsid w:val="00BF7441"/>
    <w:rsid w:val="00C05B6E"/>
    <w:rsid w:val="00C13295"/>
    <w:rsid w:val="00C2187F"/>
    <w:rsid w:val="00C37456"/>
    <w:rsid w:val="00C4541A"/>
    <w:rsid w:val="00C5270A"/>
    <w:rsid w:val="00C60064"/>
    <w:rsid w:val="00C654CA"/>
    <w:rsid w:val="00C65C95"/>
    <w:rsid w:val="00C71B19"/>
    <w:rsid w:val="00C76F76"/>
    <w:rsid w:val="00C77430"/>
    <w:rsid w:val="00C842F0"/>
    <w:rsid w:val="00C954A4"/>
    <w:rsid w:val="00CA4609"/>
    <w:rsid w:val="00CC17FF"/>
    <w:rsid w:val="00CC28A6"/>
    <w:rsid w:val="00CD1B8D"/>
    <w:rsid w:val="00CD25F7"/>
    <w:rsid w:val="00CD4B75"/>
    <w:rsid w:val="00CD50FC"/>
    <w:rsid w:val="00CE0C58"/>
    <w:rsid w:val="00CE2C13"/>
    <w:rsid w:val="00CF7B7A"/>
    <w:rsid w:val="00D0176A"/>
    <w:rsid w:val="00D14421"/>
    <w:rsid w:val="00D238A2"/>
    <w:rsid w:val="00D25326"/>
    <w:rsid w:val="00D30CA0"/>
    <w:rsid w:val="00D35DF3"/>
    <w:rsid w:val="00D41505"/>
    <w:rsid w:val="00D41F67"/>
    <w:rsid w:val="00D44E27"/>
    <w:rsid w:val="00D45925"/>
    <w:rsid w:val="00D517C5"/>
    <w:rsid w:val="00D608DA"/>
    <w:rsid w:val="00D72851"/>
    <w:rsid w:val="00D74918"/>
    <w:rsid w:val="00D9249C"/>
    <w:rsid w:val="00D93B2F"/>
    <w:rsid w:val="00D96A50"/>
    <w:rsid w:val="00DA4105"/>
    <w:rsid w:val="00DB1027"/>
    <w:rsid w:val="00DC3511"/>
    <w:rsid w:val="00DC3575"/>
    <w:rsid w:val="00DC7240"/>
    <w:rsid w:val="00DE4806"/>
    <w:rsid w:val="00DF3C39"/>
    <w:rsid w:val="00E20DF2"/>
    <w:rsid w:val="00E24E0C"/>
    <w:rsid w:val="00E26A6A"/>
    <w:rsid w:val="00E3137C"/>
    <w:rsid w:val="00E36C63"/>
    <w:rsid w:val="00E45947"/>
    <w:rsid w:val="00E51557"/>
    <w:rsid w:val="00E51779"/>
    <w:rsid w:val="00E62EC6"/>
    <w:rsid w:val="00E67783"/>
    <w:rsid w:val="00E8306E"/>
    <w:rsid w:val="00E835FA"/>
    <w:rsid w:val="00E85030"/>
    <w:rsid w:val="00E9614E"/>
    <w:rsid w:val="00EB1C89"/>
    <w:rsid w:val="00EB1F5A"/>
    <w:rsid w:val="00EB27D3"/>
    <w:rsid w:val="00EE4CAF"/>
    <w:rsid w:val="00EF2331"/>
    <w:rsid w:val="00EF2BCA"/>
    <w:rsid w:val="00EF3AF9"/>
    <w:rsid w:val="00EF5915"/>
    <w:rsid w:val="00EF6BCA"/>
    <w:rsid w:val="00EF6FAA"/>
    <w:rsid w:val="00F01E42"/>
    <w:rsid w:val="00F03F30"/>
    <w:rsid w:val="00F1320D"/>
    <w:rsid w:val="00F26EB8"/>
    <w:rsid w:val="00F36B43"/>
    <w:rsid w:val="00F4066F"/>
    <w:rsid w:val="00F421B8"/>
    <w:rsid w:val="00F55241"/>
    <w:rsid w:val="00F60370"/>
    <w:rsid w:val="00F61316"/>
    <w:rsid w:val="00F77DFE"/>
    <w:rsid w:val="00FB3CB7"/>
    <w:rsid w:val="00FB4502"/>
    <w:rsid w:val="00FB7262"/>
    <w:rsid w:val="00FE760D"/>
    <w:rsid w:val="00FF2250"/>
    <w:rsid w:val="00FF6BD7"/>
    <w:rsid w:val="00FF79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7D9D064-C742-4856-A670-98798C01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rFonts w:ascii="Arial" w:hAnsi="Arial"/>
      <w:sz w:val="22"/>
      <w:lang w:val="sv-SE" w:eastAsia="en-GB"/>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1NNote">
    <w:name w:val="1 N° Note"/>
    <w:basedOn w:val="Normal"/>
    <w:next w:val="2Date"/>
    <w:pPr>
      <w:jc w:val="right"/>
    </w:pPr>
    <w:rPr>
      <w:b/>
      <w:caps/>
      <w:sz w:val="24"/>
    </w:rPr>
  </w:style>
  <w:style w:type="paragraph" w:customStyle="1" w:styleId="2Date">
    <w:name w:val="2 Date"/>
    <w:basedOn w:val="Normal"/>
    <w:next w:val="3Titre"/>
    <w:pPr>
      <w:spacing w:before="240"/>
      <w:jc w:val="right"/>
    </w:pPr>
    <w:rPr>
      <w:lang w:val="en-GB"/>
    </w:rPr>
  </w:style>
  <w:style w:type="paragraph" w:customStyle="1" w:styleId="3Titre">
    <w:name w:val="3 Titre"/>
    <w:basedOn w:val="Normal"/>
    <w:next w:val="4Chapeau"/>
    <w:autoRedefine/>
    <w:rsid w:val="009840BC"/>
    <w:pPr>
      <w:spacing w:before="960"/>
      <w:jc w:val="both"/>
    </w:pPr>
    <w:rPr>
      <w:b/>
      <w:sz w:val="32"/>
      <w:lang w:val="en-GB"/>
    </w:rPr>
  </w:style>
  <w:style w:type="paragraph" w:styleId="Sidfot">
    <w:name w:val="footer"/>
    <w:basedOn w:val="Normal"/>
    <w:pPr>
      <w:tabs>
        <w:tab w:val="center" w:pos="4153"/>
        <w:tab w:val="right" w:pos="8306"/>
      </w:tabs>
    </w:pPr>
    <w:rPr>
      <w:lang w:val="en-GB"/>
    </w:rPr>
  </w:style>
  <w:style w:type="character" w:styleId="Sidnummer">
    <w:name w:val="page number"/>
    <w:basedOn w:val="Standardstycketeckensnitt"/>
  </w:style>
  <w:style w:type="paragraph" w:customStyle="1" w:styleId="4Chapeau">
    <w:name w:val="4 Chapeau"/>
    <w:basedOn w:val="Normal"/>
    <w:next w:val="5Normal"/>
    <w:autoRedefine/>
    <w:rsid w:val="009840BC"/>
    <w:pPr>
      <w:spacing w:before="600" w:after="240"/>
      <w:jc w:val="both"/>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character" w:styleId="Fotnotsreferens">
    <w:name w:val="footnote reference"/>
    <w:basedOn w:val="Standardstycketeckensnitt"/>
    <w:rPr>
      <w:rFonts w:ascii="Arial" w:hAnsi="Arial"/>
      <w:b/>
      <w:kern w:val="0"/>
      <w:sz w:val="20"/>
      <w:vertAlign w:val="superscript"/>
    </w:rPr>
  </w:style>
  <w:style w:type="paragraph" w:styleId="Fotnotstext">
    <w:name w:val="footnote text"/>
    <w:basedOn w:val="Normal"/>
    <w:pPr>
      <w:ind w:left="170" w:hanging="170"/>
    </w:pPr>
    <w:rPr>
      <w:sz w:val="20"/>
    </w:rPr>
  </w:style>
  <w:style w:type="paragraph" w:styleId="Sidhuvud">
    <w:name w:val="header"/>
    <w:basedOn w:val="Normal"/>
    <w:pPr>
      <w:tabs>
        <w:tab w:val="center" w:pos="4153"/>
        <w:tab w:val="right" w:pos="8306"/>
      </w:tabs>
    </w:pPr>
    <w:rPr>
      <w:lang w:val="en-GB"/>
    </w:rPr>
  </w:style>
  <w:style w:type="paragraph" w:customStyle="1" w:styleId="Sous-titre1">
    <w:name w:val="Sous-titre 1"/>
    <w:basedOn w:val="Normal"/>
    <w:next w:val="5Normal"/>
    <w:autoRedefine/>
    <w:pPr>
      <w:spacing w:before="240" w:after="80"/>
    </w:pPr>
    <w:rPr>
      <w:b/>
      <w:sz w:val="24"/>
    </w:rPr>
  </w:style>
  <w:style w:type="paragraph" w:customStyle="1" w:styleId="Sous-titre2">
    <w:name w:val="Sous-titre 2"/>
    <w:basedOn w:val="Normal"/>
    <w:next w:val="Texte2"/>
    <w:autoRedefine/>
    <w:pPr>
      <w:spacing w:before="120" w:after="80"/>
      <w:ind w:left="284"/>
    </w:pPr>
    <w:rPr>
      <w:b/>
    </w:rPr>
  </w:style>
  <w:style w:type="paragraph" w:customStyle="1" w:styleId="Sous-titre3">
    <w:name w:val="Sous-titre 3"/>
    <w:basedOn w:val="Normal"/>
    <w:next w:val="Texte3"/>
    <w:autoRedefine/>
    <w:pPr>
      <w:spacing w:before="120" w:after="80"/>
      <w:ind w:left="567"/>
    </w:pPr>
    <w:rPr>
      <w:b/>
      <w:i/>
    </w:rPr>
  </w:style>
  <w:style w:type="paragraph" w:customStyle="1" w:styleId="Texte1">
    <w:name w:val="Texte 1"/>
    <w:basedOn w:val="Normal"/>
    <w:pPr>
      <w:spacing w:after="80"/>
      <w:jc w:val="both"/>
    </w:pPr>
  </w:style>
  <w:style w:type="paragraph" w:customStyle="1" w:styleId="Texte2">
    <w:name w:val="Texte 2"/>
    <w:basedOn w:val="Normal"/>
    <w:pPr>
      <w:tabs>
        <w:tab w:val="left" w:pos="720"/>
      </w:tabs>
      <w:suppressAutoHyphens/>
      <w:spacing w:after="80"/>
      <w:ind w:left="284"/>
      <w:jc w:val="both"/>
    </w:pPr>
  </w:style>
  <w:style w:type="paragraph" w:customStyle="1" w:styleId="Texte3">
    <w:name w:val="Texte 3"/>
    <w:basedOn w:val="Normal"/>
    <w:pPr>
      <w:ind w:left="567"/>
      <w:jc w:val="both"/>
    </w:pPr>
  </w:style>
  <w:style w:type="paragraph" w:customStyle="1" w:styleId="Tiret1">
    <w:name w:val="Tiret 1"/>
    <w:basedOn w:val="Texte1"/>
    <w:autoRedefine/>
    <w:pPr>
      <w:numPr>
        <w:numId w:val="1"/>
      </w:numPr>
      <w:tabs>
        <w:tab w:val="clear" w:pos="360"/>
      </w:tabs>
      <w:spacing w:after="40"/>
    </w:pPr>
  </w:style>
  <w:style w:type="paragraph" w:customStyle="1" w:styleId="Tiret2">
    <w:name w:val="Tiret 2"/>
    <w:basedOn w:val="Texte2"/>
    <w:pPr>
      <w:numPr>
        <w:numId w:val="2"/>
      </w:numPr>
      <w:tabs>
        <w:tab w:val="clear" w:pos="284"/>
        <w:tab w:val="clear" w:pos="644"/>
        <w:tab w:val="clear" w:pos="720"/>
        <w:tab w:val="clear" w:pos="1418"/>
        <w:tab w:val="clear" w:pos="1701"/>
        <w:tab w:val="clear" w:pos="1985"/>
        <w:tab w:val="clear" w:pos="2268"/>
        <w:tab w:val="clear" w:pos="2552"/>
        <w:tab w:val="clear" w:pos="3119"/>
        <w:tab w:val="clear" w:pos="4253"/>
        <w:tab w:val="clear" w:pos="5954"/>
        <w:tab w:val="clear" w:pos="8222"/>
        <w:tab w:val="clear" w:pos="11057"/>
      </w:tabs>
      <w:spacing w:after="40"/>
      <w:ind w:left="568" w:hanging="284"/>
    </w:pPr>
  </w:style>
  <w:style w:type="paragraph" w:customStyle="1" w:styleId="Tiret3">
    <w:name w:val="Tiret 3"/>
    <w:basedOn w:val="Texte3"/>
    <w:autoRedefine/>
    <w:pPr>
      <w:numPr>
        <w:numId w:val="4"/>
      </w:numPr>
      <w:spacing w:after="40"/>
    </w:pPr>
  </w:style>
  <w:style w:type="paragraph" w:styleId="Numreradlista">
    <w:name w:val="List Number"/>
    <w:basedOn w:val="Normal"/>
    <w:rsid w:val="00175116"/>
    <w:pPr>
      <w:numPr>
        <w:numId w:val="5"/>
      </w:numPr>
      <w:tabs>
        <w:tab w:val="clear" w:pos="284"/>
        <w:tab w:val="clear" w:pos="567"/>
        <w:tab w:val="clear" w:pos="709"/>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 w:val="num" w:pos="360"/>
      </w:tabs>
      <w:spacing w:before="120" w:after="120"/>
      <w:ind w:left="0" w:firstLine="0"/>
      <w:jc w:val="both"/>
    </w:pPr>
    <w:rPr>
      <w:rFonts w:ascii="Times New Roman" w:hAnsi="Times New Roman"/>
      <w:sz w:val="24"/>
    </w:rPr>
  </w:style>
  <w:style w:type="paragraph" w:customStyle="1" w:styleId="ListNumberLevel2">
    <w:name w:val="List Number (Level 2)"/>
    <w:basedOn w:val="Normal"/>
    <w:rsid w:val="00175116"/>
    <w:pPr>
      <w:numPr>
        <w:ilvl w:val="1"/>
        <w:numId w:val="5"/>
      </w:numPr>
      <w:tabs>
        <w:tab w:val="clear" w:pos="284"/>
        <w:tab w:val="clear" w:pos="567"/>
        <w:tab w:val="clear" w:pos="851"/>
        <w:tab w:val="clear" w:pos="1134"/>
        <w:tab w:val="clear" w:pos="1417"/>
        <w:tab w:val="clear" w:pos="1701"/>
        <w:tab w:val="clear" w:pos="1985"/>
        <w:tab w:val="clear" w:pos="2268"/>
        <w:tab w:val="clear" w:pos="2552"/>
        <w:tab w:val="clear" w:pos="3119"/>
        <w:tab w:val="clear" w:pos="4253"/>
        <w:tab w:val="clear" w:pos="5954"/>
        <w:tab w:val="clear" w:pos="8222"/>
        <w:tab w:val="clear" w:pos="11057"/>
        <w:tab w:val="num" w:pos="360"/>
      </w:tabs>
      <w:spacing w:before="120" w:after="120"/>
      <w:ind w:left="0" w:firstLine="0"/>
      <w:jc w:val="both"/>
    </w:pPr>
    <w:rPr>
      <w:rFonts w:ascii="Times New Roman" w:hAnsi="Times New Roman"/>
      <w:sz w:val="24"/>
    </w:rPr>
  </w:style>
  <w:style w:type="paragraph" w:customStyle="1" w:styleId="ListNumberLevel3">
    <w:name w:val="List Number (Level 3)"/>
    <w:basedOn w:val="Normal"/>
    <w:rsid w:val="00175116"/>
    <w:pPr>
      <w:numPr>
        <w:ilvl w:val="2"/>
        <w:numId w:val="5"/>
      </w:numPr>
      <w:tabs>
        <w:tab w:val="clear" w:pos="284"/>
        <w:tab w:val="clear" w:pos="567"/>
        <w:tab w:val="clear" w:pos="851"/>
        <w:tab w:val="clear" w:pos="1134"/>
        <w:tab w:val="clear" w:pos="1418"/>
        <w:tab w:val="clear" w:pos="1701"/>
        <w:tab w:val="clear" w:pos="1985"/>
        <w:tab w:val="clear" w:pos="2126"/>
        <w:tab w:val="clear" w:pos="2268"/>
        <w:tab w:val="clear" w:pos="2552"/>
        <w:tab w:val="clear" w:pos="3119"/>
        <w:tab w:val="clear" w:pos="4253"/>
        <w:tab w:val="clear" w:pos="5954"/>
        <w:tab w:val="clear" w:pos="8222"/>
        <w:tab w:val="clear" w:pos="11057"/>
        <w:tab w:val="num" w:pos="360"/>
      </w:tabs>
      <w:spacing w:before="120" w:after="120"/>
      <w:ind w:left="0" w:firstLine="0"/>
      <w:jc w:val="both"/>
    </w:pPr>
    <w:rPr>
      <w:rFonts w:ascii="Times New Roman" w:hAnsi="Times New Roman"/>
      <w:sz w:val="24"/>
    </w:rPr>
  </w:style>
  <w:style w:type="paragraph" w:customStyle="1" w:styleId="ListNumberLevel4">
    <w:name w:val="List Number (Level 4)"/>
    <w:basedOn w:val="Normal"/>
    <w:rsid w:val="00175116"/>
    <w:pPr>
      <w:numPr>
        <w:ilvl w:val="3"/>
        <w:numId w:val="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4253"/>
        <w:tab w:val="clear" w:pos="5954"/>
        <w:tab w:val="clear" w:pos="8222"/>
        <w:tab w:val="clear" w:pos="11057"/>
        <w:tab w:val="num" w:pos="360"/>
      </w:tabs>
      <w:spacing w:before="120" w:after="120"/>
      <w:ind w:left="0" w:firstLine="0"/>
      <w:jc w:val="both"/>
    </w:pPr>
    <w:rPr>
      <w:rFonts w:ascii="Times New Roman" w:hAnsi="Times New Roman"/>
      <w:sz w:val="24"/>
    </w:rPr>
  </w:style>
  <w:style w:type="paragraph" w:customStyle="1" w:styleId="CharChar">
    <w:name w:val=" Char Char"/>
    <w:basedOn w:val="Normal"/>
    <w:rsid w:val="0017511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after="160" w:line="240" w:lineRule="exact"/>
    </w:pPr>
    <w:rPr>
      <w:rFonts w:ascii="Tahoma" w:hAnsi="Tahoma"/>
      <w:sz w:val="20"/>
      <w:lang w:val="en-US" w:eastAsia="en-US"/>
    </w:rPr>
  </w:style>
  <w:style w:type="character" w:styleId="Hyperlnk">
    <w:name w:val="Hyperlink"/>
    <w:basedOn w:val="Standardstycketeckensnitt"/>
    <w:rsid w:val="00175116"/>
    <w:rPr>
      <w:color w:val="0000FF"/>
      <w:u w:val="single"/>
    </w:rPr>
  </w:style>
  <w:style w:type="paragraph" w:styleId="Normalwebb">
    <w:name w:val="Normal (Web)"/>
    <w:basedOn w:val="Normal"/>
    <w:rsid w:val="0017511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00" w:beforeAutospacing="1" w:after="100" w:afterAutospacing="1"/>
    </w:pPr>
    <w:rPr>
      <w:rFonts w:ascii="Verdana" w:hAnsi="Verdana"/>
      <w:color w:val="000066"/>
      <w:sz w:val="17"/>
      <w:szCs w:val="17"/>
    </w:rPr>
  </w:style>
  <w:style w:type="paragraph" w:styleId="Punktlista">
    <w:name w:val="List Bullet"/>
    <w:basedOn w:val="Normal"/>
    <w:rsid w:val="00175116"/>
    <w:pPr>
      <w:numPr>
        <w:numId w:val="6"/>
      </w:numPr>
      <w:tabs>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20" w:after="120"/>
      <w:jc w:val="both"/>
    </w:pPr>
    <w:rPr>
      <w:rFonts w:ascii="Times New Roman" w:hAnsi="Times New Roman"/>
      <w:sz w:val="24"/>
      <w:lang w:eastAsia="zh-CN"/>
    </w:rPr>
  </w:style>
  <w:style w:type="paragraph" w:styleId="Ballongtext">
    <w:name w:val="Balloon Text"/>
    <w:basedOn w:val="Normal"/>
    <w:semiHidden/>
    <w:rsid w:val="00082039"/>
    <w:rPr>
      <w:rFonts w:ascii="Tahoma" w:hAnsi="Tahoma" w:cs="Tahoma"/>
      <w:sz w:val="16"/>
      <w:szCs w:val="16"/>
    </w:rPr>
  </w:style>
  <w:style w:type="paragraph" w:customStyle="1" w:styleId="Car">
    <w:name w:val=" Car"/>
    <w:basedOn w:val="Normal"/>
    <w:rsid w:val="007D0CFE"/>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after="160" w:line="240" w:lineRule="exact"/>
    </w:pPr>
    <w:rPr>
      <w:rFonts w:ascii="Tahoma" w:hAnsi="Tahoma"/>
      <w:sz w:val="20"/>
      <w:lang w:val="en-US" w:eastAsia="en-US"/>
    </w:rPr>
  </w:style>
  <w:style w:type="paragraph" w:customStyle="1" w:styleId="TableTitle">
    <w:name w:val="Table Title"/>
    <w:basedOn w:val="Normal"/>
    <w:next w:val="Normal"/>
    <w:rsid w:val="00F36B43"/>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20" w:after="120"/>
      <w:jc w:val="center"/>
    </w:pPr>
    <w:rPr>
      <w:rFonts w:ascii="Times New Roman" w:hAnsi="Times New Roman"/>
      <w:b/>
      <w:sz w:val="24"/>
      <w:lang w:eastAsia="zh-CN"/>
    </w:rPr>
  </w:style>
  <w:style w:type="paragraph" w:styleId="Beskrivning">
    <w:name w:val="caption"/>
    <w:basedOn w:val="Normal"/>
    <w:next w:val="Normal"/>
    <w:qFormat/>
    <w:rsid w:val="005C0D63"/>
    <w:rPr>
      <w:b/>
      <w:bCs/>
      <w:sz w:val="20"/>
    </w:rPr>
  </w:style>
  <w:style w:type="paragraph" w:customStyle="1" w:styleId="CharChar1CharCharChar">
    <w:name w:val="Char Char1 Char Char Char"/>
    <w:basedOn w:val="Normal"/>
    <w:link w:val="Standardstycketeckensnitt"/>
    <w:rsid w:val="00BD446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after="160" w:line="240" w:lineRule="exact"/>
    </w:pPr>
    <w:rPr>
      <w:rFonts w:ascii="Tahoma" w:hAnsi="Tahoma"/>
      <w:snapToGrid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94609">
      <w:bodyDiv w:val="1"/>
      <w:marLeft w:val="0"/>
      <w:marRight w:val="0"/>
      <w:marTop w:val="0"/>
      <w:marBottom w:val="0"/>
      <w:divBdr>
        <w:top w:val="none" w:sz="0" w:space="0" w:color="auto"/>
        <w:left w:val="none" w:sz="0" w:space="0" w:color="auto"/>
        <w:bottom w:val="none" w:sz="0" w:space="0" w:color="auto"/>
        <w:right w:val="none" w:sz="0" w:space="0" w:color="auto"/>
      </w:divBdr>
      <w:divsChild>
        <w:div w:id="715857250">
          <w:marLeft w:val="0"/>
          <w:marRight w:val="0"/>
          <w:marTop w:val="0"/>
          <w:marBottom w:val="0"/>
          <w:divBdr>
            <w:top w:val="none" w:sz="0" w:space="0" w:color="auto"/>
            <w:left w:val="none" w:sz="0" w:space="0" w:color="auto"/>
            <w:bottom w:val="none" w:sz="0" w:space="0" w:color="auto"/>
            <w:right w:val="none" w:sz="0" w:space="0" w:color="auto"/>
          </w:divBdr>
          <w:divsChild>
            <w:div w:id="69885142">
              <w:marLeft w:val="0"/>
              <w:marRight w:val="0"/>
              <w:marTop w:val="0"/>
              <w:marBottom w:val="0"/>
              <w:divBdr>
                <w:top w:val="none" w:sz="0" w:space="0" w:color="auto"/>
                <w:left w:val="none" w:sz="0" w:space="0" w:color="auto"/>
                <w:bottom w:val="none" w:sz="0" w:space="0" w:color="auto"/>
                <w:right w:val="none" w:sz="0" w:space="0" w:color="auto"/>
              </w:divBdr>
            </w:div>
            <w:div w:id="770786731">
              <w:marLeft w:val="0"/>
              <w:marRight w:val="0"/>
              <w:marTop w:val="0"/>
              <w:marBottom w:val="0"/>
              <w:divBdr>
                <w:top w:val="none" w:sz="0" w:space="0" w:color="auto"/>
                <w:left w:val="none" w:sz="0" w:space="0" w:color="auto"/>
                <w:bottom w:val="none" w:sz="0" w:space="0" w:color="auto"/>
                <w:right w:val="none" w:sz="0" w:space="0" w:color="auto"/>
              </w:divBdr>
            </w:div>
            <w:div w:id="1125544631">
              <w:marLeft w:val="0"/>
              <w:marRight w:val="0"/>
              <w:marTop w:val="0"/>
              <w:marBottom w:val="0"/>
              <w:divBdr>
                <w:top w:val="none" w:sz="0" w:space="0" w:color="auto"/>
                <w:left w:val="none" w:sz="0" w:space="0" w:color="auto"/>
                <w:bottom w:val="none" w:sz="0" w:space="0" w:color="auto"/>
                <w:right w:val="none" w:sz="0" w:space="0" w:color="auto"/>
              </w:divBdr>
            </w:div>
            <w:div w:id="1346518434">
              <w:marLeft w:val="0"/>
              <w:marRight w:val="0"/>
              <w:marTop w:val="0"/>
              <w:marBottom w:val="0"/>
              <w:divBdr>
                <w:top w:val="none" w:sz="0" w:space="0" w:color="auto"/>
                <w:left w:val="none" w:sz="0" w:space="0" w:color="auto"/>
                <w:bottom w:val="none" w:sz="0" w:space="0" w:color="auto"/>
                <w:right w:val="none" w:sz="0" w:space="0" w:color="auto"/>
              </w:divBdr>
            </w:div>
            <w:div w:id="1418554901">
              <w:marLeft w:val="0"/>
              <w:marRight w:val="0"/>
              <w:marTop w:val="0"/>
              <w:marBottom w:val="0"/>
              <w:divBdr>
                <w:top w:val="none" w:sz="0" w:space="0" w:color="auto"/>
                <w:left w:val="none" w:sz="0" w:space="0" w:color="auto"/>
                <w:bottom w:val="none" w:sz="0" w:space="0" w:color="auto"/>
                <w:right w:val="none" w:sz="0" w:space="0" w:color="auto"/>
              </w:divBdr>
            </w:div>
            <w:div w:id="21055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europa.eu/economy_finance/about/activities/sgp/country/doctype/cr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Templates\Ip_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Ip_en.dot</Template>
  <TotalTime>0</TotalTime>
  <Pages>2</Pages>
  <Words>1082</Words>
  <Characters>5454</Characters>
  <Application>Microsoft Office Word</Application>
  <DocSecurity>4</DocSecurity>
  <Lines>320</Lines>
  <Paragraphs>251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Top margin 1</vt:lpstr>
      <vt:lpstr>Top margin 1</vt:lpstr>
    </vt:vector>
  </TitlesOfParts>
  <Company> </Company>
  <LinksUpToDate>false</LinksUpToDate>
  <CharactersWithSpaces>6285</CharactersWithSpaces>
  <SharedDoc>false</SharedDoc>
  <HLinks>
    <vt:vector size="6" baseType="variant">
      <vt:variant>
        <vt:i4>4128883</vt:i4>
      </vt:variant>
      <vt:variant>
        <vt:i4>0</vt:i4>
      </vt:variant>
      <vt:variant>
        <vt:i4>0</vt:i4>
      </vt:variant>
      <vt:variant>
        <vt:i4>5</vt:i4>
      </vt:variant>
      <vt:variant>
        <vt:lpwstr>http://ec.europa.eu/economy_finance/about/activities/sgp/country/doctype/cr_en.htm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margin 1</dc:title>
  <dc:subject>Top margin 1</dc:subject>
  <dc:creator>Riksdagen</dc:creator>
  <cp:keywords>Riksdagen</cp:keywords>
  <dc:description/>
  <cp:lastModifiedBy>Lars Brink</cp:lastModifiedBy>
  <cp:revision>2</cp:revision>
  <cp:lastPrinted>2007-06-29T09:24:00Z</cp:lastPrinted>
  <dcterms:created xsi:type="dcterms:W3CDTF">2025-12-17T04:12:00Z</dcterms:created>
  <dcterms:modified xsi:type="dcterms:W3CDTF">2025-12-17T04:12:00Z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757169229</vt:i4>
  </property>
  <property fmtid="{D5CDD505-2E9C-101B-9397-08002B2CF9AE}" pid="4" name="_EmailSubject">
    <vt:lpwstr>Final press release on Austrian SP</vt:lpwstr>
  </property>
  <property fmtid="{D5CDD505-2E9C-101B-9397-08002B2CF9AE}" pid="5" name="_AuthorEmail">
    <vt:lpwstr>Amelia.Torres@ec.europa.eu</vt:lpwstr>
  </property>
  <property fmtid="{D5CDD505-2E9C-101B-9397-08002B2CF9AE}" pid="6" name="_AuthorEmailDisplayName">
    <vt:lpwstr>TORRES Amelia (COMM)</vt:lpwstr>
  </property>
  <property fmtid="{D5CDD505-2E9C-101B-9397-08002B2CF9AE}" pid="7" name="_ReviewingToolsShownOnce">
    <vt:lpwstr/>
  </property>
</Properties>
</file>