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70DC1" w:rsidRPr="006C375B">
        <w:tblPrEx>
          <w:tblCellMar>
            <w:top w:w="0" w:type="dxa"/>
            <w:bottom w:w="0" w:type="dxa"/>
          </w:tblCellMar>
        </w:tblPrEx>
        <w:tc>
          <w:tcPr>
            <w:tcW w:w="2268" w:type="dxa"/>
          </w:tcPr>
          <w:p w:rsidR="00670DC1" w:rsidRPr="006C375B" w:rsidRDefault="00670DC1" w:rsidP="008D743B">
            <w:pPr>
              <w:framePr w:w="4400" w:h="1644" w:wrap="notBeside" w:vAnchor="page" w:hAnchor="page" w:x="6573" w:y="721"/>
              <w:spacing w:line="240" w:lineRule="auto"/>
              <w:rPr>
                <w:rFonts w:ascii="TradeGothic" w:hAnsi="TradeGothic"/>
                <w:i/>
                <w:sz w:val="18"/>
              </w:rPr>
            </w:pPr>
          </w:p>
        </w:tc>
        <w:tc>
          <w:tcPr>
            <w:tcW w:w="2347" w:type="dxa"/>
            <w:gridSpan w:val="2"/>
          </w:tcPr>
          <w:p w:rsidR="00670DC1" w:rsidRPr="006C375B" w:rsidRDefault="00670DC1" w:rsidP="008D743B">
            <w:pPr>
              <w:framePr w:w="4400" w:h="1644" w:wrap="notBeside" w:vAnchor="page" w:hAnchor="page" w:x="6573" w:y="721"/>
              <w:spacing w:line="240" w:lineRule="auto"/>
              <w:rPr>
                <w:rFonts w:ascii="TradeGothic" w:hAnsi="TradeGothic"/>
                <w:i/>
                <w:sz w:val="18"/>
              </w:rPr>
            </w:pPr>
          </w:p>
        </w:tc>
      </w:tr>
      <w:tr w:rsidR="00670DC1" w:rsidRPr="006C375B">
        <w:tblPrEx>
          <w:tblCellMar>
            <w:top w:w="0" w:type="dxa"/>
            <w:bottom w:w="0" w:type="dxa"/>
          </w:tblCellMar>
        </w:tblPrEx>
        <w:trPr>
          <w:cantSplit/>
        </w:trPr>
        <w:tc>
          <w:tcPr>
            <w:tcW w:w="4615" w:type="dxa"/>
            <w:gridSpan w:val="3"/>
          </w:tcPr>
          <w:p w:rsidR="00816EB4" w:rsidRPr="006C375B" w:rsidRDefault="00816EB4" w:rsidP="008D743B">
            <w:pPr>
              <w:framePr w:w="4400" w:h="1644" w:wrap="notBeside" w:vAnchor="page" w:hAnchor="page" w:x="6573" w:y="721"/>
              <w:spacing w:line="240" w:lineRule="auto"/>
              <w:rPr>
                <w:rFonts w:ascii="TradeGothic" w:hAnsi="TradeGothic"/>
                <w:sz w:val="22"/>
              </w:rPr>
            </w:pPr>
            <w:r w:rsidRPr="006C375B">
              <w:rPr>
                <w:rFonts w:ascii="TradeGothic" w:hAnsi="TradeGothic"/>
                <w:sz w:val="22"/>
              </w:rPr>
              <w:t xml:space="preserve">Utkast till </w:t>
            </w:r>
          </w:p>
          <w:p w:rsidR="00670DC1" w:rsidRPr="006C375B" w:rsidRDefault="00670DC1" w:rsidP="008D743B">
            <w:pPr>
              <w:framePr w:w="4400" w:h="1644" w:wrap="notBeside" w:vAnchor="page" w:hAnchor="page" w:x="6573" w:y="721"/>
              <w:spacing w:line="240" w:lineRule="auto"/>
              <w:rPr>
                <w:rFonts w:ascii="TradeGothic" w:hAnsi="TradeGothic"/>
                <w:b/>
                <w:sz w:val="22"/>
              </w:rPr>
            </w:pPr>
            <w:r w:rsidRPr="006C375B">
              <w:rPr>
                <w:rFonts w:ascii="TradeGothic" w:hAnsi="TradeGothic"/>
                <w:b/>
                <w:sz w:val="22"/>
              </w:rPr>
              <w:t>Rådspromemoria</w:t>
            </w:r>
          </w:p>
        </w:tc>
      </w:tr>
      <w:tr w:rsidR="00670DC1" w:rsidRPr="006C375B">
        <w:tblPrEx>
          <w:tblCellMar>
            <w:top w:w="0" w:type="dxa"/>
            <w:bottom w:w="0" w:type="dxa"/>
          </w:tblCellMar>
        </w:tblPrEx>
        <w:tc>
          <w:tcPr>
            <w:tcW w:w="3402" w:type="dxa"/>
            <w:gridSpan w:val="2"/>
          </w:tcPr>
          <w:p w:rsidR="00670DC1" w:rsidRPr="006C375B" w:rsidRDefault="00670DC1" w:rsidP="008D743B">
            <w:pPr>
              <w:framePr w:w="4400" w:h="1644" w:wrap="notBeside" w:vAnchor="page" w:hAnchor="page" w:x="6573" w:y="721"/>
              <w:spacing w:line="240" w:lineRule="auto"/>
            </w:pPr>
          </w:p>
        </w:tc>
        <w:tc>
          <w:tcPr>
            <w:tcW w:w="1213" w:type="dxa"/>
          </w:tcPr>
          <w:p w:rsidR="00670DC1" w:rsidRPr="006C375B" w:rsidRDefault="00670DC1" w:rsidP="008D743B">
            <w:pPr>
              <w:framePr w:w="4400" w:h="1644" w:wrap="notBeside" w:vAnchor="page" w:hAnchor="page" w:x="6573" w:y="721"/>
              <w:spacing w:line="240" w:lineRule="auto"/>
            </w:pPr>
          </w:p>
        </w:tc>
      </w:tr>
      <w:tr w:rsidR="00670DC1" w:rsidRPr="006C375B">
        <w:tblPrEx>
          <w:tblCellMar>
            <w:top w:w="0" w:type="dxa"/>
            <w:bottom w:w="0" w:type="dxa"/>
          </w:tblCellMar>
        </w:tblPrEx>
        <w:tc>
          <w:tcPr>
            <w:tcW w:w="2268" w:type="dxa"/>
          </w:tcPr>
          <w:p w:rsidR="00670DC1" w:rsidRPr="006C375B" w:rsidRDefault="00670DC1" w:rsidP="008D743B">
            <w:pPr>
              <w:framePr w:w="4400" w:h="1644" w:wrap="notBeside" w:vAnchor="page" w:hAnchor="page" w:x="6573" w:y="721"/>
              <w:spacing w:line="240" w:lineRule="auto"/>
            </w:pPr>
            <w:r w:rsidRPr="006C375B">
              <w:t>200</w:t>
            </w:r>
            <w:r w:rsidR="00FA66EE" w:rsidRPr="006C375B">
              <w:t>8-</w:t>
            </w:r>
            <w:r w:rsidR="008352D9" w:rsidRPr="006C375B">
              <w:t>12-01</w:t>
            </w:r>
          </w:p>
        </w:tc>
        <w:tc>
          <w:tcPr>
            <w:tcW w:w="2347" w:type="dxa"/>
            <w:gridSpan w:val="2"/>
          </w:tcPr>
          <w:p w:rsidR="00670DC1" w:rsidRPr="006C375B" w:rsidRDefault="00670DC1" w:rsidP="008D743B">
            <w:pPr>
              <w:framePr w:w="4400" w:h="1644" w:wrap="notBeside" w:vAnchor="page" w:hAnchor="page" w:x="6573" w:y="721"/>
              <w:spacing w:line="240" w:lineRule="auto"/>
            </w:pPr>
          </w:p>
        </w:tc>
      </w:tr>
      <w:tr w:rsidR="00670DC1" w:rsidRPr="006C375B">
        <w:tblPrEx>
          <w:tblCellMar>
            <w:top w:w="0" w:type="dxa"/>
            <w:bottom w:w="0" w:type="dxa"/>
          </w:tblCellMar>
        </w:tblPrEx>
        <w:tc>
          <w:tcPr>
            <w:tcW w:w="2268" w:type="dxa"/>
          </w:tcPr>
          <w:p w:rsidR="00670DC1" w:rsidRPr="006C375B" w:rsidRDefault="00670DC1" w:rsidP="008D743B">
            <w:pPr>
              <w:framePr w:w="4400" w:h="1644" w:wrap="notBeside" w:vAnchor="page" w:hAnchor="page" w:x="6573" w:y="721"/>
              <w:spacing w:line="240" w:lineRule="auto"/>
            </w:pPr>
          </w:p>
        </w:tc>
        <w:tc>
          <w:tcPr>
            <w:tcW w:w="2347" w:type="dxa"/>
            <w:gridSpan w:val="2"/>
          </w:tcPr>
          <w:p w:rsidR="00670DC1" w:rsidRPr="006C375B" w:rsidRDefault="00670DC1" w:rsidP="008D743B">
            <w:pPr>
              <w:framePr w:w="4400" w:h="1644" w:wrap="notBeside" w:vAnchor="page" w:hAnchor="page" w:x="6573" w:y="721"/>
              <w:spacing w:line="240" w:lineRule="auto"/>
            </w:pPr>
          </w:p>
        </w:tc>
      </w:tr>
    </w:tbl>
    <w:tbl>
      <w:tblPr>
        <w:tblW w:w="0" w:type="auto"/>
        <w:tblLayout w:type="fixed"/>
        <w:tblLook w:val="0000" w:firstRow="0" w:lastRow="0" w:firstColumn="0" w:lastColumn="0" w:noHBand="0" w:noVBand="0"/>
      </w:tblPr>
      <w:tblGrid>
        <w:gridCol w:w="4911"/>
      </w:tblGrid>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
                <w:i w:val="0"/>
                <w:sz w:val="22"/>
              </w:rPr>
            </w:pPr>
            <w:r w:rsidRPr="006C375B">
              <w:rPr>
                <w:b/>
                <w:i w:val="0"/>
                <w:sz w:val="22"/>
              </w:rPr>
              <w:t>Socialdepartementet</w:t>
            </w: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r w:rsidRPr="006C375B">
              <w:rPr>
                <w:bCs/>
                <w:iCs/>
              </w:rPr>
              <w:t>Socialförsäkringsenheten</w:t>
            </w:r>
          </w:p>
          <w:p w:rsidR="00816EB4" w:rsidRPr="006C375B" w:rsidRDefault="00816EB4" w:rsidP="008D743B">
            <w:pPr>
              <w:pStyle w:val="Avsndare"/>
              <w:framePr w:h="2483" w:wrap="notBeside" w:x="1504"/>
              <w:spacing w:line="240" w:lineRule="auto"/>
              <w:rPr>
                <w:bCs/>
                <w:iCs/>
              </w:rPr>
            </w:pPr>
            <w:r w:rsidRPr="006C375B">
              <w:rPr>
                <w:bCs/>
                <w:iCs/>
              </w:rPr>
              <w:t>Lena Malmberg</w:t>
            </w: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r w:rsidR="00670DC1" w:rsidRPr="006C375B">
        <w:tblPrEx>
          <w:tblCellMar>
            <w:top w:w="0" w:type="dxa"/>
            <w:bottom w:w="0" w:type="dxa"/>
          </w:tblCellMar>
        </w:tblPrEx>
        <w:trPr>
          <w:trHeight w:val="284"/>
        </w:trPr>
        <w:tc>
          <w:tcPr>
            <w:tcW w:w="4911" w:type="dxa"/>
          </w:tcPr>
          <w:p w:rsidR="00670DC1" w:rsidRPr="006C375B" w:rsidRDefault="00670DC1" w:rsidP="008D743B">
            <w:pPr>
              <w:pStyle w:val="Avsndare"/>
              <w:framePr w:h="2483" w:wrap="notBeside" w:x="1504"/>
              <w:spacing w:line="240" w:lineRule="auto"/>
              <w:rPr>
                <w:bCs/>
                <w:iCs/>
              </w:rPr>
            </w:pPr>
          </w:p>
        </w:tc>
      </w:tr>
    </w:tbl>
    <w:p w:rsidR="00670DC1" w:rsidRPr="006C375B" w:rsidRDefault="00670DC1" w:rsidP="008D743B">
      <w:pPr>
        <w:framePr w:w="4400" w:h="2523" w:wrap="notBeside" w:vAnchor="page" w:hAnchor="page" w:x="6453" w:y="2445"/>
        <w:spacing w:line="240" w:lineRule="auto"/>
        <w:ind w:left="142"/>
        <w:rPr>
          <w:b/>
        </w:rPr>
      </w:pPr>
    </w:p>
    <w:p w:rsidR="00670DC1" w:rsidRPr="006C375B" w:rsidRDefault="00670DC1" w:rsidP="008D743B">
      <w:pPr>
        <w:pStyle w:val="RKrubrik"/>
        <w:pBdr>
          <w:bottom w:val="single" w:sz="6" w:space="1" w:color="auto"/>
        </w:pBdr>
        <w:spacing w:line="240" w:lineRule="auto"/>
      </w:pPr>
      <w:bookmarkStart w:id="0" w:name="bRubrik"/>
      <w:bookmarkEnd w:id="0"/>
      <w:r w:rsidRPr="006C375B">
        <w:t>EPSCO rådets möte den</w:t>
      </w:r>
      <w:r w:rsidR="00FA66EE" w:rsidRPr="006C375B">
        <w:t xml:space="preserve"> </w:t>
      </w:r>
      <w:r w:rsidR="008352D9" w:rsidRPr="006C375B">
        <w:t>17 december</w:t>
      </w:r>
      <w:r w:rsidR="00313201" w:rsidRPr="006C375B">
        <w:t xml:space="preserve"> – dagordningspunkt </w:t>
      </w:r>
      <w:r w:rsidR="008352D9" w:rsidRPr="006C375B">
        <w:t>12</w:t>
      </w:r>
      <w:r w:rsidR="007243CE" w:rsidRPr="006C375B">
        <w:t>.</w:t>
      </w:r>
    </w:p>
    <w:p w:rsidR="00670DC1" w:rsidRPr="006C375B" w:rsidRDefault="00670DC1" w:rsidP="008D743B">
      <w:pPr>
        <w:pStyle w:val="RKnormal"/>
        <w:spacing w:line="240" w:lineRule="auto"/>
      </w:pPr>
    </w:p>
    <w:p w:rsidR="00E6480E" w:rsidRPr="006C375B" w:rsidRDefault="00E6480E" w:rsidP="008D743B">
      <w:pPr>
        <w:pStyle w:val="RKnormal"/>
        <w:spacing w:line="240" w:lineRule="auto"/>
      </w:pPr>
      <w:r w:rsidRPr="006C375B">
        <w:t xml:space="preserve">Förslag till Europaparlamentets och rådets förordning  </w:t>
      </w:r>
      <w:r w:rsidR="00062870" w:rsidRPr="006C375B">
        <w:t xml:space="preserve">om </w:t>
      </w:r>
      <w:r w:rsidR="001B1E8A" w:rsidRPr="006C375B">
        <w:t xml:space="preserve">tillämpning av </w:t>
      </w:r>
      <w:r w:rsidR="00062870" w:rsidRPr="006C375B">
        <w:t xml:space="preserve"> förordning </w:t>
      </w:r>
      <w:r w:rsidRPr="006C375B">
        <w:t>(EG) nr 883/2004 om samordning av de sociala trygghetssystemen.</w:t>
      </w:r>
    </w:p>
    <w:p w:rsidR="00E6480E" w:rsidRPr="006C375B" w:rsidRDefault="00E6480E" w:rsidP="008D743B">
      <w:pPr>
        <w:pStyle w:val="RKnormal"/>
        <w:spacing w:line="240" w:lineRule="auto"/>
      </w:pPr>
    </w:p>
    <w:p w:rsidR="00E6480E" w:rsidRPr="006C375B" w:rsidRDefault="00E6480E" w:rsidP="008D743B">
      <w:pPr>
        <w:pStyle w:val="RKnormal"/>
        <w:spacing w:line="240" w:lineRule="auto"/>
      </w:pPr>
      <w:r w:rsidRPr="006C375B">
        <w:t>Dokument</w:t>
      </w:r>
      <w:r w:rsidR="00707C81" w:rsidRPr="006C375B">
        <w:t xml:space="preserve">: </w:t>
      </w:r>
      <w:r w:rsidR="008352D9" w:rsidRPr="006C375B">
        <w:t>14516/08 ADD 1 SOC 620 CODEC 1362</w:t>
      </w:r>
    </w:p>
    <w:p w:rsidR="00E6480E" w:rsidRPr="006C375B" w:rsidRDefault="00E6480E" w:rsidP="008D743B">
      <w:pPr>
        <w:pStyle w:val="RKnormal"/>
        <w:spacing w:line="240" w:lineRule="auto"/>
      </w:pPr>
    </w:p>
    <w:p w:rsidR="00816EB4" w:rsidRPr="006C375B" w:rsidRDefault="00E6480E" w:rsidP="00816EB4">
      <w:pPr>
        <w:pStyle w:val="RKnormal"/>
        <w:spacing w:line="240" w:lineRule="auto"/>
      </w:pPr>
      <w:r w:rsidRPr="006C375B">
        <w:t>Tidigare dokument:</w:t>
      </w:r>
      <w:r w:rsidRPr="006C375B">
        <w:rPr>
          <w:color w:val="000000"/>
        </w:rPr>
        <w:t xml:space="preserve"> </w:t>
      </w:r>
      <w:r w:rsidR="00816EB4" w:rsidRPr="006C375B">
        <w:rPr>
          <w:color w:val="000000"/>
        </w:rPr>
        <w:t>KOM (2006) 16 final,</w:t>
      </w:r>
      <w:r w:rsidR="00816EB4" w:rsidRPr="006C375B">
        <w:rPr>
          <w:rFonts w:ascii="Times New Roman" w:hAnsi="Times New Roman"/>
          <w:color w:val="000000"/>
        </w:rPr>
        <w:t xml:space="preserve"> KOM (2006) 7 slutlig, f</w:t>
      </w:r>
      <w:r w:rsidR="00816EB4" w:rsidRPr="006C375B">
        <w:t>akta-PM socialdepartementet 2005/2006 FPM76</w:t>
      </w:r>
    </w:p>
    <w:p w:rsidR="00644707" w:rsidRPr="006C375B" w:rsidRDefault="00644707" w:rsidP="008D743B">
      <w:pPr>
        <w:pStyle w:val="RKnormal"/>
        <w:spacing w:line="240" w:lineRule="auto"/>
      </w:pPr>
    </w:p>
    <w:p w:rsidR="00B312D4" w:rsidRPr="006C375B" w:rsidRDefault="00670DC1" w:rsidP="008D743B">
      <w:pPr>
        <w:pStyle w:val="RKrubrik"/>
        <w:spacing w:line="240" w:lineRule="auto"/>
        <w:rPr>
          <w:i/>
        </w:rPr>
      </w:pPr>
      <w:r w:rsidRPr="006C375B">
        <w:rPr>
          <w:i/>
        </w:rPr>
        <w:t>Bakgrund</w:t>
      </w:r>
    </w:p>
    <w:p w:rsidR="00816EB4" w:rsidRPr="006C375B" w:rsidRDefault="00816EB4" w:rsidP="00816EB4">
      <w:pPr>
        <w:pStyle w:val="RKnormal"/>
        <w:spacing w:line="240" w:lineRule="auto"/>
      </w:pPr>
      <w:r w:rsidRPr="006C375B">
        <w:t xml:space="preserve">Europaparlamentet och rådet antog den 29 april 2004 en ny förordning 883/2004 om samordning av de sociala trygghetssystemen. I artikel 89 i denna förordning anges att tillämpningsföreskrifter till förordningen måste utfärdas innan förordningen </w:t>
      </w:r>
      <w:smartTag w:uri="urn:schemas-microsoft-com:office:smarttags" w:element="State">
        <w:smartTag w:uri="urn:schemas-microsoft-com:office:smarttags" w:element="place">
          <w:r w:rsidRPr="006C375B">
            <w:t>kan</w:t>
          </w:r>
        </w:smartTag>
      </w:smartTag>
      <w:r w:rsidRPr="006C375B">
        <w:t xml:space="preserve"> börja tillämpas. En arbetsgrupp i rådet  har under det franska  ordförandeskapet </w:t>
      </w:r>
      <w:r w:rsidR="001D06C1" w:rsidRPr="006C375B">
        <w:t>slutbehandlat förslaget till tillämpningsförordning</w:t>
      </w:r>
      <w:r w:rsidR="008352D9" w:rsidRPr="006C375B">
        <w:t xml:space="preserve">. Vid denna behandling har Europaparlamentets förslag till 162 ändringar antagits i 145 fall helt eller delvis och i övriga fall hänvisat till övriga bestämmelser eller föreslagit andra skrivningar. Rådet antar nu en gemensam ståndpunkt </w:t>
      </w:r>
      <w:r w:rsidR="00FD71BC" w:rsidRPr="006C375B">
        <w:t>att lägga fram till E</w:t>
      </w:r>
      <w:r w:rsidR="008352D9" w:rsidRPr="006C375B">
        <w:t>uropaparlamente</w:t>
      </w:r>
      <w:r w:rsidR="00FD71BC" w:rsidRPr="006C375B">
        <w:t>t.</w:t>
      </w:r>
    </w:p>
    <w:p w:rsidR="00670DC1" w:rsidRPr="006C375B" w:rsidRDefault="00670DC1" w:rsidP="008D743B">
      <w:pPr>
        <w:pStyle w:val="RKrubrik"/>
        <w:spacing w:line="240" w:lineRule="auto"/>
        <w:rPr>
          <w:i/>
        </w:rPr>
      </w:pPr>
      <w:r w:rsidRPr="006C375B">
        <w:rPr>
          <w:i/>
        </w:rPr>
        <w:t>Rättslig grund och beslutsförfarande</w:t>
      </w:r>
    </w:p>
    <w:p w:rsidR="00670DC1" w:rsidRPr="006C375B" w:rsidRDefault="00670DC1" w:rsidP="00313201">
      <w:pPr>
        <w:pStyle w:val="RKnormal"/>
        <w:spacing w:line="240" w:lineRule="auto"/>
      </w:pPr>
      <w:r w:rsidRPr="006C375B">
        <w:t xml:space="preserve">Artikel 42 och 308 i EF. </w:t>
      </w:r>
      <w:r w:rsidR="00CB760C" w:rsidRPr="006C375B">
        <w:t>Rådet beslutar med en</w:t>
      </w:r>
      <w:r w:rsidR="00377772" w:rsidRPr="006C375B">
        <w:t>hällighet. Europaparlamentet är</w:t>
      </w:r>
      <w:r w:rsidRPr="006C375B">
        <w:t xml:space="preserve"> medbeslutande</w:t>
      </w:r>
      <w:r w:rsidR="00CB760C" w:rsidRPr="006C375B">
        <w:t>.</w:t>
      </w:r>
    </w:p>
    <w:p w:rsidR="00670DC1" w:rsidRPr="006C375B" w:rsidRDefault="00670DC1" w:rsidP="008D743B">
      <w:pPr>
        <w:pStyle w:val="RKnormal"/>
        <w:spacing w:line="240" w:lineRule="auto"/>
      </w:pPr>
    </w:p>
    <w:p w:rsidR="00670DC1" w:rsidRPr="006C375B" w:rsidRDefault="00670DC1" w:rsidP="008D743B">
      <w:pPr>
        <w:pStyle w:val="RKrubrik"/>
        <w:spacing w:line="240" w:lineRule="auto"/>
        <w:rPr>
          <w:i/>
          <w:iCs/>
        </w:rPr>
      </w:pPr>
      <w:r w:rsidRPr="006C375B">
        <w:rPr>
          <w:i/>
          <w:iCs/>
        </w:rPr>
        <w:t>Svensk ståndpunkt</w:t>
      </w:r>
    </w:p>
    <w:p w:rsidR="00670DC1" w:rsidRPr="006C375B" w:rsidRDefault="00CB760C" w:rsidP="008D743B">
      <w:pPr>
        <w:pStyle w:val="RKnormal"/>
        <w:spacing w:line="240" w:lineRule="auto"/>
      </w:pPr>
      <w:r w:rsidRPr="006C375B">
        <w:t xml:space="preserve"> Regeringen föreslår att Sverige </w:t>
      </w:r>
      <w:r w:rsidR="00670DC1" w:rsidRPr="006C375B">
        <w:t>stöder förslaget.</w:t>
      </w:r>
    </w:p>
    <w:p w:rsidR="00670DC1" w:rsidRPr="006C375B" w:rsidRDefault="00670DC1" w:rsidP="008D743B">
      <w:pPr>
        <w:pStyle w:val="RKrubrik"/>
        <w:spacing w:line="240" w:lineRule="auto"/>
        <w:rPr>
          <w:i/>
        </w:rPr>
      </w:pPr>
      <w:r w:rsidRPr="006C375B">
        <w:rPr>
          <w:i/>
        </w:rPr>
        <w:lastRenderedPageBreak/>
        <w:t>Europaparlamentets inställning</w:t>
      </w:r>
    </w:p>
    <w:p w:rsidR="0063631F" w:rsidRPr="006C375B" w:rsidRDefault="0063631F" w:rsidP="0063631F">
      <w:pPr>
        <w:pStyle w:val="RKnormal"/>
      </w:pPr>
      <w:r w:rsidRPr="006C375B">
        <w:t xml:space="preserve">Europaparlamentet har lämnat synpunkter på tillämpningsförordningen i en första läsning. Synpunkterna har </w:t>
      </w:r>
      <w:r w:rsidR="00FD71BC" w:rsidRPr="006C375B">
        <w:t>tillvaratagits i de flesta fall, dock återstår några frågor att lösa ut.</w:t>
      </w:r>
    </w:p>
    <w:p w:rsidR="00670DC1" w:rsidRPr="006C375B" w:rsidRDefault="00670DC1" w:rsidP="008D743B">
      <w:pPr>
        <w:pStyle w:val="RKrubrik"/>
        <w:spacing w:line="240" w:lineRule="auto"/>
        <w:rPr>
          <w:i/>
          <w:iCs/>
        </w:rPr>
      </w:pPr>
      <w:r w:rsidRPr="006C375B">
        <w:rPr>
          <w:i/>
          <w:iCs/>
        </w:rPr>
        <w:t>Förslaget</w:t>
      </w:r>
    </w:p>
    <w:p w:rsidR="000F0A35" w:rsidRPr="006C375B" w:rsidRDefault="0029291C" w:rsidP="008D743B">
      <w:pPr>
        <w:pStyle w:val="Punktlista"/>
        <w:numPr>
          <w:ilvl w:val="0"/>
          <w:numId w:val="0"/>
        </w:numPr>
        <w:spacing w:line="240" w:lineRule="auto"/>
        <w:rPr>
          <w:szCs w:val="24"/>
        </w:rPr>
      </w:pPr>
      <w:r w:rsidRPr="006C375B">
        <w:rPr>
          <w:szCs w:val="24"/>
        </w:rPr>
        <w:t xml:space="preserve">Flera av förslagen innebär </w:t>
      </w:r>
      <w:r w:rsidR="000F0A35" w:rsidRPr="006C375B">
        <w:rPr>
          <w:szCs w:val="24"/>
        </w:rPr>
        <w:t xml:space="preserve">bl. a. </w:t>
      </w:r>
      <w:r w:rsidRPr="006C375B">
        <w:rPr>
          <w:szCs w:val="24"/>
        </w:rPr>
        <w:t xml:space="preserve">förtydliganden av texten och angivande av mer detaljerade tidsgränser </w:t>
      </w:r>
      <w:r w:rsidR="00CB760C" w:rsidRPr="006C375B">
        <w:rPr>
          <w:szCs w:val="24"/>
        </w:rPr>
        <w:t xml:space="preserve">samt skarpare tidsgränser </w:t>
      </w:r>
      <w:r w:rsidRPr="006C375B">
        <w:rPr>
          <w:szCs w:val="24"/>
        </w:rPr>
        <w:t xml:space="preserve">för myndigheternas kommunikation. </w:t>
      </w:r>
    </w:p>
    <w:p w:rsidR="000F0A35" w:rsidRPr="006C375B" w:rsidRDefault="000F0A35" w:rsidP="008D743B">
      <w:pPr>
        <w:pStyle w:val="Punktlista"/>
        <w:numPr>
          <w:ilvl w:val="0"/>
          <w:numId w:val="0"/>
        </w:numPr>
        <w:spacing w:line="240" w:lineRule="auto"/>
        <w:rPr>
          <w:szCs w:val="24"/>
        </w:rPr>
      </w:pPr>
    </w:p>
    <w:p w:rsidR="00CB760C" w:rsidRPr="006C375B" w:rsidRDefault="00CB760C" w:rsidP="008D743B">
      <w:pPr>
        <w:pStyle w:val="Punktlista"/>
        <w:numPr>
          <w:ilvl w:val="0"/>
          <w:numId w:val="0"/>
        </w:numPr>
        <w:spacing w:line="240" w:lineRule="auto"/>
        <w:rPr>
          <w:i/>
          <w:szCs w:val="24"/>
        </w:rPr>
      </w:pPr>
      <w:r w:rsidRPr="006C375B">
        <w:rPr>
          <w:i/>
          <w:szCs w:val="24"/>
        </w:rPr>
        <w:t>Beaktandesatser</w:t>
      </w:r>
    </w:p>
    <w:p w:rsidR="00EC28B5" w:rsidRPr="006C375B" w:rsidRDefault="0029291C" w:rsidP="008D743B">
      <w:pPr>
        <w:pStyle w:val="Punktlista"/>
        <w:numPr>
          <w:ilvl w:val="0"/>
          <w:numId w:val="0"/>
        </w:numPr>
        <w:spacing w:line="240" w:lineRule="auto"/>
        <w:rPr>
          <w:szCs w:val="24"/>
        </w:rPr>
      </w:pPr>
      <w:r w:rsidRPr="006C375B">
        <w:rPr>
          <w:szCs w:val="24"/>
        </w:rPr>
        <w:t xml:space="preserve">I beaktandesatserna har </w:t>
      </w:r>
      <w:r w:rsidR="000F0A35" w:rsidRPr="006C375B">
        <w:rPr>
          <w:szCs w:val="24"/>
        </w:rPr>
        <w:t>t.ex.</w:t>
      </w:r>
      <w:r w:rsidR="00CB760C" w:rsidRPr="006C375B">
        <w:rPr>
          <w:szCs w:val="24"/>
        </w:rPr>
        <w:t xml:space="preserve"> </w:t>
      </w:r>
      <w:r w:rsidR="00E25035" w:rsidRPr="006C375B">
        <w:rPr>
          <w:szCs w:val="24"/>
        </w:rPr>
        <w:t xml:space="preserve">vad gäller fastställande av en persons bosättning </w:t>
      </w:r>
      <w:r w:rsidRPr="006C375B">
        <w:rPr>
          <w:szCs w:val="24"/>
        </w:rPr>
        <w:t xml:space="preserve">en mer generell skrivning antagits för att myndigheterna ska </w:t>
      </w:r>
      <w:r w:rsidR="00BC15E7" w:rsidRPr="006C375B">
        <w:rPr>
          <w:szCs w:val="24"/>
        </w:rPr>
        <w:t xml:space="preserve">ta hänsyn till </w:t>
      </w:r>
      <w:r w:rsidRPr="006C375B">
        <w:rPr>
          <w:szCs w:val="24"/>
        </w:rPr>
        <w:t xml:space="preserve">alla relevanta bestämmelser i förordningen i händelse av tvist </w:t>
      </w:r>
      <w:r w:rsidR="00BC15E7" w:rsidRPr="006C375B">
        <w:rPr>
          <w:szCs w:val="24"/>
        </w:rPr>
        <w:t xml:space="preserve">var en </w:t>
      </w:r>
      <w:r w:rsidRPr="006C375B">
        <w:rPr>
          <w:szCs w:val="24"/>
        </w:rPr>
        <w:t>person</w:t>
      </w:r>
      <w:r w:rsidR="00BC15E7" w:rsidRPr="006C375B">
        <w:rPr>
          <w:szCs w:val="24"/>
        </w:rPr>
        <w:t xml:space="preserve"> är bosatt.</w:t>
      </w:r>
      <w:r w:rsidRPr="006C375B">
        <w:rPr>
          <w:szCs w:val="24"/>
        </w:rPr>
        <w:t xml:space="preserve"> </w:t>
      </w:r>
      <w:r w:rsidR="00EC28B5" w:rsidRPr="006C375B">
        <w:rPr>
          <w:szCs w:val="24"/>
        </w:rPr>
        <w:t xml:space="preserve"> </w:t>
      </w:r>
    </w:p>
    <w:p w:rsidR="00EC28B5" w:rsidRPr="006C375B" w:rsidRDefault="00EC28B5" w:rsidP="008D743B">
      <w:pPr>
        <w:pStyle w:val="Punktlista"/>
        <w:numPr>
          <w:ilvl w:val="0"/>
          <w:numId w:val="0"/>
        </w:numPr>
        <w:spacing w:line="240" w:lineRule="auto"/>
        <w:rPr>
          <w:szCs w:val="24"/>
        </w:rPr>
      </w:pPr>
    </w:p>
    <w:p w:rsidR="00CB760C" w:rsidRPr="006C375B" w:rsidRDefault="00CB760C" w:rsidP="008D743B">
      <w:pPr>
        <w:pStyle w:val="Punktlista"/>
        <w:numPr>
          <w:ilvl w:val="0"/>
          <w:numId w:val="0"/>
        </w:numPr>
        <w:spacing w:line="240" w:lineRule="auto"/>
        <w:rPr>
          <w:i/>
          <w:szCs w:val="24"/>
        </w:rPr>
      </w:pPr>
      <w:r w:rsidRPr="006C375B">
        <w:rPr>
          <w:i/>
          <w:szCs w:val="24"/>
        </w:rPr>
        <w:t>Tidsgränser</w:t>
      </w:r>
    </w:p>
    <w:p w:rsidR="00EC28B5" w:rsidRPr="006C375B" w:rsidRDefault="000F0A35" w:rsidP="008D743B">
      <w:pPr>
        <w:pStyle w:val="Punktlista"/>
        <w:numPr>
          <w:ilvl w:val="0"/>
          <w:numId w:val="0"/>
        </w:numPr>
        <w:spacing w:line="240" w:lineRule="auto"/>
        <w:rPr>
          <w:szCs w:val="24"/>
        </w:rPr>
      </w:pPr>
      <w:r w:rsidRPr="006C375B">
        <w:rPr>
          <w:szCs w:val="24"/>
        </w:rPr>
        <w:t xml:space="preserve">Mer detaljerade tidsgränser där </w:t>
      </w:r>
      <w:r w:rsidR="00CB760C" w:rsidRPr="006C375B">
        <w:rPr>
          <w:szCs w:val="24"/>
        </w:rPr>
        <w:t xml:space="preserve">Europaparlamentets </w:t>
      </w:r>
      <w:r w:rsidRPr="006C375B">
        <w:rPr>
          <w:szCs w:val="24"/>
        </w:rPr>
        <w:t>ändringsförslag kopplats till tidsgränser i medlemsstaternas nationella lagstiftning har ersatts med ”utan dröjsmål” för att få gemensamma standarder och undvika problem som kan uppstå på grund av långa nationella tidsgränser eller</w:t>
      </w:r>
      <w:r w:rsidR="00CB760C" w:rsidRPr="006C375B">
        <w:rPr>
          <w:szCs w:val="24"/>
        </w:rPr>
        <w:t xml:space="preserve"> att </w:t>
      </w:r>
      <w:r w:rsidRPr="006C375B">
        <w:rPr>
          <w:szCs w:val="24"/>
        </w:rPr>
        <w:t xml:space="preserve"> tidsgränser </w:t>
      </w:r>
      <w:r w:rsidR="00CB760C" w:rsidRPr="006C375B">
        <w:rPr>
          <w:szCs w:val="24"/>
        </w:rPr>
        <w:t>saknas.</w:t>
      </w:r>
      <w:r w:rsidR="00EC28B5" w:rsidRPr="006C375B">
        <w:rPr>
          <w:szCs w:val="24"/>
        </w:rPr>
        <w:t xml:space="preserve"> </w:t>
      </w:r>
    </w:p>
    <w:p w:rsidR="00EC28B5" w:rsidRPr="006C375B" w:rsidRDefault="00EC28B5" w:rsidP="008D743B">
      <w:pPr>
        <w:pStyle w:val="Punktlista"/>
        <w:numPr>
          <w:ilvl w:val="0"/>
          <w:numId w:val="0"/>
        </w:numPr>
        <w:spacing w:line="240" w:lineRule="auto"/>
        <w:rPr>
          <w:szCs w:val="24"/>
        </w:rPr>
      </w:pPr>
    </w:p>
    <w:p w:rsidR="00CB760C" w:rsidRPr="006C375B" w:rsidRDefault="00CB760C" w:rsidP="008D743B">
      <w:pPr>
        <w:pStyle w:val="Punktlista"/>
        <w:numPr>
          <w:ilvl w:val="0"/>
          <w:numId w:val="0"/>
        </w:numPr>
        <w:spacing w:line="240" w:lineRule="auto"/>
        <w:rPr>
          <w:i/>
          <w:szCs w:val="24"/>
        </w:rPr>
      </w:pPr>
      <w:r w:rsidRPr="006C375B">
        <w:rPr>
          <w:i/>
          <w:szCs w:val="24"/>
        </w:rPr>
        <w:t>Sjukvård som ges i annan medlemsstat än den behöriga</w:t>
      </w:r>
    </w:p>
    <w:p w:rsidR="00DE0D44" w:rsidRPr="006C375B" w:rsidRDefault="000F0A35" w:rsidP="008D743B">
      <w:pPr>
        <w:pStyle w:val="Punktlista"/>
        <w:numPr>
          <w:ilvl w:val="0"/>
          <w:numId w:val="0"/>
        </w:numPr>
        <w:spacing w:line="240" w:lineRule="auto"/>
        <w:rPr>
          <w:szCs w:val="24"/>
        </w:rPr>
      </w:pPr>
      <w:r w:rsidRPr="006C375B">
        <w:rPr>
          <w:szCs w:val="24"/>
        </w:rPr>
        <w:t>Artikel 26(2) rör den speciella situationen dä</w:t>
      </w:r>
      <w:r w:rsidR="00420973" w:rsidRPr="006C375B">
        <w:rPr>
          <w:szCs w:val="24"/>
        </w:rPr>
        <w:t>r</w:t>
      </w:r>
      <w:r w:rsidRPr="006C375B">
        <w:rPr>
          <w:szCs w:val="24"/>
        </w:rPr>
        <w:t xml:space="preserve"> en </w:t>
      </w:r>
      <w:r w:rsidR="00420973" w:rsidRPr="006C375B">
        <w:rPr>
          <w:szCs w:val="24"/>
        </w:rPr>
        <w:t>försäkrad</w:t>
      </w:r>
      <w:r w:rsidRPr="006C375B">
        <w:rPr>
          <w:szCs w:val="24"/>
        </w:rPr>
        <w:t xml:space="preserve"> person </w:t>
      </w:r>
      <w:r w:rsidR="00420973" w:rsidRPr="006C375B">
        <w:rPr>
          <w:szCs w:val="24"/>
        </w:rPr>
        <w:t xml:space="preserve">inte är bosatt i den behöriga medlemsstaten och ska ansöka om tillstånd att få planerad vård i en annan medlemsstat än bosättningsstaten. Om tillstånd i den behöriga medlemsstaten inte ges inom den tid som gäller där ska tillstånd ändå anses ha givits. Europaparlamentets förslag innebär att sådant tillstånd ska ges inom 15 dagar. Rådet anser att en sådan tidsfrist inte är möjlig att uppehålla och att tidsfristen </w:t>
      </w:r>
      <w:r w:rsidR="00CB760C" w:rsidRPr="006C375B">
        <w:rPr>
          <w:szCs w:val="24"/>
        </w:rPr>
        <w:t xml:space="preserve"> istället </w:t>
      </w:r>
      <w:r w:rsidR="00DE0D44" w:rsidRPr="006C375B">
        <w:rPr>
          <w:szCs w:val="24"/>
        </w:rPr>
        <w:t xml:space="preserve"> </w:t>
      </w:r>
      <w:r w:rsidR="00420973" w:rsidRPr="006C375B">
        <w:rPr>
          <w:szCs w:val="24"/>
        </w:rPr>
        <w:t xml:space="preserve">bör anges av den behöriga medlemsstatens nationella lagstiftning. </w:t>
      </w:r>
    </w:p>
    <w:p w:rsidR="00420973" w:rsidRPr="006C375B" w:rsidRDefault="00420973" w:rsidP="008D743B">
      <w:pPr>
        <w:pStyle w:val="Punktlista"/>
        <w:numPr>
          <w:ilvl w:val="0"/>
          <w:numId w:val="0"/>
        </w:numPr>
        <w:spacing w:line="240" w:lineRule="auto"/>
        <w:rPr>
          <w:szCs w:val="24"/>
        </w:rPr>
      </w:pPr>
      <w:r w:rsidRPr="006C375B">
        <w:rPr>
          <w:szCs w:val="24"/>
        </w:rPr>
        <w:t xml:space="preserve">  </w:t>
      </w:r>
    </w:p>
    <w:p w:rsidR="00571A05" w:rsidRPr="006C375B" w:rsidRDefault="00DE0D44" w:rsidP="008D743B">
      <w:pPr>
        <w:pStyle w:val="Punktlista"/>
        <w:numPr>
          <w:ilvl w:val="0"/>
          <w:numId w:val="0"/>
        </w:numPr>
        <w:spacing w:line="240" w:lineRule="auto"/>
        <w:rPr>
          <w:szCs w:val="24"/>
        </w:rPr>
      </w:pPr>
      <w:r w:rsidRPr="006C375B">
        <w:rPr>
          <w:szCs w:val="24"/>
        </w:rPr>
        <w:t xml:space="preserve">Några av </w:t>
      </w:r>
      <w:r w:rsidR="005E6135" w:rsidRPr="006C375B">
        <w:rPr>
          <w:szCs w:val="24"/>
        </w:rPr>
        <w:t xml:space="preserve">Europaparlamentets förslag har  </w:t>
      </w:r>
      <w:r w:rsidR="00571A05" w:rsidRPr="006C375B">
        <w:rPr>
          <w:szCs w:val="24"/>
        </w:rPr>
        <w:t xml:space="preserve">inte beaktats </w:t>
      </w:r>
      <w:r w:rsidR="00CB760C" w:rsidRPr="006C375B">
        <w:rPr>
          <w:szCs w:val="24"/>
        </w:rPr>
        <w:t xml:space="preserve">av rådet </w:t>
      </w:r>
      <w:r w:rsidR="005E6135" w:rsidRPr="006C375B">
        <w:rPr>
          <w:szCs w:val="24"/>
        </w:rPr>
        <w:t xml:space="preserve">då man ansett att de </w:t>
      </w:r>
      <w:r w:rsidR="00CB760C" w:rsidRPr="006C375B">
        <w:rPr>
          <w:szCs w:val="24"/>
        </w:rPr>
        <w:t xml:space="preserve">har </w:t>
      </w:r>
      <w:r w:rsidR="005E6135" w:rsidRPr="006C375B">
        <w:rPr>
          <w:szCs w:val="24"/>
        </w:rPr>
        <w:t xml:space="preserve">tillvaratagits på annat sätt i förordningen eller </w:t>
      </w:r>
      <w:r w:rsidR="0013589B" w:rsidRPr="006C375B">
        <w:rPr>
          <w:szCs w:val="24"/>
        </w:rPr>
        <w:t xml:space="preserve">innebär att reglerna i förordningen gåt utöver vad som är nödvändigt för att uppnå målet med förordningen. T.ex. har rådet inte accepterat att </w:t>
      </w:r>
      <w:r w:rsidR="00571A05" w:rsidRPr="006C375B">
        <w:rPr>
          <w:szCs w:val="24"/>
        </w:rPr>
        <w:t xml:space="preserve">reglera rätten till ersättning för </w:t>
      </w:r>
      <w:r w:rsidR="0013589B" w:rsidRPr="006C375B">
        <w:rPr>
          <w:szCs w:val="24"/>
        </w:rPr>
        <w:t xml:space="preserve">resekostnader för en medföljande person </w:t>
      </w:r>
      <w:r w:rsidR="00EC28B5" w:rsidRPr="006C375B">
        <w:rPr>
          <w:szCs w:val="24"/>
        </w:rPr>
        <w:t>till en funktionshindrad försäkrad</w:t>
      </w:r>
      <w:r w:rsidR="00571A05" w:rsidRPr="006C375B">
        <w:rPr>
          <w:szCs w:val="24"/>
        </w:rPr>
        <w:t xml:space="preserve"> som vårdas i en annan medlemsstat</w:t>
      </w:r>
      <w:r w:rsidR="00EC28B5" w:rsidRPr="006C375B">
        <w:rPr>
          <w:szCs w:val="24"/>
        </w:rPr>
        <w:t xml:space="preserve">. </w:t>
      </w:r>
    </w:p>
    <w:p w:rsidR="008C6C23" w:rsidRPr="006C375B" w:rsidRDefault="00EC28B5" w:rsidP="008D743B">
      <w:pPr>
        <w:pStyle w:val="Punktlista"/>
        <w:numPr>
          <w:ilvl w:val="0"/>
          <w:numId w:val="0"/>
        </w:numPr>
        <w:spacing w:line="240" w:lineRule="auto"/>
        <w:rPr>
          <w:szCs w:val="24"/>
        </w:rPr>
      </w:pPr>
      <w:r w:rsidRPr="006C375B">
        <w:rPr>
          <w:szCs w:val="24"/>
        </w:rPr>
        <w:t xml:space="preserve">Rådets förslag innebär </w:t>
      </w:r>
      <w:r w:rsidR="00571A05" w:rsidRPr="006C375B">
        <w:rPr>
          <w:szCs w:val="24"/>
        </w:rPr>
        <w:t xml:space="preserve">istället </w:t>
      </w:r>
      <w:r w:rsidRPr="006C375B">
        <w:rPr>
          <w:szCs w:val="24"/>
        </w:rPr>
        <w:t xml:space="preserve">att ersättning för resekostnader uppehälle ska ersättas om de är direkt kopplade till behandlingen av den försäkrade personen och om ersättning skulle givits i den nationella lagstiftningen. Om nödvändigt kan även kostnader för en medföljande person ersättas. Rådet anser att Europaparlamentets förslag går utöver vad samordningsreglerna kräver och skapar en </w:t>
      </w:r>
      <w:r w:rsidR="008C6C23" w:rsidRPr="006C375B">
        <w:rPr>
          <w:szCs w:val="24"/>
        </w:rPr>
        <w:t xml:space="preserve">obligatorisk </w:t>
      </w:r>
      <w:r w:rsidRPr="006C375B">
        <w:rPr>
          <w:szCs w:val="24"/>
        </w:rPr>
        <w:t xml:space="preserve">rätt till ersättning </w:t>
      </w:r>
      <w:r w:rsidR="008C6C23" w:rsidRPr="006C375B">
        <w:rPr>
          <w:szCs w:val="24"/>
        </w:rPr>
        <w:t xml:space="preserve">till en sjukförsäkringsförmån som kanske inte finns i </w:t>
      </w:r>
      <w:r w:rsidR="00CB760C" w:rsidRPr="006C375B">
        <w:rPr>
          <w:szCs w:val="24"/>
        </w:rPr>
        <w:t xml:space="preserve">alla </w:t>
      </w:r>
      <w:r w:rsidR="008C6C23" w:rsidRPr="006C375B">
        <w:rPr>
          <w:szCs w:val="24"/>
        </w:rPr>
        <w:t xml:space="preserve"> medlemsstat</w:t>
      </w:r>
      <w:r w:rsidR="00CB760C" w:rsidRPr="006C375B">
        <w:rPr>
          <w:szCs w:val="24"/>
        </w:rPr>
        <w:t>er</w:t>
      </w:r>
      <w:r w:rsidR="008C6C23" w:rsidRPr="006C375B">
        <w:rPr>
          <w:szCs w:val="24"/>
        </w:rPr>
        <w:t>.</w:t>
      </w:r>
    </w:p>
    <w:p w:rsidR="008C6C23" w:rsidRPr="006C375B" w:rsidRDefault="008C6C23" w:rsidP="008D743B">
      <w:pPr>
        <w:pStyle w:val="Punktlista"/>
        <w:numPr>
          <w:ilvl w:val="0"/>
          <w:numId w:val="0"/>
        </w:numPr>
        <w:spacing w:line="240" w:lineRule="auto"/>
        <w:rPr>
          <w:szCs w:val="24"/>
        </w:rPr>
      </w:pPr>
    </w:p>
    <w:p w:rsidR="00CB760C" w:rsidRPr="006C375B" w:rsidRDefault="00CB760C" w:rsidP="008C6C23">
      <w:pPr>
        <w:pStyle w:val="Punktlista"/>
        <w:numPr>
          <w:ilvl w:val="0"/>
          <w:numId w:val="0"/>
        </w:numPr>
        <w:spacing w:line="240" w:lineRule="auto"/>
      </w:pPr>
    </w:p>
    <w:p w:rsidR="00CB760C" w:rsidRPr="006C375B" w:rsidRDefault="00CB760C" w:rsidP="008C6C23">
      <w:pPr>
        <w:pStyle w:val="Punktlista"/>
        <w:numPr>
          <w:ilvl w:val="0"/>
          <w:numId w:val="0"/>
        </w:numPr>
        <w:spacing w:line="240" w:lineRule="auto"/>
        <w:rPr>
          <w:i/>
        </w:rPr>
      </w:pPr>
      <w:r w:rsidRPr="006C375B">
        <w:rPr>
          <w:i/>
        </w:rPr>
        <w:t>Tidsfrister för att reglera fordringar för sjukvårdskostnader mellan myndigheterna i medlemsstaterna enligt artikel 66</w:t>
      </w:r>
    </w:p>
    <w:p w:rsidR="008C6C23" w:rsidRPr="006C375B" w:rsidRDefault="008C6C23" w:rsidP="008C6C23">
      <w:pPr>
        <w:pStyle w:val="Punktlista"/>
        <w:numPr>
          <w:ilvl w:val="0"/>
          <w:numId w:val="0"/>
        </w:numPr>
        <w:spacing w:line="240" w:lineRule="auto"/>
      </w:pPr>
      <w:r w:rsidRPr="006C375B">
        <w:t>Europaparlamentets förslag till begränsningar i tiderna för återbetalning av sjukvårdskostnader för inlämnande och reglering av fordringar</w:t>
      </w:r>
      <w:r w:rsidR="00907554" w:rsidRPr="006C375B">
        <w:t xml:space="preserve"> har inte kunnat antas eftersom det f.n saknas administrativa rutiner i medlemsstaterna för denna hantering. </w:t>
      </w:r>
      <w:r w:rsidRPr="006C375B">
        <w:t xml:space="preserve"> Rådet har funnit att man redan introducerat vissa skarpare regler genom att införa </w:t>
      </w:r>
      <w:r w:rsidR="00907554" w:rsidRPr="006C375B">
        <w:t xml:space="preserve">möjligheter att påföra en medlemsstat som dröjer med betalning </w:t>
      </w:r>
      <w:r w:rsidRPr="006C375B">
        <w:t xml:space="preserve">dröjsmålsränta </w:t>
      </w:r>
      <w:r w:rsidR="00907554" w:rsidRPr="006C375B">
        <w:t xml:space="preserve">och att införa en möjlighet att reglera delar av fordringen med </w:t>
      </w:r>
      <w:r w:rsidRPr="006C375B">
        <w:t xml:space="preserve">avbetalningar. Dessutom anser man att de nya rutinerna måste tillämpas innan man kan utvärdera effekterna av de nya reglerna. Därför har man infört regler om att en utvärdering ska ske inom </w:t>
      </w:r>
      <w:r w:rsidR="004E6E4D" w:rsidRPr="006C375B">
        <w:t>fyra år efter det att förordningen trätt i kraft. Rådet erinrar även att den enskilde försäkrade inte är berörd av betalningshanteringen mellan myndigheterna.</w:t>
      </w:r>
    </w:p>
    <w:p w:rsidR="004E6E4D" w:rsidRPr="006C375B" w:rsidRDefault="004E6E4D" w:rsidP="008C6C23">
      <w:pPr>
        <w:pStyle w:val="Punktlista"/>
        <w:numPr>
          <w:ilvl w:val="0"/>
          <w:numId w:val="0"/>
        </w:numPr>
        <w:spacing w:line="240" w:lineRule="auto"/>
      </w:pPr>
    </w:p>
    <w:p w:rsidR="004E6E4D" w:rsidRPr="006C375B" w:rsidRDefault="00907554" w:rsidP="008C6C23">
      <w:pPr>
        <w:pStyle w:val="Punktlista"/>
        <w:numPr>
          <w:ilvl w:val="0"/>
          <w:numId w:val="0"/>
        </w:numPr>
        <w:spacing w:line="240" w:lineRule="auto"/>
        <w:rPr>
          <w:i/>
        </w:rPr>
      </w:pPr>
      <w:r w:rsidRPr="006C375B">
        <w:rPr>
          <w:i/>
        </w:rPr>
        <w:t>Rådets förslag till diverse ändringar</w:t>
      </w:r>
    </w:p>
    <w:p w:rsidR="004E6E4D" w:rsidRPr="006C375B" w:rsidRDefault="004E6E4D" w:rsidP="008C6C23">
      <w:pPr>
        <w:pStyle w:val="Punktlista"/>
        <w:numPr>
          <w:ilvl w:val="0"/>
          <w:numId w:val="0"/>
        </w:numPr>
        <w:spacing w:line="240" w:lineRule="auto"/>
      </w:pPr>
      <w:r w:rsidRPr="006C375B">
        <w:t xml:space="preserve">Rådet har vad avser förmåner vid olycksfall i arbetet och arbetssjukdomar förstärkt enskildas rättigheter </w:t>
      </w:r>
      <w:r w:rsidR="001E77A6" w:rsidRPr="006C375B">
        <w:t xml:space="preserve">genom ett tillägg i förordningen 883/2004. Tillägget innebär att reglerna kopplas till </w:t>
      </w:r>
      <w:r w:rsidR="00E25035" w:rsidRPr="006C375B">
        <w:t xml:space="preserve">bestämmelserna om </w:t>
      </w:r>
      <w:r w:rsidR="001E77A6" w:rsidRPr="006C375B">
        <w:t xml:space="preserve"> sjukvårdsförmå</w:t>
      </w:r>
      <w:r w:rsidR="0094420F" w:rsidRPr="006C375B">
        <w:t xml:space="preserve">ner och att eventuella rättigheter utöver dessa kan gälla i fall då arbetsskada kan konstateras. Ändringar i förslaget har även gjorts för vissa övergångsbestämmelser för ikraftträdande av förordningarna samt innehållet i bilageanteckningar för bl.a. bilaterala konventioner som alltjämt ska gälla för medlemsstaterna. </w:t>
      </w:r>
    </w:p>
    <w:p w:rsidR="008C6C23" w:rsidRPr="006C375B" w:rsidRDefault="008C6C23" w:rsidP="008C6C23">
      <w:pPr>
        <w:pStyle w:val="Punktlista"/>
        <w:numPr>
          <w:ilvl w:val="0"/>
          <w:numId w:val="0"/>
        </w:numPr>
        <w:spacing w:line="240" w:lineRule="auto"/>
      </w:pPr>
    </w:p>
    <w:p w:rsidR="00670DC1" w:rsidRPr="006C375B" w:rsidRDefault="00670DC1" w:rsidP="008C6C23">
      <w:pPr>
        <w:pStyle w:val="Punktlista"/>
        <w:numPr>
          <w:ilvl w:val="0"/>
          <w:numId w:val="0"/>
        </w:numPr>
        <w:spacing w:line="240" w:lineRule="auto"/>
        <w:rPr>
          <w:rFonts w:ascii="TradeGothic" w:hAnsi="TradeGothic"/>
          <w:b/>
          <w:i/>
          <w:iCs/>
          <w:sz w:val="22"/>
          <w:szCs w:val="22"/>
        </w:rPr>
      </w:pPr>
      <w:r w:rsidRPr="006C375B">
        <w:rPr>
          <w:rFonts w:ascii="TradeGothic" w:hAnsi="TradeGothic"/>
          <w:b/>
          <w:i/>
          <w:iCs/>
          <w:sz w:val="22"/>
          <w:szCs w:val="22"/>
        </w:rPr>
        <w:t>Gällande svenska regler och förslagets effekter på dessa</w:t>
      </w:r>
      <w:r w:rsidR="009E5758" w:rsidRPr="006C375B">
        <w:rPr>
          <w:rFonts w:ascii="TradeGothic" w:hAnsi="TradeGothic"/>
          <w:b/>
          <w:i/>
          <w:iCs/>
          <w:sz w:val="22"/>
          <w:szCs w:val="22"/>
        </w:rPr>
        <w:t>.</w:t>
      </w:r>
    </w:p>
    <w:p w:rsidR="009E5758" w:rsidRPr="006C375B" w:rsidRDefault="00907554" w:rsidP="009E5758">
      <w:pPr>
        <w:pStyle w:val="RKnormal"/>
      </w:pPr>
      <w:r w:rsidRPr="006C375B">
        <w:t xml:space="preserve">Förslaget innebär  inga </w:t>
      </w:r>
      <w:r w:rsidR="00B05A6D" w:rsidRPr="006C375B">
        <w:t xml:space="preserve"> direkta ändringar i sakförhållanden</w:t>
      </w:r>
      <w:r w:rsidRPr="006C375B">
        <w:t xml:space="preserve"> som berör svenska </w:t>
      </w:r>
      <w:r w:rsidR="001A0103" w:rsidRPr="006C375B">
        <w:t>förhållanden</w:t>
      </w:r>
      <w:r w:rsidRPr="006C375B">
        <w:t>. D</w:t>
      </w:r>
      <w:r w:rsidR="00B05A6D" w:rsidRPr="006C375B">
        <w:t>äremot kommer förordningen att innebära att myndigheterna måste samarbeta på ett effektivare sätt, genom att införa regler för elektroniskt informationsutbyte.</w:t>
      </w:r>
      <w:r w:rsidR="00154C9F" w:rsidRPr="006C375B">
        <w:t xml:space="preserve"> </w:t>
      </w:r>
      <w:r w:rsidR="00E25035" w:rsidRPr="006C375B">
        <w:t xml:space="preserve">Det innebär att Sveriges på nationell nivå måste göra ett sådant informationsutbyte möjligt. </w:t>
      </w:r>
      <w:r w:rsidR="00154C9F" w:rsidRPr="006C375B">
        <w:t>Det nya förbättrade samarbetet mellan myndigheterna innebär också en utökad skyldighet</w:t>
      </w:r>
      <w:r w:rsidRPr="006C375B">
        <w:t xml:space="preserve"> -  i Sverige och i andra medlemsstater - </w:t>
      </w:r>
      <w:r w:rsidR="00154C9F" w:rsidRPr="006C375B">
        <w:t xml:space="preserve"> att tillhandahålla andra myndigheter information om försäkrade personer.</w:t>
      </w:r>
    </w:p>
    <w:p w:rsidR="00571A05" w:rsidRPr="006C375B" w:rsidRDefault="00670DC1" w:rsidP="00571A05">
      <w:pPr>
        <w:pStyle w:val="RKrubrik"/>
        <w:spacing w:line="240" w:lineRule="auto"/>
      </w:pPr>
      <w:r w:rsidRPr="006C375B">
        <w:t>Ekonomiska konsekvenser</w:t>
      </w:r>
    </w:p>
    <w:p w:rsidR="00670DC1" w:rsidRPr="006C375B" w:rsidRDefault="00670DC1" w:rsidP="00571A05">
      <w:pPr>
        <w:pStyle w:val="RKrubrik"/>
        <w:spacing w:line="240" w:lineRule="auto"/>
        <w:rPr>
          <w:rFonts w:ascii="OrigGarmnd BT" w:hAnsi="OrigGarmnd BT"/>
          <w:b w:val="0"/>
        </w:rPr>
      </w:pPr>
      <w:r w:rsidRPr="006C375B">
        <w:rPr>
          <w:rFonts w:ascii="OrigGarmnd BT" w:hAnsi="OrigGarmnd BT"/>
          <w:b w:val="0"/>
        </w:rPr>
        <w:t>Inga kända</w:t>
      </w:r>
    </w:p>
    <w:p w:rsidR="00670DC1" w:rsidRPr="006C375B" w:rsidRDefault="00670DC1" w:rsidP="008D743B">
      <w:pPr>
        <w:pStyle w:val="RKrubrik"/>
        <w:spacing w:line="240" w:lineRule="auto"/>
        <w:rPr>
          <w:i/>
        </w:rPr>
      </w:pPr>
      <w:r w:rsidRPr="006C375B">
        <w:rPr>
          <w:i/>
        </w:rPr>
        <w:t>Övrigt</w:t>
      </w:r>
    </w:p>
    <w:p w:rsidR="00670DC1" w:rsidRPr="006C375B" w:rsidRDefault="00670DC1" w:rsidP="008D743B">
      <w:pPr>
        <w:pStyle w:val="RKnormal"/>
        <w:spacing w:line="240" w:lineRule="auto"/>
      </w:pPr>
    </w:p>
    <w:p w:rsidR="00670DC1" w:rsidRPr="006C375B" w:rsidRDefault="00670DC1" w:rsidP="008D743B">
      <w:pPr>
        <w:pStyle w:val="RKnormal"/>
        <w:spacing w:line="240" w:lineRule="auto"/>
        <w:rPr>
          <w:i/>
          <w:iCs/>
        </w:rPr>
      </w:pPr>
    </w:p>
    <w:p w:rsidR="00670DC1" w:rsidRPr="006C375B" w:rsidRDefault="00670DC1" w:rsidP="008D743B">
      <w:pPr>
        <w:pStyle w:val="RKnormal"/>
        <w:spacing w:line="240" w:lineRule="auto"/>
        <w:ind w:left="-1134"/>
      </w:pPr>
    </w:p>
    <w:p w:rsidR="00670DC1" w:rsidRPr="006C375B" w:rsidRDefault="00670DC1" w:rsidP="008D743B">
      <w:pPr>
        <w:pStyle w:val="RKrubrik"/>
        <w:spacing w:before="0" w:after="0" w:line="240" w:lineRule="auto"/>
      </w:pPr>
    </w:p>
    <w:p w:rsidR="00670DC1" w:rsidRPr="006C375B" w:rsidRDefault="00670DC1" w:rsidP="008D743B">
      <w:pPr>
        <w:pStyle w:val="RKnormal"/>
        <w:spacing w:line="240" w:lineRule="auto"/>
      </w:pPr>
    </w:p>
    <w:p w:rsidR="00670DC1" w:rsidRPr="006C375B" w:rsidRDefault="00670DC1" w:rsidP="008D743B">
      <w:pPr>
        <w:pStyle w:val="RKnormal"/>
        <w:spacing w:line="240" w:lineRule="auto"/>
      </w:pPr>
    </w:p>
    <w:sectPr w:rsidR="00670DC1" w:rsidRPr="006C37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3DC" w:rsidRPr="006C375B" w:rsidRDefault="000E13DC">
      <w:r w:rsidRPr="006C375B">
        <w:separator/>
      </w:r>
    </w:p>
  </w:endnote>
  <w:endnote w:type="continuationSeparator" w:id="0">
    <w:p w:rsidR="000E13DC" w:rsidRPr="006C375B" w:rsidRDefault="000E13DC">
      <w:r w:rsidRPr="006C3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3DC" w:rsidRPr="006C375B" w:rsidRDefault="000E13DC">
      <w:r w:rsidRPr="006C375B">
        <w:separator/>
      </w:r>
    </w:p>
  </w:footnote>
  <w:footnote w:type="continuationSeparator" w:id="0">
    <w:p w:rsidR="000E13DC" w:rsidRPr="006C375B" w:rsidRDefault="000E13DC">
      <w:r w:rsidRPr="006C3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3" w:rsidRPr="006C375B" w:rsidRDefault="001A0103">
    <w:pPr>
      <w:pStyle w:val="Sidhuvud"/>
      <w:framePr w:wrap="around" w:vAnchor="text" w:hAnchor="margin" w:xAlign="right" w:y="1"/>
      <w:rPr>
        <w:rStyle w:val="Sidnummer"/>
      </w:rPr>
    </w:pPr>
    <w:r w:rsidRPr="006C375B">
      <w:rPr>
        <w:rStyle w:val="Sidnummer"/>
      </w:rPr>
      <w:fldChar w:fldCharType="begin" w:fldLock="1"/>
    </w:r>
    <w:r w:rsidRPr="006C375B">
      <w:rPr>
        <w:rStyle w:val="Sidnummer"/>
      </w:rPr>
      <w:instrText xml:space="preserve">PAGE  </w:instrText>
    </w:r>
    <w:r w:rsidRPr="006C375B">
      <w:rPr>
        <w:rStyle w:val="Sidnummer"/>
      </w:rPr>
      <w:fldChar w:fldCharType="separate"/>
    </w:r>
    <w:r w:rsidR="00377772" w:rsidRPr="006C375B">
      <w:rPr>
        <w:rStyle w:val="Sidnummer"/>
      </w:rPr>
      <w:t>2</w:t>
    </w:r>
    <w:r w:rsidRPr="006C375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A0103" w:rsidRPr="006C375B">
      <w:tblPrEx>
        <w:tblCellMar>
          <w:top w:w="0" w:type="dxa"/>
          <w:bottom w:w="0" w:type="dxa"/>
        </w:tblCellMar>
      </w:tblPrEx>
      <w:trPr>
        <w:cantSplit/>
      </w:trPr>
      <w:tc>
        <w:tcPr>
          <w:tcW w:w="3119" w:type="dxa"/>
        </w:tcPr>
        <w:p w:rsidR="001A0103" w:rsidRPr="006C375B" w:rsidRDefault="001A0103">
          <w:pPr>
            <w:pStyle w:val="Sidhuvud"/>
            <w:spacing w:line="200" w:lineRule="atLeast"/>
            <w:ind w:right="357"/>
            <w:rPr>
              <w:rFonts w:ascii="TradeGothic" w:hAnsi="TradeGothic"/>
              <w:b/>
              <w:bCs/>
              <w:sz w:val="16"/>
            </w:rPr>
          </w:pPr>
        </w:p>
      </w:tc>
      <w:tc>
        <w:tcPr>
          <w:tcW w:w="4111" w:type="dxa"/>
          <w:tcMar>
            <w:left w:w="567" w:type="dxa"/>
          </w:tcMar>
        </w:tcPr>
        <w:p w:rsidR="001A0103" w:rsidRPr="006C375B" w:rsidRDefault="001A0103">
          <w:pPr>
            <w:pStyle w:val="Sidhuvud"/>
            <w:ind w:right="360"/>
          </w:pPr>
        </w:p>
      </w:tc>
      <w:tc>
        <w:tcPr>
          <w:tcW w:w="1525" w:type="dxa"/>
        </w:tcPr>
        <w:p w:rsidR="001A0103" w:rsidRPr="006C375B" w:rsidRDefault="001A0103">
          <w:pPr>
            <w:pStyle w:val="Sidhuvud"/>
            <w:ind w:right="360"/>
          </w:pPr>
        </w:p>
      </w:tc>
    </w:tr>
  </w:tbl>
  <w:p w:rsidR="001A0103" w:rsidRPr="006C375B" w:rsidRDefault="001A010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3" w:rsidRPr="006C375B" w:rsidRDefault="001A0103">
    <w:pPr>
      <w:pStyle w:val="Sidhuvud"/>
      <w:framePr w:wrap="around" w:vAnchor="text" w:hAnchor="margin" w:xAlign="right" w:y="1"/>
      <w:rPr>
        <w:rStyle w:val="Sidnummer"/>
      </w:rPr>
    </w:pPr>
    <w:r w:rsidRPr="006C375B">
      <w:rPr>
        <w:rStyle w:val="Sidnummer"/>
      </w:rPr>
      <w:fldChar w:fldCharType="begin" w:fldLock="1"/>
    </w:r>
    <w:r w:rsidRPr="006C375B">
      <w:rPr>
        <w:rStyle w:val="Sidnummer"/>
      </w:rPr>
      <w:instrText xml:space="preserve">PAGE  </w:instrText>
    </w:r>
    <w:r w:rsidRPr="006C375B">
      <w:rPr>
        <w:rStyle w:val="Sidnummer"/>
      </w:rPr>
      <w:fldChar w:fldCharType="separate"/>
    </w:r>
    <w:r w:rsidR="00377772" w:rsidRPr="006C375B">
      <w:rPr>
        <w:rStyle w:val="Sidnummer"/>
      </w:rPr>
      <w:t>3</w:t>
    </w:r>
    <w:r w:rsidRPr="006C375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A0103" w:rsidRPr="006C375B">
      <w:tblPrEx>
        <w:tblCellMar>
          <w:top w:w="0" w:type="dxa"/>
          <w:bottom w:w="0" w:type="dxa"/>
        </w:tblCellMar>
      </w:tblPrEx>
      <w:trPr>
        <w:cantSplit/>
      </w:trPr>
      <w:tc>
        <w:tcPr>
          <w:tcW w:w="3119" w:type="dxa"/>
        </w:tcPr>
        <w:p w:rsidR="001A0103" w:rsidRPr="006C375B" w:rsidRDefault="001A0103">
          <w:pPr>
            <w:pStyle w:val="Sidhuvud"/>
            <w:spacing w:line="200" w:lineRule="atLeast"/>
            <w:ind w:right="357"/>
            <w:rPr>
              <w:rFonts w:ascii="TradeGothic" w:hAnsi="TradeGothic"/>
              <w:b/>
              <w:bCs/>
              <w:sz w:val="16"/>
            </w:rPr>
          </w:pPr>
        </w:p>
      </w:tc>
      <w:tc>
        <w:tcPr>
          <w:tcW w:w="4111" w:type="dxa"/>
          <w:tcMar>
            <w:left w:w="567" w:type="dxa"/>
          </w:tcMar>
        </w:tcPr>
        <w:p w:rsidR="001A0103" w:rsidRPr="006C375B" w:rsidRDefault="001A0103">
          <w:pPr>
            <w:pStyle w:val="Sidhuvud"/>
            <w:ind w:right="360"/>
          </w:pPr>
        </w:p>
      </w:tc>
      <w:tc>
        <w:tcPr>
          <w:tcW w:w="1525" w:type="dxa"/>
        </w:tcPr>
        <w:p w:rsidR="001A0103" w:rsidRPr="006C375B" w:rsidRDefault="001A0103">
          <w:pPr>
            <w:pStyle w:val="Sidhuvud"/>
            <w:ind w:right="360"/>
          </w:pPr>
        </w:p>
      </w:tc>
    </w:tr>
  </w:tbl>
  <w:p w:rsidR="001A0103" w:rsidRPr="006C375B" w:rsidRDefault="001A010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3" w:rsidRPr="006C375B" w:rsidRDefault="006C375B">
    <w:pPr>
      <w:framePr w:w="2948" w:h="1321" w:hRule="exact" w:wrap="notBeside" w:vAnchor="page" w:hAnchor="page" w:x="1362" w:y="653"/>
    </w:pPr>
    <w:r w:rsidRPr="006C375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A0103" w:rsidRPr="006C375B" w:rsidRDefault="001A0103">
    <w:pPr>
      <w:pStyle w:val="RKrubrik"/>
      <w:keepNext w:val="0"/>
      <w:tabs>
        <w:tab w:val="clear" w:pos="1134"/>
        <w:tab w:val="clear" w:pos="2835"/>
      </w:tabs>
      <w:spacing w:before="0" w:after="0" w:line="320" w:lineRule="atLeast"/>
      <w:rPr>
        <w:bCs/>
      </w:rPr>
    </w:pPr>
  </w:p>
  <w:p w:rsidR="001A0103" w:rsidRPr="006C375B" w:rsidRDefault="001A0103">
    <w:pPr>
      <w:rPr>
        <w:rFonts w:ascii="TradeGothic" w:hAnsi="TradeGothic"/>
        <w:b/>
        <w:bCs/>
        <w:spacing w:val="12"/>
        <w:sz w:val="22"/>
      </w:rPr>
    </w:pPr>
  </w:p>
  <w:p w:rsidR="001A0103" w:rsidRPr="006C375B" w:rsidRDefault="001A0103">
    <w:pPr>
      <w:pStyle w:val="RKrubrik"/>
      <w:keepNext w:val="0"/>
      <w:tabs>
        <w:tab w:val="clear" w:pos="1134"/>
        <w:tab w:val="clear" w:pos="2835"/>
      </w:tabs>
      <w:spacing w:before="0" w:after="0" w:line="320" w:lineRule="atLeast"/>
      <w:rPr>
        <w:bCs/>
      </w:rPr>
    </w:pPr>
  </w:p>
  <w:p w:rsidR="001A0103" w:rsidRPr="006C375B" w:rsidRDefault="001A010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481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F741E8"/>
    <w:multiLevelType w:val="hybridMultilevel"/>
    <w:tmpl w:val="EFBED730"/>
    <w:lvl w:ilvl="0" w:tplc="6464B142">
      <w:start w:val="1"/>
      <w:numFmt w:val="bullet"/>
      <w:lvlRestart w:val="0"/>
      <w:pStyle w:val="Punktlista"/>
      <w:lvlText w:val=""/>
      <w:lvlJc w:val="left"/>
      <w:pPr>
        <w:tabs>
          <w:tab w:val="num" w:pos="499"/>
        </w:tabs>
        <w:ind w:left="499"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055179">
    <w:abstractNumId w:val="1"/>
  </w:num>
  <w:num w:numId="2" w16cid:durableId="128635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7243CE"/>
    <w:rsid w:val="00001D4F"/>
    <w:rsid w:val="00062870"/>
    <w:rsid w:val="000D04BD"/>
    <w:rsid w:val="000E13DC"/>
    <w:rsid w:val="000F0A35"/>
    <w:rsid w:val="0013589B"/>
    <w:rsid w:val="00154C9F"/>
    <w:rsid w:val="001571E2"/>
    <w:rsid w:val="00186336"/>
    <w:rsid w:val="001A0103"/>
    <w:rsid w:val="001B1E8A"/>
    <w:rsid w:val="001D06C1"/>
    <w:rsid w:val="001E0BC4"/>
    <w:rsid w:val="001E77A6"/>
    <w:rsid w:val="001F2EA4"/>
    <w:rsid w:val="00206B53"/>
    <w:rsid w:val="002265FC"/>
    <w:rsid w:val="00227E61"/>
    <w:rsid w:val="0029291C"/>
    <w:rsid w:val="002A64F5"/>
    <w:rsid w:val="00313201"/>
    <w:rsid w:val="00343E8C"/>
    <w:rsid w:val="00374B2F"/>
    <w:rsid w:val="00377772"/>
    <w:rsid w:val="00397DEE"/>
    <w:rsid w:val="003B790F"/>
    <w:rsid w:val="003C4142"/>
    <w:rsid w:val="004001F5"/>
    <w:rsid w:val="00420973"/>
    <w:rsid w:val="00457E21"/>
    <w:rsid w:val="0046635C"/>
    <w:rsid w:val="004E6E4D"/>
    <w:rsid w:val="0053371D"/>
    <w:rsid w:val="0053776F"/>
    <w:rsid w:val="00547C4D"/>
    <w:rsid w:val="00571A05"/>
    <w:rsid w:val="005E6135"/>
    <w:rsid w:val="005F6ABD"/>
    <w:rsid w:val="006006D9"/>
    <w:rsid w:val="0063631F"/>
    <w:rsid w:val="00644707"/>
    <w:rsid w:val="00670DC1"/>
    <w:rsid w:val="0069573C"/>
    <w:rsid w:val="006C375B"/>
    <w:rsid w:val="006C635A"/>
    <w:rsid w:val="006D4221"/>
    <w:rsid w:val="00707C81"/>
    <w:rsid w:val="007243CE"/>
    <w:rsid w:val="007E4CDE"/>
    <w:rsid w:val="00811E4E"/>
    <w:rsid w:val="00812DB3"/>
    <w:rsid w:val="00816EB4"/>
    <w:rsid w:val="008352D9"/>
    <w:rsid w:val="00896511"/>
    <w:rsid w:val="008B6F9C"/>
    <w:rsid w:val="008C1219"/>
    <w:rsid w:val="008C6C23"/>
    <w:rsid w:val="008D743B"/>
    <w:rsid w:val="008E577C"/>
    <w:rsid w:val="008F5C81"/>
    <w:rsid w:val="00907554"/>
    <w:rsid w:val="0094420F"/>
    <w:rsid w:val="0095765D"/>
    <w:rsid w:val="009A0076"/>
    <w:rsid w:val="009E5758"/>
    <w:rsid w:val="009E6113"/>
    <w:rsid w:val="00A12027"/>
    <w:rsid w:val="00A3182A"/>
    <w:rsid w:val="00A32C21"/>
    <w:rsid w:val="00A53CF3"/>
    <w:rsid w:val="00AB374C"/>
    <w:rsid w:val="00AF7490"/>
    <w:rsid w:val="00B05A6D"/>
    <w:rsid w:val="00B25106"/>
    <w:rsid w:val="00B30423"/>
    <w:rsid w:val="00B312D4"/>
    <w:rsid w:val="00B60217"/>
    <w:rsid w:val="00B7769B"/>
    <w:rsid w:val="00BB33CF"/>
    <w:rsid w:val="00BC15E7"/>
    <w:rsid w:val="00BD1A29"/>
    <w:rsid w:val="00C84B2B"/>
    <w:rsid w:val="00C90780"/>
    <w:rsid w:val="00CB760C"/>
    <w:rsid w:val="00D5685E"/>
    <w:rsid w:val="00DE0D44"/>
    <w:rsid w:val="00DE4376"/>
    <w:rsid w:val="00DF6D59"/>
    <w:rsid w:val="00E00A0E"/>
    <w:rsid w:val="00E25035"/>
    <w:rsid w:val="00E60B5D"/>
    <w:rsid w:val="00E6480E"/>
    <w:rsid w:val="00E91EA8"/>
    <w:rsid w:val="00EC28B5"/>
    <w:rsid w:val="00F27A63"/>
    <w:rsid w:val="00FA3D87"/>
    <w:rsid w:val="00FA66EE"/>
    <w:rsid w:val="00FD71B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03EE2533-8786-4441-937F-994AD0AE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896511"/>
    <w:pPr>
      <w:numPr>
        <w:numId w:val="1"/>
      </w:numPr>
    </w:pPr>
  </w:style>
  <w:style w:type="paragraph" w:styleId="Ballongtext">
    <w:name w:val="Balloon Text"/>
    <w:basedOn w:val="Normal"/>
    <w:semiHidden/>
    <w:rsid w:val="00E25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828</Words>
  <Characters>5226</Characters>
  <Application>Microsoft Office Word</Application>
  <DocSecurity>4</DocSecurity>
  <Lines>145</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ies>
</file>