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719E" w:rsidRPr="001E1052" w:rsidRDefault="002C719E">
      <w:pPr>
        <w:pStyle w:val="Frslagsrubrik"/>
      </w:pPr>
      <w:r w:rsidRPr="001E1052">
        <w:t>Förslag till riksdagsbeslut</w:t>
      </w:r>
    </w:p>
    <w:p w:rsidR="002C719E" w:rsidRPr="001E1052" w:rsidRDefault="002C719E">
      <w:pPr>
        <w:pStyle w:val="Hemstlatt"/>
        <w:numPr>
          <w:ilvl w:val="0"/>
          <w:numId w:val="1"/>
        </w:numPr>
      </w:pPr>
      <w:r w:rsidRPr="001E1052">
        <w:t>Riksdagen tillkännager för regeringen som sin mening vad som anförs i motionen om att de demokratiska principe</w:t>
      </w:r>
      <w:r w:rsidRPr="001E1052">
        <w:t>r</w:t>
      </w:r>
      <w:r w:rsidRPr="001E1052">
        <w:t>na måste värnas när åtgärder för att hantera skuldkrisen i Europa genomförs.</w:t>
      </w:r>
    </w:p>
    <w:p w:rsidR="002C719E" w:rsidRPr="001E1052" w:rsidRDefault="002C719E">
      <w:pPr>
        <w:pStyle w:val="Hemstlatt"/>
        <w:numPr>
          <w:ilvl w:val="0"/>
          <w:numId w:val="1"/>
        </w:numPr>
      </w:pPr>
      <w:r w:rsidRPr="001E1052">
        <w:t>Riksdagen tillkännager för regeringen som sin mening vad som anförs i motionen om att insynen och den demokratiska kontro</w:t>
      </w:r>
      <w:r w:rsidRPr="001E1052">
        <w:t>l</w:t>
      </w:r>
      <w:r w:rsidRPr="001E1052">
        <w:t>len av ESM:s verksamhet måste förstärkas.</w:t>
      </w:r>
    </w:p>
    <w:p w:rsidR="002C719E" w:rsidRPr="001E1052" w:rsidRDefault="002C719E">
      <w:pPr>
        <w:pStyle w:val="Rubrik1"/>
      </w:pPr>
      <w:r w:rsidRPr="001E1052">
        <w:t>Motivering</w:t>
      </w:r>
    </w:p>
    <w:p w:rsidR="002C719E" w:rsidRPr="001E1052" w:rsidRDefault="002C719E">
      <w:r w:rsidRPr="001E1052">
        <w:t>I snabb takt införs nu reformer inom EU för att hantera den djupa ekon</w:t>
      </w:r>
      <w:r w:rsidRPr="001E1052">
        <w:t>o</w:t>
      </w:r>
      <w:r w:rsidRPr="001E1052">
        <w:t>miska kris som drabbat eurozonen. Det är viktigt att konstatera att eurosama</w:t>
      </w:r>
      <w:r w:rsidRPr="001E1052">
        <w:t>r</w:t>
      </w:r>
      <w:r w:rsidRPr="001E1052">
        <w:t xml:space="preserve">betet är en bidragande orsak till den ekonomiska krisen. Systemet med en valuta och en ränta för så olika ekonomier har bidragit till att länder haft en konstgjort låg ränta som lett till en hög skuldsättning som bidragit till en överhettning i ekonomin. Detta grundläggande problem löses inte genom de nu föreslagna mekanismerna. </w:t>
      </w:r>
    </w:p>
    <w:p w:rsidR="002C719E" w:rsidRPr="001E1052" w:rsidRDefault="002C719E">
      <w:pPr>
        <w:pStyle w:val="Normaltindrag"/>
      </w:pPr>
      <w:r w:rsidRPr="001E1052">
        <w:t>Det finns också en fara i att den snabba reformtakten gör att demokratiska principer sätts åt sidan. A</w:t>
      </w:r>
      <w:r w:rsidRPr="001E1052">
        <w:t>tt införa långtgående reformer som inte har stöd bland befolkningen skapar inte stabilitet och trygghet i ekonomin utan risk</w:t>
      </w:r>
      <w:r w:rsidRPr="001E1052">
        <w:t>e</w:t>
      </w:r>
      <w:r w:rsidRPr="001E1052">
        <w:t>rar snarare att bygga in en ökad osäkerhet i det europeiska politiska och ek</w:t>
      </w:r>
      <w:r w:rsidRPr="001E1052">
        <w:t>o</w:t>
      </w:r>
      <w:r w:rsidRPr="001E1052">
        <w:t>nomiska systemet. Den nu föreslagna stabilitetsfonden ESM har fått hård kritik för att den inte styrs enligt demokratiska principer och att konstrukti</w:t>
      </w:r>
      <w:r w:rsidRPr="001E1052">
        <w:t>o</w:t>
      </w:r>
      <w:r w:rsidRPr="001E1052">
        <w:t xml:space="preserve">nen inte möjliggör insyn och demokratisk granskning av verksamheten. Enligt fördraget ska exempelvis ESM-rådets ordförande, ledamöter och suppleanter </w:t>
      </w:r>
      <w:r w:rsidRPr="001E1052">
        <w:lastRenderedPageBreak/>
        <w:t xml:space="preserve">samt den </w:t>
      </w:r>
      <w:r w:rsidRPr="001E1052">
        <w:t>verkställande direktören och övrig personal åtnjuta immunitet mot rättsliga förfaranden när det gäller handlingar som de utför i sin tjänsteutö</w:t>
      </w:r>
      <w:r w:rsidRPr="001E1052">
        <w:t>v</w:t>
      </w:r>
      <w:r w:rsidRPr="001E1052">
        <w:t xml:space="preserve">ning. Fördraget säger också att ESM, dess egendom, fonder och tillgångar ska ha immunitet mot varje form av juridisk behandling. </w:t>
      </w:r>
    </w:p>
    <w:p w:rsidR="002C719E" w:rsidRPr="001E1052" w:rsidRDefault="002C719E">
      <w:pPr>
        <w:pStyle w:val="Normaltindrag"/>
      </w:pPr>
      <w:r w:rsidRPr="001E1052">
        <w:t xml:space="preserve">Detta rimmar illa med principerna om att ansvariga ska kunna ställas till svars för de handlingar de utför och att misstag som begås ska kunna rättas till med juridiska medel. </w:t>
      </w:r>
    </w:p>
    <w:p w:rsidR="002C719E" w:rsidRPr="001E1052" w:rsidRDefault="002C719E">
      <w:pPr>
        <w:pStyle w:val="Normaltindrag"/>
      </w:pPr>
      <w:r w:rsidRPr="001E1052">
        <w:t>Fördraget slår också fast att ESM:s arkiv och alla handlingar som tillhör eller innehas av ESM ska vara okränkbara, vilket väcker allvarliga frågor kring hur insynen i ESM:s verksamhet ska kunna ske och hur verksamheten på ett rimligt sätt ska kunna granskas. Regeringen bör verka inom det europ</w:t>
      </w:r>
      <w:r w:rsidRPr="001E1052">
        <w:t>e</w:t>
      </w:r>
      <w:r w:rsidRPr="001E1052">
        <w:t>iska samarbetet för att påverka utformningen av ESM i demokratisk riktning. Verksamheten bör inte medföra juridisk immunitet och måste vara möjlig att granska demokratiskt.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1052">
        <w:trPr>
          <w:cantSplit/>
        </w:trPr>
        <w:tc>
          <w:tcPr>
            <w:tcW w:w="3046" w:type="dxa"/>
          </w:tcPr>
          <w:p w:rsidR="002C719E" w:rsidRPr="001E1052" w:rsidRDefault="002C719E">
            <w:pPr>
              <w:pStyle w:val="UnderskriftDatum"/>
              <w:spacing w:before="240"/>
            </w:pPr>
            <w:r w:rsidRPr="001E1052">
              <w:t>Stockholm den 14 mars 2012</w:t>
            </w:r>
          </w:p>
        </w:tc>
        <w:tc>
          <w:tcPr>
            <w:tcW w:w="3047" w:type="dxa"/>
          </w:tcPr>
          <w:p w:rsidR="002C719E" w:rsidRPr="001E1052" w:rsidRDefault="002C719E">
            <w:pPr>
              <w:pStyle w:val="Underskrifter"/>
              <w:spacing w:before="240"/>
            </w:pPr>
          </w:p>
        </w:tc>
      </w:tr>
      <w:tr w:rsidR="00000000" w:rsidRPr="001E1052">
        <w:trPr>
          <w:cantSplit/>
        </w:trPr>
        <w:tc>
          <w:tcPr>
            <w:tcW w:w="3046" w:type="dxa"/>
          </w:tcPr>
          <w:p w:rsidR="002C719E" w:rsidRPr="001E1052" w:rsidRDefault="002C719E">
            <w:pPr>
              <w:pStyle w:val="Underskrifter"/>
            </w:pPr>
            <w:r w:rsidRPr="001E1052">
              <w:t>Per Bolund (MP)</w:t>
            </w:r>
          </w:p>
        </w:tc>
        <w:tc>
          <w:tcPr>
            <w:tcW w:w="3046" w:type="dxa"/>
          </w:tcPr>
          <w:p w:rsidR="002C719E" w:rsidRPr="001E1052" w:rsidRDefault="002C719E">
            <w:pPr>
              <w:pStyle w:val="Underskrifter"/>
            </w:pPr>
          </w:p>
        </w:tc>
      </w:tr>
    </w:tbl>
    <w:p w:rsidR="002C719E" w:rsidRPr="001E1052" w:rsidRDefault="002C719E">
      <w:pPr>
        <w:pStyle w:val="Normaltindrag"/>
      </w:pPr>
    </w:p>
    <w:sectPr w:rsidR="002C719E" w:rsidRPr="001E10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719E" w:rsidRPr="001E1052" w:rsidRDefault="002C719E">
      <w:r w:rsidRPr="001E1052">
        <w:separator/>
      </w:r>
    </w:p>
  </w:endnote>
  <w:endnote w:type="continuationSeparator" w:id="0">
    <w:p w:rsidR="002C719E" w:rsidRPr="001E1052" w:rsidRDefault="002C719E">
      <w:r w:rsidRPr="001E10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19E" w:rsidRPr="001E1052" w:rsidRDefault="001E1052">
    <w:pPr>
      <w:pStyle w:val="Sidfot"/>
    </w:pPr>
    <w:r w:rsidRPr="001E10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23224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719E" w:rsidRDefault="002C719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719E" w:rsidRDefault="002C719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19E" w:rsidRPr="001E1052" w:rsidRDefault="001E1052">
    <w:pPr>
      <w:pStyle w:val="Sidfot"/>
    </w:pPr>
    <w:r w:rsidRPr="001E10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40056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719E" w:rsidRDefault="002C719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719E" w:rsidRDefault="002C719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19E" w:rsidRPr="001E1052" w:rsidRDefault="001E1052">
    <w:pPr>
      <w:pStyle w:val="Sidfot"/>
    </w:pPr>
    <w:r w:rsidRPr="001E10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51090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719E" w:rsidRDefault="002C71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719E" w:rsidRDefault="002C71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719E" w:rsidRPr="001E1052" w:rsidRDefault="002C719E">
      <w:r w:rsidRPr="001E1052">
        <w:separator/>
      </w:r>
    </w:p>
  </w:footnote>
  <w:footnote w:type="continuationSeparator" w:id="0">
    <w:p w:rsidR="002C719E" w:rsidRPr="001E1052" w:rsidRDefault="002C719E">
      <w:r w:rsidRPr="001E10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19E" w:rsidRPr="001E1052" w:rsidRDefault="001E1052">
    <w:pPr>
      <w:pStyle w:val="Sidhuvud"/>
    </w:pPr>
    <w:r w:rsidRPr="001E10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69527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719E" w:rsidRDefault="002C719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719E" w:rsidRDefault="002C719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19E" w:rsidRPr="001E1052" w:rsidRDefault="001E1052">
    <w:pPr>
      <w:pStyle w:val="Sidhuvud"/>
    </w:pPr>
    <w:r w:rsidRPr="001E10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51236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719E" w:rsidRDefault="002C719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719E" w:rsidRDefault="002C719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19E" w:rsidRPr="001E1052" w:rsidRDefault="002C719E">
    <w:pPr>
      <w:pStyle w:val="FSHNormal"/>
      <w:tabs>
        <w:tab w:val="right" w:pos="5840"/>
      </w:tabs>
    </w:pPr>
    <w:r w:rsidRPr="001E1052">
      <w:br/>
    </w:r>
    <w:r w:rsidRPr="001E1052">
      <w:fldChar w:fldCharType="begin" w:fldLock="1"/>
    </w:r>
    <w:r w:rsidRPr="001E1052">
      <w:instrText xml:space="preserve"> DOCPROPERTY</w:instrText>
    </w:r>
    <w:r w:rsidRPr="001E1052">
      <w:rPr>
        <w:sz w:val="18"/>
      </w:rPr>
      <w:instrText xml:space="preserve"> "YearUser" *\charformat </w:instrText>
    </w:r>
    <w:r w:rsidRPr="001E1052">
      <w:fldChar w:fldCharType="separate"/>
    </w:r>
    <w:r w:rsidRPr="001E1052">
      <w:t>2011/12</w:t>
    </w:r>
    <w:r w:rsidRPr="001E1052">
      <w:fldChar w:fldCharType="end"/>
    </w:r>
    <w:r w:rsidRPr="001E1052">
      <w:t xml:space="preserve"> </w:t>
    </w:r>
    <w:r w:rsidRPr="001E1052">
      <w:tab/>
      <w:t xml:space="preserve">mnr: </w:t>
    </w:r>
    <w:r w:rsidRPr="001E1052">
      <w:fldChar w:fldCharType="begin" w:fldLock="1"/>
    </w:r>
    <w:r w:rsidRPr="001E1052">
      <w:instrText xml:space="preserve"> DOCPROPERTY</w:instrText>
    </w:r>
    <w:r w:rsidRPr="001E1052">
      <w:rPr>
        <w:sz w:val="18"/>
      </w:rPr>
      <w:instrText xml:space="preserve"> "Motionsnummer" *\charformat </w:instrText>
    </w:r>
    <w:r w:rsidRPr="001E1052">
      <w:fldChar w:fldCharType="separate"/>
    </w:r>
    <w:r w:rsidRPr="001E1052">
      <w:t>Fi11</w:t>
    </w:r>
    <w:r w:rsidRPr="001E1052">
      <w:fldChar w:fldCharType="end"/>
    </w:r>
    <w:r w:rsidRPr="001E1052">
      <w:br/>
    </w:r>
    <w:r w:rsidRPr="001E1052">
      <w:fldChar w:fldCharType="begin" w:fldLock="1"/>
    </w:r>
    <w:r w:rsidRPr="001E1052">
      <w:instrText xml:space="preserve"> DOCPROPERTY</w:instrText>
    </w:r>
    <w:r w:rsidRPr="001E1052">
      <w:rPr>
        <w:sz w:val="18"/>
      </w:rPr>
      <w:instrText xml:space="preserve"> "Samling" *\charformat </w:instrText>
    </w:r>
    <w:r w:rsidRPr="001E1052">
      <w:fldChar w:fldCharType="end"/>
    </w:r>
    <w:r w:rsidRPr="001E1052">
      <w:tab/>
      <w:t xml:space="preserve">pnr: </w:t>
    </w:r>
    <w:r w:rsidRPr="001E1052">
      <w:fldChar w:fldCharType="begin" w:fldLock="1"/>
    </w:r>
    <w:r w:rsidRPr="001E1052">
      <w:instrText xml:space="preserve"> DOCPROPERTY</w:instrText>
    </w:r>
    <w:r w:rsidRPr="001E1052">
      <w:rPr>
        <w:sz w:val="18"/>
      </w:rPr>
      <w:instrText xml:space="preserve"> "Partinummer" *\charformat </w:instrText>
    </w:r>
    <w:r w:rsidRPr="001E1052">
      <w:fldChar w:fldCharType="separate"/>
    </w:r>
    <w:r w:rsidRPr="001E1052">
      <w:t>MP17</w:t>
    </w:r>
    <w:r w:rsidRPr="001E1052">
      <w:fldChar w:fldCharType="end"/>
    </w:r>
  </w:p>
  <w:p w:rsidR="002C719E" w:rsidRPr="001E1052" w:rsidRDefault="002C719E">
    <w:pPr>
      <w:pStyle w:val="FSHRub1"/>
    </w:pPr>
    <w:r w:rsidRPr="001E1052">
      <w:t>Motion till riksdagen</w:t>
    </w:r>
    <w:r w:rsidRPr="001E1052">
      <w:br/>
    </w:r>
    <w:r w:rsidRPr="001E1052">
      <w:fldChar w:fldCharType="begin" w:fldLock="1"/>
    </w:r>
    <w:r w:rsidRPr="001E1052">
      <w:instrText xml:space="preserve"> DOCPROPERTY "YearUser" *\charformat </w:instrText>
    </w:r>
    <w:r w:rsidRPr="001E1052">
      <w:fldChar w:fldCharType="separate"/>
    </w:r>
    <w:r w:rsidRPr="001E1052">
      <w:t>2011/12</w:t>
    </w:r>
    <w:r w:rsidRPr="001E1052">
      <w:fldChar w:fldCharType="end"/>
    </w:r>
    <w:r w:rsidRPr="001E1052">
      <w:t>:</w:t>
    </w:r>
    <w:r w:rsidRPr="001E1052">
      <w:fldChar w:fldCharType="begin" w:fldLock="1"/>
    </w:r>
    <w:r w:rsidRPr="001E1052">
      <w:instrText xml:space="preserve"> DOCPROPERTY "Motionsnummer" *\charformat </w:instrText>
    </w:r>
    <w:r w:rsidRPr="001E1052">
      <w:fldChar w:fldCharType="separate"/>
    </w:r>
    <w:r w:rsidRPr="001E1052">
      <w:t>Fi11</w:t>
    </w:r>
    <w:r w:rsidRPr="001E1052">
      <w:fldChar w:fldCharType="end"/>
    </w:r>
  </w:p>
  <w:p w:rsidR="002C719E" w:rsidRPr="001E1052" w:rsidRDefault="002C719E">
    <w:pPr>
      <w:pStyle w:val="FSHNormalS5"/>
    </w:pPr>
    <w:r w:rsidRPr="001E1052">
      <w:fldChar w:fldCharType="begin" w:fldLock="1"/>
    </w:r>
    <w:r w:rsidRPr="001E1052">
      <w:instrText xml:space="preserve"> DOCPROPERTY "MotionarText" *\charformat </w:instrText>
    </w:r>
    <w:r w:rsidRPr="001E1052">
      <w:fldChar w:fldCharType="separate"/>
    </w:r>
    <w:r w:rsidRPr="001E1052">
      <w:t>av Per Bolund (MP)</w:t>
    </w:r>
    <w:r w:rsidRPr="001E1052">
      <w:fldChar w:fldCharType="end"/>
    </w:r>
    <w:r w:rsidRPr="001E1052">
      <w:br/>
    </w:r>
    <w:r w:rsidRPr="001E1052">
      <w:fldChar w:fldCharType="begin" w:fldLock="1"/>
    </w:r>
    <w:r w:rsidRPr="001E1052">
      <w:instrText xml:space="preserve"> DOCPROPERTY "SvarFrasKort" *\charformat </w:instrText>
    </w:r>
    <w:r w:rsidRPr="001E1052">
      <w:fldChar w:fldCharType="separate"/>
    </w:r>
    <w:r w:rsidRPr="001E1052">
      <w:t>med anledning av prop. 2011/12:66</w:t>
    </w:r>
    <w:r w:rsidRPr="001E1052">
      <w:fldChar w:fldCharType="end"/>
    </w:r>
  </w:p>
  <w:p w:rsidR="002C719E" w:rsidRPr="001E1052" w:rsidRDefault="002C719E">
    <w:pPr>
      <w:pStyle w:val="FSHTitel"/>
    </w:pPr>
    <w:r w:rsidRPr="001E1052">
      <w:fldChar w:fldCharType="begin" w:fldLock="1"/>
    </w:r>
    <w:r w:rsidRPr="001E1052">
      <w:instrText xml:space="preserve"> DOCPROPERTY</w:instrText>
    </w:r>
    <w:r w:rsidRPr="001E1052">
      <w:rPr>
        <w:sz w:val="18"/>
      </w:rPr>
      <w:instrText xml:space="preserve"> "RubrikSvar" *\charformat </w:instrText>
    </w:r>
    <w:r w:rsidRPr="001E1052">
      <w:fldChar w:fldCharType="separate"/>
    </w:r>
    <w:r w:rsidRPr="001E1052">
      <w:t>Godkännande av Europeiska rådets beslut om ändring av artikel 136 i EUF-fördraget – stabilitetsmekanism för euroländer</w:t>
    </w:r>
    <w:r w:rsidRPr="001E1052">
      <w:fldChar w:fldCharType="end"/>
    </w:r>
  </w:p>
  <w:p w:rsidR="002C719E" w:rsidRPr="001E1052" w:rsidRDefault="002C719E">
    <w:pPr>
      <w:pStyle w:val="Normal00"/>
    </w:pPr>
  </w:p>
  <w:p w:rsidR="002C719E" w:rsidRPr="001E1052" w:rsidRDefault="002C71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CAE1FE2"/>
    <w:multiLevelType w:val="hybridMultilevel"/>
    <w:tmpl w:val="342845CE"/>
    <w:lvl w:ilvl="0" w:tplc="0568E32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16850350">
    <w:abstractNumId w:val="3"/>
  </w:num>
  <w:num w:numId="2" w16cid:durableId="1757364550">
    <w:abstractNumId w:val="2"/>
  </w:num>
  <w:num w:numId="3" w16cid:durableId="1453590986">
    <w:abstractNumId w:val="1"/>
  </w:num>
  <w:num w:numId="4" w16cid:durableId="1240407446">
    <w:abstractNumId w:val="0"/>
  </w:num>
  <w:num w:numId="5" w16cid:durableId="690033750">
    <w:abstractNumId w:val="7"/>
  </w:num>
  <w:num w:numId="6" w16cid:durableId="1593201047">
    <w:abstractNumId w:val="6"/>
  </w:num>
  <w:num w:numId="7" w16cid:durableId="1397972714">
    <w:abstractNumId w:val="5"/>
  </w:num>
  <w:num w:numId="8" w16cid:durableId="286591946">
    <w:abstractNumId w:val="4"/>
  </w:num>
  <w:num w:numId="9" w16cid:durableId="1874419012">
    <w:abstractNumId w:val="8"/>
  </w:num>
  <w:num w:numId="10" w16cid:durableId="932201643">
    <w:abstractNumId w:val="9"/>
  </w:num>
  <w:num w:numId="11" w16cid:durableId="255095697">
    <w:abstractNumId w:val="10"/>
  </w:num>
  <w:num w:numId="12" w16cid:durableId="1610237904">
    <w:abstractNumId w:val="13"/>
  </w:num>
  <w:num w:numId="13" w16cid:durableId="833379624">
    <w:abstractNumId w:val="16"/>
  </w:num>
  <w:num w:numId="14" w16cid:durableId="566184771">
    <w:abstractNumId w:val="17"/>
  </w:num>
  <w:num w:numId="15" w16cid:durableId="503131745">
    <w:abstractNumId w:val="11"/>
  </w:num>
  <w:num w:numId="16" w16cid:durableId="157812581">
    <w:abstractNumId w:val="19"/>
  </w:num>
  <w:num w:numId="17" w16cid:durableId="1537085090">
    <w:abstractNumId w:val="18"/>
  </w:num>
  <w:num w:numId="18" w16cid:durableId="183204116">
    <w:abstractNumId w:val="15"/>
  </w:num>
  <w:num w:numId="19" w16cid:durableId="1147014910">
    <w:abstractNumId w:val="12"/>
  </w:num>
  <w:num w:numId="20" w16cid:durableId="16526405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3-08"/>
    <w:docVar w:name="PersonGUIDs" w:val="{35995721-8FCB-4CC9-A560-3D492512CF52}"/>
  </w:docVars>
  <w:rsids>
    <w:rsidRoot w:val="009B5E3F"/>
    <w:rsid w:val="001E1052"/>
    <w:rsid w:val="002C719E"/>
    <w:rsid w:val="009B5E3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0DBACFB-8DE5-4C23-9DD0-3594F7A86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2081</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MP017</vt:lpstr>
    </vt:vector>
  </TitlesOfParts>
  <Company>Riksdagen</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MP017</dc:title>
  <dc:subject>MP017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2012-03-23T09:52:00Z</cp:lastPrinted>
  <dcterms:created xsi:type="dcterms:W3CDTF">2025-12-17T18:37:00Z</dcterms:created>
  <dcterms:modified xsi:type="dcterms:W3CDTF">2025-12-17T18:37:00Z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mot2000_533_2012-03-08</vt:lpwstr>
  </property>
  <property fmtid="{D5CDD505-2E9C-101B-9397-08002B2CF9AE}" pid="3" name="version">
    <vt:lpwstr>mot2000_533_2012-03-08</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2011/12:66 Godkännande av Europeiska rådets beslut om ändring av artikel 136 i EUF-fördraget – stabilitetsmekanism för euroländer</vt:lpwstr>
  </property>
  <property fmtid="{D5CDD505-2E9C-101B-9397-08002B2CF9AE}" pid="11" name="SvarFrasKort">
    <vt:lpwstr>med anledning av prop. 2011/12:66</vt:lpwstr>
  </property>
  <property fmtid="{D5CDD505-2E9C-101B-9397-08002B2CF9AE}" pid="12" name="Svar">
    <vt:lpwstr>Proposition</vt:lpwstr>
  </property>
  <property fmtid="{D5CDD505-2E9C-101B-9397-08002B2CF9AE}" pid="13" name="SvarNr">
    <vt:lpwstr>2011/12:66</vt:lpwstr>
  </property>
  <property fmtid="{D5CDD505-2E9C-101B-9397-08002B2CF9AE}" pid="14" name="RubrikSvar">
    <vt:lpwstr>Godkännande av Europeiska rådets beslut om ändring av artikel 136 i EUF-fördraget – stabilitetsmekanism för euroländer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Bolund (MP)</vt:lpwstr>
  </property>
  <property fmtid="{D5CDD505-2E9C-101B-9397-08002B2CF9AE}" pid="26" name="MotionarLista">
    <vt:lpwstr>Bolund, Per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Bolund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Fi11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mars 2012</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20112012000000770080000000170069</vt:lpwstr>
  </property>
  <property fmtid="{D5CDD505-2E9C-101B-9397-08002B2CF9AE}" pid="47" name="datum">
    <vt:lpwstr>120314</vt:lpwstr>
  </property>
  <property fmtid="{D5CDD505-2E9C-101B-9397-08002B2CF9AE}" pid="48" name="avsändar-e-post">
    <vt:lpwstr>magnus.lindgren@riksdagen.se</vt:lpwstr>
  </property>
  <property fmtid="{D5CDD505-2E9C-101B-9397-08002B2CF9AE}" pid="49" name="id">
    <vt:lpwstr>20112012000000770080000000170069</vt:lpwstr>
  </property>
  <property fmtid="{D5CDD505-2E9C-101B-9397-08002B2CF9AE}" pid="50" name="nummer">
    <vt:lpwstr>11</vt:lpwstr>
  </property>
  <property fmtid="{D5CDD505-2E9C-101B-9397-08002B2CF9AE}" pid="51" name="utskottsbeteckning">
    <vt:lpwstr>Fi</vt:lpwstr>
  </property>
  <property fmtid="{D5CDD505-2E9C-101B-9397-08002B2CF9AE}" pid="52" name="GlobalUID">
    <vt:lpwstr>{821DBAF3-A41E-4488-A717-0FAAE87D1556}</vt:lpwstr>
  </property>
  <property fmtid="{D5CDD505-2E9C-101B-9397-08002B2CF9AE}" pid="53" name="Överföringar">
    <vt:i4>0</vt:i4>
  </property>
  <property fmtid="{D5CDD505-2E9C-101B-9397-08002B2CF9AE}" pid="54" name="Checksum">
    <vt:lpwstr>*0016647493068*</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120326 15:32:33.840</vt:lpwstr>
  </property>
  <property fmtid="{D5CDD505-2E9C-101B-9397-08002B2CF9AE}" pid="58" name="urixGuid">
    <vt:lpwstr>{CC3FB068-09AC-4352-90FF-C6D62DAE4457}</vt:lpwstr>
  </property>
</Properties>
</file>