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2A3" w:rsidRPr="006E02A3" w:rsidRDefault="006E02A3">
      <w:pPr>
        <w:pStyle w:val="Frslagsrubrik"/>
      </w:pPr>
      <w:r w:rsidRPr="006E02A3">
        <w:t>Förslag till riksdagsbeslut</w:t>
      </w:r>
    </w:p>
    <w:p w:rsidR="006E02A3" w:rsidRPr="006E02A3" w:rsidRDefault="006E02A3">
      <w:pPr>
        <w:pStyle w:val="Hemstlatt"/>
        <w:numPr>
          <w:ilvl w:val="0"/>
          <w:numId w:val="1"/>
        </w:numPr>
      </w:pPr>
      <w:r w:rsidRPr="006E02A3">
        <w:t>Riksdagen tillkännager för regeringen som sin mening vad som anförs i motionen om att Socialstyrelsen bör ges i uppdrag att se över vilka åtgärder som krävs för att höja hbt-kompetensen inom hälso- och sjukvårdsområdet.</w:t>
      </w:r>
    </w:p>
    <w:p w:rsidR="006E02A3" w:rsidRPr="006E02A3" w:rsidRDefault="006E02A3">
      <w:pPr>
        <w:pStyle w:val="Hemstlatt"/>
        <w:numPr>
          <w:ilvl w:val="0"/>
          <w:numId w:val="1"/>
        </w:numPr>
      </w:pPr>
      <w:r w:rsidRPr="006E02A3">
        <w:t>Riksdagen tillkännager för regeringen som sin mening vad som anförs i motionen om att samtliga vårdutbildningar ska ha ett hbt-perspektiv på sin utbildning.</w:t>
      </w:r>
      <w:r w:rsidRPr="006E02A3">
        <w:rPr>
          <w:rStyle w:val="Fotnotsreferens"/>
        </w:rPr>
        <w:t>1</w:t>
      </w:r>
    </w:p>
    <w:p w:rsidR="006E02A3" w:rsidRPr="006E02A3" w:rsidRDefault="006E02A3">
      <w:pPr>
        <w:pStyle w:val="Hemstlatt"/>
        <w:numPr>
          <w:ilvl w:val="0"/>
          <w:numId w:val="1"/>
        </w:numPr>
      </w:pPr>
      <w:r w:rsidRPr="006E02A3">
        <w:t>Riksdagen tillkännager för regeringen som sin mening vad som anförs i motionen om att regeringen bör återkomma med förslag till hur hbt-perspektivet kan stärkas i folkhälsomålen.</w:t>
      </w:r>
    </w:p>
    <w:p w:rsidR="006E02A3" w:rsidRPr="006E02A3" w:rsidRDefault="006E02A3">
      <w:pPr>
        <w:pStyle w:val="Hemstlatt"/>
        <w:numPr>
          <w:ilvl w:val="0"/>
          <w:numId w:val="1"/>
        </w:numPr>
      </w:pPr>
      <w:r w:rsidRPr="006E02A3">
        <w:t>Riksdagen tillkännager för regeringen som sin mening vad som anförs i motionen om att ge Statens folkhälsoinstitut och Socia</w:t>
      </w:r>
      <w:r w:rsidRPr="006E02A3">
        <w:t>l</w:t>
      </w:r>
      <w:r w:rsidRPr="006E02A3">
        <w:t>styrelsen i uppdrag att utreda hur samhällets fördomar och heter</w:t>
      </w:r>
      <w:r w:rsidRPr="006E02A3">
        <w:t>o</w:t>
      </w:r>
      <w:r w:rsidRPr="006E02A3">
        <w:t>normativiteten påverkar självmordsfrekvensen för hbt-personer samt komma med förslag till verktyg som kan förebygga självmord inom denna grupp.</w:t>
      </w:r>
    </w:p>
    <w:p w:rsidR="006E02A3" w:rsidRPr="006E02A3" w:rsidRDefault="006E02A3">
      <w:pPr>
        <w:pStyle w:val="Hemstlatt"/>
        <w:numPr>
          <w:ilvl w:val="0"/>
          <w:numId w:val="1"/>
        </w:numPr>
      </w:pPr>
      <w:r w:rsidRPr="006E02A3">
        <w:t xml:space="preserve">Riksdagen tillkännager för regeringen som sin mening vad som anförs i motionen om </w:t>
      </w:r>
      <w:r w:rsidRPr="006E02A3">
        <w:rPr>
          <w:szCs w:val="24"/>
        </w:rPr>
        <w:t>att Socialstyrelsen bör ges i uppdrag att utvärdera den psykiatriska vården utifrån hbt-perspektiv.</w:t>
      </w:r>
    </w:p>
    <w:p w:rsidR="006E02A3" w:rsidRPr="006E02A3" w:rsidRDefault="006E02A3"/>
    <w:p w:rsidR="006E02A3" w:rsidRPr="006E02A3" w:rsidRDefault="006E02A3">
      <w:pPr>
        <w:pStyle w:val="Normaltindrag"/>
      </w:pPr>
    </w:p>
    <w:p w:rsidR="006E02A3" w:rsidRPr="006E02A3" w:rsidRDefault="006E02A3">
      <w:pPr>
        <w:pStyle w:val="Normaltindrag"/>
      </w:pPr>
    </w:p>
    <w:p w:rsidR="006E02A3" w:rsidRPr="006E02A3" w:rsidRDefault="006E02A3">
      <w:pPr>
        <w:pStyle w:val="Normaltindrag"/>
      </w:pPr>
    </w:p>
    <w:p w:rsidR="006E02A3" w:rsidRPr="006E02A3" w:rsidRDefault="006E02A3"/>
    <w:p w:rsidR="006E02A3" w:rsidRPr="006E02A3" w:rsidRDefault="006E02A3"/>
    <w:p w:rsidR="006E02A3" w:rsidRPr="006E02A3" w:rsidRDefault="006E02A3"/>
    <w:p w:rsidR="006E02A3" w:rsidRPr="006E02A3" w:rsidRDefault="006E02A3"/>
    <w:p w:rsidR="006E02A3" w:rsidRPr="006E02A3" w:rsidRDefault="006E02A3">
      <w:r w:rsidRPr="006E02A3">
        <w:rPr>
          <w:rStyle w:val="Fotnotsreferens"/>
        </w:rPr>
        <w:lastRenderedPageBreak/>
        <w:t>1</w:t>
      </w:r>
      <w:r w:rsidRPr="006E02A3">
        <w:t xml:space="preserve"> Yrkande 2 hänvisat till UbU.</w:t>
      </w:r>
    </w:p>
    <w:p w:rsidR="006E02A3" w:rsidRPr="006E02A3" w:rsidRDefault="006E02A3">
      <w:pPr>
        <w:pStyle w:val="Rubrik1"/>
        <w:pageBreakBefore/>
        <w:spacing w:before="0"/>
      </w:pPr>
      <w:r w:rsidRPr="006E02A3">
        <w:t>Motivering</w:t>
      </w:r>
    </w:p>
    <w:p w:rsidR="006E02A3" w:rsidRPr="006E02A3" w:rsidRDefault="006E02A3">
      <w:r w:rsidRPr="006E02A3">
        <w:t>Hälso- och sjukvården ska säkerställa rätten till likabehandling utan å</w:t>
      </w:r>
      <w:r w:rsidRPr="006E02A3">
        <w:t>t</w:t>
      </w:r>
      <w:r w:rsidRPr="006E02A3">
        <w:t>skillnad på grund av sexuell läggning eller könsidentitet. Därför behövs en medveten strategi för att kvalitetssäkra vården för homosexuella, bisexuella och tran</w:t>
      </w:r>
      <w:r w:rsidRPr="006E02A3">
        <w:t>s</w:t>
      </w:r>
      <w:r w:rsidRPr="006E02A3">
        <w:t>personer. Risken är stor att människor inte söker hjälp om de uppl</w:t>
      </w:r>
      <w:r w:rsidRPr="006E02A3">
        <w:t>e</w:t>
      </w:r>
      <w:r w:rsidRPr="006E02A3">
        <w:t>ver att hälso- och sjukvården inte respekterar dem. Det finns enligt vår m</w:t>
      </w:r>
      <w:r w:rsidRPr="006E02A3">
        <w:t>e</w:t>
      </w:r>
      <w:r w:rsidRPr="006E02A3">
        <w:t>ning en stor risk att hbt-personer får en sämre hälso- och sjukvård på grund av bristande kunskap och kompetens. Socialstyrelsen bör därför ges i uppdrag att se över vilka åtgärder som krävs för att höja hbt</w:t>
      </w:r>
      <w:r w:rsidRPr="006E02A3">
        <w:t>-kompetensen inom hälso- och sjukvårdsområdet. Detta bör riksdagen som sin mening ge regeringen till känna.</w:t>
      </w:r>
    </w:p>
    <w:p w:rsidR="006E02A3" w:rsidRPr="006E02A3" w:rsidRDefault="006E02A3">
      <w:pPr>
        <w:pStyle w:val="Normaltindrag"/>
      </w:pPr>
      <w:r w:rsidRPr="006E02A3">
        <w:t>För att säkra hbt-kompetensen inom hälso- och sjukvården krävs det också att samtliga vårdutbildningar har ett hbt-perspektiv på sin utbildning. Detta bör riksdagen som sin mening ge regeringen till känna.</w:t>
      </w:r>
    </w:p>
    <w:p w:rsidR="006E02A3" w:rsidRPr="006E02A3" w:rsidRDefault="006E02A3">
      <w:pPr>
        <w:pStyle w:val="Normaltindrag"/>
      </w:pPr>
      <w:r w:rsidRPr="006E02A3">
        <w:t>Av en rapport från Folkhälsoinstitutet (2005:19) framgår att hbt-personer har en betydligt sämre psykisk hälsa än den övriga befolkningen. Den största skillnaden när det gäller hälsotillståndet finns bland homo- eller bisexuella kvinnor jämfört med heterosexuella kvinnor. Transpersoner mår generellt psykiskt sämre än gruppen homo- eller bisexuella. Vi menar att Folkhälsoi</w:t>
      </w:r>
      <w:r w:rsidRPr="006E02A3">
        <w:t>n</w:t>
      </w:r>
      <w:r w:rsidRPr="006E02A3">
        <w:t>stitutet i högre grad borde uppmärksamma hbt-personers livsvillkor. Rege</w:t>
      </w:r>
      <w:r w:rsidRPr="006E02A3">
        <w:t>r</w:t>
      </w:r>
      <w:r w:rsidRPr="006E02A3">
        <w:t>ingen bör därför återkomma med förslag på hur hbt-perspektivet kan stärkas i folkhälsomålen. Detta bör riksdagen som sin mening ge regeringen till känna.</w:t>
      </w:r>
    </w:p>
    <w:p w:rsidR="006E02A3" w:rsidRPr="006E02A3" w:rsidRDefault="006E02A3">
      <w:pPr>
        <w:pStyle w:val="Normaltindrag"/>
      </w:pPr>
      <w:r w:rsidRPr="006E02A3">
        <w:t>Folkhälsoinstitutets rapport från 2005 visar att självmordsförsök är dubbelt så vanliga bland homo- och bisexuella personer jämfört med den övriga b</w:t>
      </w:r>
      <w:r w:rsidRPr="006E02A3">
        <w:t>e</w:t>
      </w:r>
      <w:r w:rsidRPr="006E02A3">
        <w:t>folkningen. Särskilt vanligt är detta bland hbt-ungdomar. Så många som häl</w:t>
      </w:r>
      <w:r w:rsidRPr="006E02A3">
        <w:t>f</w:t>
      </w:r>
      <w:r w:rsidRPr="006E02A3">
        <w:t>ten av de tillfrågade transpersonerna uppgav att de någon gång övervägt att ta sina liv. I Socialstyrelsens och Statens folkhälsoinstituts förslag till ett nati</w:t>
      </w:r>
      <w:r w:rsidRPr="006E02A3">
        <w:t>o</w:t>
      </w:r>
      <w:r w:rsidRPr="006E02A3">
        <w:t>nellt program för att förebygga självmord som presenterades 2006 uppmär</w:t>
      </w:r>
      <w:r w:rsidRPr="006E02A3">
        <w:t>k</w:t>
      </w:r>
      <w:r w:rsidRPr="006E02A3">
        <w:t>sammades trots detta inte hbt-personers speciella utsatthet. I regeringens pr</w:t>
      </w:r>
      <w:r w:rsidRPr="006E02A3">
        <w:t>o</w:t>
      </w:r>
      <w:r w:rsidRPr="006E02A3">
        <w:t>position En förnyad folkhälsopolitik (prop. 2007/08:110) nämns inte heller gruppen hbt-personer särskilt. I tre nya regerings</w:t>
      </w:r>
      <w:r w:rsidRPr="006E02A3">
        <w:t>uppdrag för att förhindra självmord till bland annat Folkhälsoinstitutet och Socialstyrelsen lyser också hbt-perspektivet med sin frånvaro.</w:t>
      </w:r>
    </w:p>
    <w:p w:rsidR="006E02A3" w:rsidRPr="006E02A3" w:rsidRDefault="006E02A3">
      <w:pPr>
        <w:pStyle w:val="Normaltindrag"/>
      </w:pPr>
      <w:r w:rsidRPr="006E02A3">
        <w:t>Regeringen bör därför ge Statens folkhälsoinstitut och Socialstyrelsen i uppdrag att utreda hur samhällets fördomar och heteronormativiteten påverkar självmordfrekvensen för hbt-personer samt komma med förslag på verktyg för att förebygga självmord inom denna grupp. Detta bör riksdagen som sin mening ge regeringen till känna.</w:t>
      </w:r>
    </w:p>
    <w:p w:rsidR="006E02A3" w:rsidRPr="006E02A3" w:rsidRDefault="006E02A3">
      <w:pPr>
        <w:pStyle w:val="Normaltindrag"/>
      </w:pPr>
      <w:r w:rsidRPr="006E02A3">
        <w:t>Det finns kvarlevor inom den psykiatriska och psykologiska kunskapss</w:t>
      </w:r>
      <w:r w:rsidRPr="006E02A3">
        <w:t>y</w:t>
      </w:r>
      <w:r w:rsidRPr="006E02A3">
        <w:t>nen som innebär att avvikelser från heteronormativiteten är ett symtom på ohälsa eller en avvikelse från det normala. Internationellt finns det exempe</w:t>
      </w:r>
      <w:r w:rsidRPr="006E02A3">
        <w:t>l</w:t>
      </w:r>
      <w:r w:rsidRPr="006E02A3">
        <w:t>vis psykoanalytiska föreningar som inte tillåter homosexuella att bli analyt</w:t>
      </w:r>
      <w:r w:rsidRPr="006E02A3">
        <w:t>i</w:t>
      </w:r>
      <w:r w:rsidRPr="006E02A3">
        <w:t>ker. Det är en allvarlig situation utifrån den kunskap vi har om unga homo-, bi- och transsexuellas behov av psykologiskt stöd på grund av det omgivande samhällets fördomar och förtryck.</w:t>
      </w:r>
    </w:p>
    <w:p w:rsidR="006E02A3" w:rsidRPr="006E02A3" w:rsidRDefault="006E02A3">
      <w:pPr>
        <w:pStyle w:val="Normaltindrag"/>
        <w:rPr>
          <w:szCs w:val="24"/>
        </w:rPr>
      </w:pPr>
      <w:r w:rsidRPr="006E02A3">
        <w:t xml:space="preserve">Dessa uppgifter och påpekanden har gjorts gång efter annan, men även här kan vi konstatera </w:t>
      </w:r>
      <w:r w:rsidRPr="006E02A3">
        <w:rPr>
          <w:szCs w:val="24"/>
        </w:rPr>
        <w:t>att lite har skett i konkret mening. Det behövs en analys av psykiatrin ur ett hbt-perspektiv som innefattar både konkreta insatser och värdegrund. Därför anser Vänsterpartiet att Socialstyrelsen bör ges i uppdrag att utvärdera den psykiatriska vården utifrån hbt-perspektiv. Detta bör riksd</w:t>
      </w:r>
      <w:r w:rsidRPr="006E02A3">
        <w:rPr>
          <w:szCs w:val="24"/>
        </w:rPr>
        <w:t>a</w:t>
      </w:r>
      <w:r w:rsidRPr="006E02A3">
        <w:rPr>
          <w:szCs w:val="24"/>
        </w:rPr>
        <w:t>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02A3">
        <w:trPr>
          <w:cantSplit/>
        </w:trPr>
        <w:tc>
          <w:tcPr>
            <w:tcW w:w="3046" w:type="dxa"/>
          </w:tcPr>
          <w:p w:rsidR="006E02A3" w:rsidRPr="006E02A3" w:rsidRDefault="006E02A3">
            <w:pPr>
              <w:pStyle w:val="UnderskriftDatum"/>
              <w:spacing w:before="240"/>
            </w:pPr>
            <w:r w:rsidRPr="006E02A3">
              <w:t>Stockholm den 24 oktober 2010</w:t>
            </w:r>
          </w:p>
        </w:tc>
        <w:tc>
          <w:tcPr>
            <w:tcW w:w="3047" w:type="dxa"/>
          </w:tcPr>
          <w:p w:rsidR="006E02A3" w:rsidRPr="006E02A3" w:rsidRDefault="006E02A3">
            <w:pPr>
              <w:pStyle w:val="Underskrifter"/>
              <w:spacing w:before="240"/>
            </w:pPr>
          </w:p>
        </w:tc>
      </w:tr>
      <w:tr w:rsidR="00000000" w:rsidRPr="006E02A3">
        <w:trPr>
          <w:cantSplit/>
        </w:trPr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  <w:r w:rsidRPr="006E02A3">
              <w:t>Eva Olofsson (V)</w:t>
            </w:r>
          </w:p>
        </w:tc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</w:p>
        </w:tc>
      </w:tr>
      <w:tr w:rsidR="00000000" w:rsidRPr="006E02A3">
        <w:trPr>
          <w:cantSplit/>
        </w:trPr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  <w:r w:rsidRPr="006E02A3">
              <w:t>Bengt Berg (V)</w:t>
            </w:r>
          </w:p>
        </w:tc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  <w:r w:rsidRPr="006E02A3">
              <w:t>Marianne Berg (V)</w:t>
            </w:r>
          </w:p>
        </w:tc>
      </w:tr>
      <w:tr w:rsidR="00000000" w:rsidRPr="006E02A3">
        <w:trPr>
          <w:cantSplit/>
        </w:trPr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  <w:r w:rsidRPr="006E02A3">
              <w:t>Amineh Kakabaveh (V)</w:t>
            </w:r>
          </w:p>
        </w:tc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  <w:r w:rsidRPr="006E02A3">
              <w:t>Lena Olsson (V)</w:t>
            </w:r>
          </w:p>
        </w:tc>
      </w:tr>
      <w:tr w:rsidR="00000000" w:rsidRPr="006E02A3">
        <w:trPr>
          <w:cantSplit/>
        </w:trPr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  <w:r w:rsidRPr="006E02A3">
              <w:t>Mia Sydow Mölleby (V)</w:t>
            </w:r>
          </w:p>
        </w:tc>
        <w:tc>
          <w:tcPr>
            <w:tcW w:w="3046" w:type="dxa"/>
          </w:tcPr>
          <w:p w:rsidR="006E02A3" w:rsidRPr="006E02A3" w:rsidRDefault="006E02A3">
            <w:pPr>
              <w:pStyle w:val="Underskrifter"/>
            </w:pPr>
          </w:p>
        </w:tc>
      </w:tr>
    </w:tbl>
    <w:p w:rsidR="006E02A3" w:rsidRPr="006E02A3" w:rsidRDefault="006E02A3">
      <w:pPr>
        <w:pStyle w:val="Normaltindrag"/>
      </w:pPr>
    </w:p>
    <w:sectPr w:rsidR="00000000" w:rsidRPr="006E02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2A3" w:rsidRPr="006E02A3" w:rsidRDefault="006E02A3">
      <w:r w:rsidRPr="006E02A3">
        <w:separator/>
      </w:r>
    </w:p>
  </w:endnote>
  <w:endnote w:type="continuationSeparator" w:id="0">
    <w:p w:rsidR="006E02A3" w:rsidRPr="006E02A3" w:rsidRDefault="006E02A3">
      <w:r w:rsidRPr="006E02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2A3" w:rsidRPr="006E02A3" w:rsidRDefault="006E02A3">
    <w:pPr>
      <w:pStyle w:val="Sidfot"/>
    </w:pPr>
    <w:r w:rsidRPr="006E02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99930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2A3" w:rsidRDefault="006E02A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02A3" w:rsidRDefault="006E02A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2A3" w:rsidRPr="006E02A3" w:rsidRDefault="006E02A3">
    <w:pPr>
      <w:pStyle w:val="Sidfot"/>
    </w:pPr>
    <w:r w:rsidRPr="006E02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97654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2A3" w:rsidRDefault="006E02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2A3" w:rsidRDefault="006E02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2A3" w:rsidRPr="006E02A3" w:rsidRDefault="006E02A3">
    <w:pPr>
      <w:pStyle w:val="Sidfot"/>
    </w:pPr>
    <w:r w:rsidRPr="006E02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62316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2A3" w:rsidRDefault="006E02A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2A3" w:rsidRDefault="006E02A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2A3" w:rsidRPr="006E02A3" w:rsidRDefault="006E02A3">
      <w:r w:rsidRPr="006E02A3">
        <w:separator/>
      </w:r>
    </w:p>
  </w:footnote>
  <w:footnote w:type="continuationSeparator" w:id="0">
    <w:p w:rsidR="006E02A3" w:rsidRPr="006E02A3" w:rsidRDefault="006E02A3">
      <w:r w:rsidRPr="006E02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2A3" w:rsidRPr="006E02A3" w:rsidRDefault="006E02A3">
    <w:pPr>
      <w:pStyle w:val="Sidhuvud"/>
    </w:pPr>
    <w:r w:rsidRPr="006E02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76794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2A3" w:rsidRDefault="006E02A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02A3" w:rsidRDefault="006E02A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2A3" w:rsidRPr="006E02A3" w:rsidRDefault="006E02A3">
    <w:pPr>
      <w:pStyle w:val="Sidhuvud"/>
    </w:pPr>
    <w:r w:rsidRPr="006E02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99188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2A3" w:rsidRDefault="006E02A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02A3" w:rsidRDefault="006E02A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2A3" w:rsidRPr="006E02A3" w:rsidRDefault="006E02A3">
    <w:pPr>
      <w:pStyle w:val="FSHNormal"/>
      <w:tabs>
        <w:tab w:val="right" w:pos="5840"/>
      </w:tabs>
    </w:pPr>
    <w:r w:rsidRPr="006E02A3">
      <w:br/>
    </w:r>
    <w:r w:rsidRPr="006E02A3">
      <w:fldChar w:fldCharType="begin" w:fldLock="1"/>
    </w:r>
    <w:r w:rsidRPr="006E02A3">
      <w:instrText xml:space="preserve"> DOCPROPERTY</w:instrText>
    </w:r>
    <w:r w:rsidRPr="006E02A3">
      <w:rPr>
        <w:sz w:val="18"/>
      </w:rPr>
      <w:instrText xml:space="preserve"> "YearUser" *\charformat </w:instrText>
    </w:r>
    <w:r w:rsidRPr="006E02A3">
      <w:fldChar w:fldCharType="separate"/>
    </w:r>
    <w:r w:rsidRPr="006E02A3">
      <w:t>2010/11</w:t>
    </w:r>
    <w:r w:rsidRPr="006E02A3">
      <w:fldChar w:fldCharType="end"/>
    </w:r>
    <w:r w:rsidRPr="006E02A3">
      <w:t xml:space="preserve"> </w:t>
    </w:r>
    <w:r w:rsidRPr="006E02A3">
      <w:tab/>
      <w:t xml:space="preserve">mnr: </w:t>
    </w:r>
    <w:r w:rsidRPr="006E02A3">
      <w:fldChar w:fldCharType="begin" w:fldLock="1"/>
    </w:r>
    <w:r w:rsidRPr="006E02A3">
      <w:instrText xml:space="preserve"> DOCPROPERTY</w:instrText>
    </w:r>
    <w:r w:rsidRPr="006E02A3">
      <w:rPr>
        <w:sz w:val="18"/>
      </w:rPr>
      <w:instrText xml:space="preserve"> "Motionsnummer" *\charformat </w:instrText>
    </w:r>
    <w:r w:rsidRPr="006E02A3">
      <w:fldChar w:fldCharType="separate"/>
    </w:r>
    <w:r w:rsidRPr="006E02A3">
      <w:t>So581</w:t>
    </w:r>
    <w:r w:rsidRPr="006E02A3">
      <w:fldChar w:fldCharType="end"/>
    </w:r>
    <w:r w:rsidRPr="006E02A3">
      <w:br/>
    </w:r>
    <w:r w:rsidRPr="006E02A3">
      <w:fldChar w:fldCharType="begin" w:fldLock="1"/>
    </w:r>
    <w:r w:rsidRPr="006E02A3">
      <w:instrText xml:space="preserve"> DOCPROPERTY</w:instrText>
    </w:r>
    <w:r w:rsidRPr="006E02A3">
      <w:rPr>
        <w:sz w:val="18"/>
      </w:rPr>
      <w:instrText xml:space="preserve"> "Samling" *\charformat </w:instrText>
    </w:r>
    <w:r w:rsidRPr="006E02A3">
      <w:fldChar w:fldCharType="end"/>
    </w:r>
    <w:r w:rsidRPr="006E02A3">
      <w:tab/>
      <w:t xml:space="preserve">pnr: </w:t>
    </w:r>
    <w:r w:rsidRPr="006E02A3">
      <w:fldChar w:fldCharType="begin" w:fldLock="1"/>
    </w:r>
    <w:r w:rsidRPr="006E02A3">
      <w:instrText xml:space="preserve"> DOCPROPERTY</w:instrText>
    </w:r>
    <w:r w:rsidRPr="006E02A3">
      <w:rPr>
        <w:sz w:val="18"/>
      </w:rPr>
      <w:instrText xml:space="preserve"> "Partinummer" *\charformat </w:instrText>
    </w:r>
    <w:r w:rsidRPr="006E02A3">
      <w:fldChar w:fldCharType="separate"/>
    </w:r>
    <w:r w:rsidRPr="006E02A3">
      <w:t>V504</w:t>
    </w:r>
    <w:r w:rsidRPr="006E02A3">
      <w:fldChar w:fldCharType="end"/>
    </w:r>
  </w:p>
  <w:p w:rsidR="006E02A3" w:rsidRPr="006E02A3" w:rsidRDefault="006E02A3">
    <w:pPr>
      <w:pStyle w:val="FSHRub1"/>
    </w:pPr>
    <w:r w:rsidRPr="006E02A3">
      <w:t>Motion till riksdagen</w:t>
    </w:r>
    <w:r w:rsidRPr="006E02A3">
      <w:br/>
    </w:r>
    <w:r w:rsidRPr="006E02A3">
      <w:fldChar w:fldCharType="begin" w:fldLock="1"/>
    </w:r>
    <w:r w:rsidRPr="006E02A3">
      <w:instrText xml:space="preserve"> DOCPROPERTY "YearUser" *\charformat </w:instrText>
    </w:r>
    <w:r w:rsidRPr="006E02A3">
      <w:fldChar w:fldCharType="separate"/>
    </w:r>
    <w:r w:rsidRPr="006E02A3">
      <w:t>2010/11</w:t>
    </w:r>
    <w:r w:rsidRPr="006E02A3">
      <w:fldChar w:fldCharType="end"/>
    </w:r>
    <w:r w:rsidRPr="006E02A3">
      <w:t>:</w:t>
    </w:r>
    <w:r w:rsidRPr="006E02A3">
      <w:fldChar w:fldCharType="begin" w:fldLock="1"/>
    </w:r>
    <w:r w:rsidRPr="006E02A3">
      <w:instrText xml:space="preserve"> DOCPROPERTY "Motionsnummer" *\charformat </w:instrText>
    </w:r>
    <w:r w:rsidRPr="006E02A3">
      <w:fldChar w:fldCharType="separate"/>
    </w:r>
    <w:r w:rsidRPr="006E02A3">
      <w:t>So581</w:t>
    </w:r>
    <w:r w:rsidRPr="006E02A3">
      <w:fldChar w:fldCharType="end"/>
    </w:r>
  </w:p>
  <w:p w:rsidR="006E02A3" w:rsidRPr="006E02A3" w:rsidRDefault="006E02A3">
    <w:pPr>
      <w:pStyle w:val="FSHNormalS5"/>
    </w:pPr>
    <w:r w:rsidRPr="006E02A3">
      <w:fldChar w:fldCharType="begin" w:fldLock="1"/>
    </w:r>
    <w:r w:rsidRPr="006E02A3">
      <w:instrText xml:space="preserve"> DOCPROPERTY "MotionarText" *\charformat </w:instrText>
    </w:r>
    <w:r w:rsidRPr="006E02A3">
      <w:fldChar w:fldCharType="separate"/>
    </w:r>
    <w:r w:rsidRPr="006E02A3">
      <w:t>av Eva Olofsson m.fl. (V)</w:t>
    </w:r>
    <w:r w:rsidRPr="006E02A3">
      <w:fldChar w:fldCharType="end"/>
    </w:r>
    <w:r w:rsidRPr="006E02A3">
      <w:br/>
    </w:r>
    <w:r w:rsidRPr="006E02A3">
      <w:fldChar w:fldCharType="begin" w:fldLock="1"/>
    </w:r>
    <w:r w:rsidRPr="006E02A3">
      <w:instrText xml:space="preserve"> DOCPROPERTY "SvarFrasKort" *\charformat </w:instrText>
    </w:r>
    <w:r w:rsidRPr="006E02A3">
      <w:fldChar w:fldCharType="end"/>
    </w:r>
  </w:p>
  <w:p w:rsidR="006E02A3" w:rsidRPr="006E02A3" w:rsidRDefault="006E02A3">
    <w:pPr>
      <w:pStyle w:val="FSHTitel"/>
    </w:pPr>
    <w:r w:rsidRPr="006E02A3">
      <w:fldChar w:fldCharType="begin" w:fldLock="1"/>
    </w:r>
    <w:r w:rsidRPr="006E02A3">
      <w:instrText xml:space="preserve"> DOCPROPERTY</w:instrText>
    </w:r>
    <w:r w:rsidRPr="006E02A3">
      <w:rPr>
        <w:sz w:val="18"/>
      </w:rPr>
      <w:instrText xml:space="preserve"> "RubrikSvar" *\charformat </w:instrText>
    </w:r>
    <w:r w:rsidRPr="006E02A3">
      <w:fldChar w:fldCharType="separate"/>
    </w:r>
    <w:r w:rsidRPr="006E02A3">
      <w:t>Hbt-personer i vården</w:t>
    </w:r>
    <w:r w:rsidRPr="006E02A3">
      <w:fldChar w:fldCharType="end"/>
    </w:r>
  </w:p>
  <w:p w:rsidR="006E02A3" w:rsidRPr="006E02A3" w:rsidRDefault="006E02A3">
    <w:pPr>
      <w:pStyle w:val="Normal00"/>
    </w:pPr>
  </w:p>
  <w:p w:rsidR="006E02A3" w:rsidRPr="006E02A3" w:rsidRDefault="006E02A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356794A"/>
    <w:multiLevelType w:val="hybridMultilevel"/>
    <w:tmpl w:val="5AFE4B0C"/>
    <w:lvl w:ilvl="0" w:tplc="F0CA012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79057869">
    <w:abstractNumId w:val="3"/>
  </w:num>
  <w:num w:numId="2" w16cid:durableId="769160623">
    <w:abstractNumId w:val="2"/>
  </w:num>
  <w:num w:numId="3" w16cid:durableId="345526586">
    <w:abstractNumId w:val="1"/>
  </w:num>
  <w:num w:numId="4" w16cid:durableId="1608661366">
    <w:abstractNumId w:val="0"/>
  </w:num>
  <w:num w:numId="5" w16cid:durableId="579023867">
    <w:abstractNumId w:val="7"/>
  </w:num>
  <w:num w:numId="6" w16cid:durableId="1639067482">
    <w:abstractNumId w:val="6"/>
  </w:num>
  <w:num w:numId="7" w16cid:durableId="1096097644">
    <w:abstractNumId w:val="5"/>
  </w:num>
  <w:num w:numId="8" w16cid:durableId="461701730">
    <w:abstractNumId w:val="4"/>
  </w:num>
  <w:num w:numId="9" w16cid:durableId="284387496">
    <w:abstractNumId w:val="8"/>
  </w:num>
  <w:num w:numId="10" w16cid:durableId="1032346732">
    <w:abstractNumId w:val="9"/>
  </w:num>
  <w:num w:numId="11" w16cid:durableId="1833793742">
    <w:abstractNumId w:val="10"/>
  </w:num>
  <w:num w:numId="12" w16cid:durableId="975910797">
    <w:abstractNumId w:val="13"/>
  </w:num>
  <w:num w:numId="13" w16cid:durableId="1268462680">
    <w:abstractNumId w:val="15"/>
  </w:num>
  <w:num w:numId="14" w16cid:durableId="1427964566">
    <w:abstractNumId w:val="16"/>
  </w:num>
  <w:num w:numId="15" w16cid:durableId="1985692728">
    <w:abstractNumId w:val="11"/>
  </w:num>
  <w:num w:numId="16" w16cid:durableId="1791388949">
    <w:abstractNumId w:val="19"/>
  </w:num>
  <w:num w:numId="17" w16cid:durableId="34738699">
    <w:abstractNumId w:val="17"/>
  </w:num>
  <w:num w:numId="18" w16cid:durableId="1485118944">
    <w:abstractNumId w:val="14"/>
  </w:num>
  <w:num w:numId="19" w16cid:durableId="1274245336">
    <w:abstractNumId w:val="12"/>
  </w:num>
  <w:num w:numId="20" w16cid:durableId="16753763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6"/>
    <w:docVar w:name="PersonGUIDs" w:val="{A3B7BC79-15BA-4C82-9CD3-12632F50DBA0},{10E650C0-A0E6-4311-A120-15D4BD3DB285},{079D4C93-6EA5-4909-B653-4590FBA50231},{BDC31807-F167-4EDB-8926-D170E9714DCF},{B8443C99-B93B-402A-AFCA-57EA04B1EEFE},{A7313DCE-0B34-4C27-86F8-BEBB9AB9F316}"/>
  </w:docVars>
  <w:rsids>
    <w:rsidRoot w:val="00D61587"/>
    <w:rsid w:val="006E02A3"/>
    <w:rsid w:val="00D6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D279D10-2075-48EF-B930-1663F462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9035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189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0480271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39860115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2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9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914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964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36903550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47356344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4152</Characters>
  <Application>Microsoft Office Word</Application>
  <DocSecurity>4</DocSecurity>
  <Lines>92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V504</vt:lpstr>
    </vt:vector>
  </TitlesOfParts>
  <Company>Riksdagen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V504</dc:title>
  <dc:subject>V504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2010-11-16T14:39:00Z</cp:lastPrinted>
  <dcterms:created xsi:type="dcterms:W3CDTF">2025-12-18T02:49:00Z</dcterms:created>
  <dcterms:modified xsi:type="dcterms:W3CDTF">2025-12-18T02:49:00Z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mot2000_530_2010-11-16</vt:lpwstr>
  </property>
  <property fmtid="{D5CDD505-2E9C-101B-9397-08002B2CF9AE}" pid="3" name="version">
    <vt:lpwstr>mot2000_523_2010-10-15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Hbt-personer i 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Hbt-personer i vården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V504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Eva Olofsson m.fl. (V)</vt:lpwstr>
  </property>
  <property fmtid="{D5CDD505-2E9C-101B-9397-08002B2CF9AE}" pid="26" name="MotionarLista">
    <vt:lpwstr>Olofsson, Eva (V)\Berg, Bengt (V)\Berg, Marianne (V)\Kakabaveh, Amineh (V)\Olsson, Lena (V)\Sydow Mölleby, Mia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Olofsson (V), Bengt Berg (V), Marianne Berg (V), Amineh Kakabaveh (V), Lena Olsson (V), Mia Sydow Mölleby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2010</vt:lpwstr>
  </property>
  <property fmtid="{D5CDD505-2E9C-101B-9397-08002B2CF9AE}" pid="44" name="NotesUID">
    <vt:lpwstr>anna-maria.westwood@riksdagen.se</vt:lpwstr>
  </property>
  <property fmtid="{D5CDD505-2E9C-101B-9397-08002B2CF9AE}" pid="45" name="ReservUID">
    <vt:lpwstr>aa0430ab</vt:lpwstr>
  </property>
  <property fmtid="{D5CDD505-2E9C-101B-9397-08002B2CF9AE}" pid="46" name="MotionID">
    <vt:lpwstr>20102011000000000086000005040075</vt:lpwstr>
  </property>
  <property fmtid="{D5CDD505-2E9C-101B-9397-08002B2CF9AE}" pid="47" name="datum">
    <vt:lpwstr>101024</vt:lpwstr>
  </property>
  <property fmtid="{D5CDD505-2E9C-101B-9397-08002B2CF9AE}" pid="48" name="avsändar-e-post">
    <vt:lpwstr>anna-maria.westwood@riksdagen.se</vt:lpwstr>
  </property>
  <property fmtid="{D5CDD505-2E9C-101B-9397-08002B2CF9AE}" pid="49" name="id">
    <vt:lpwstr>20102011000000000086000005040075</vt:lpwstr>
  </property>
  <property fmtid="{D5CDD505-2E9C-101B-9397-08002B2CF9AE}" pid="50" name="nummer">
    <vt:lpwstr>581</vt:lpwstr>
  </property>
  <property fmtid="{D5CDD505-2E9C-101B-9397-08002B2CF9AE}" pid="51" name="utskottsbeteckning">
    <vt:lpwstr>So</vt:lpwstr>
  </property>
  <property fmtid="{D5CDD505-2E9C-101B-9397-08002B2CF9AE}" pid="52" name="GlobalUID">
    <vt:lpwstr>{DE188835-ED32-4357-928C-26C5E7990CD5}</vt:lpwstr>
  </property>
  <property fmtid="{D5CDD505-2E9C-101B-9397-08002B2CF9AE}" pid="53" name="Överföringar">
    <vt:i4>0</vt:i4>
  </property>
  <property fmtid="{D5CDD505-2E9C-101B-9397-08002B2CF9AE}" pid="54" name="Checksum">
    <vt:lpwstr>*0001003934316*</vt:lpwstr>
  </property>
  <property fmtid="{D5CDD505-2E9C-101B-9397-08002B2CF9AE}" pid="55" name="skuggnummer">
    <vt:lpwstr>3052</vt:lpwstr>
  </property>
  <property fmtid="{D5CDD505-2E9C-101B-9397-08002B2CF9AE}" pid="56" name="urixVersion">
    <vt:lpwstr>4.3.0.0</vt:lpwstr>
  </property>
  <property fmtid="{D5CDD505-2E9C-101B-9397-08002B2CF9AE}" pid="57" name="urixOrigin">
    <vt:lpwstr>101116 15:39:14.465</vt:lpwstr>
  </property>
  <property fmtid="{D5CDD505-2E9C-101B-9397-08002B2CF9AE}" pid="58" name="urixGuid">
    <vt:lpwstr>{7BE355DB-8B50-49DA-AEA5-631930DEAB2B}</vt:lpwstr>
  </property>
</Properties>
</file>