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267" w:type="dxa"/>
        <w:tblLayout w:type="fixed"/>
        <w:tblCellMar>
          <w:left w:w="107" w:type="dxa"/>
          <w:right w:w="107" w:type="dxa"/>
        </w:tblCellMar>
        <w:tblLook w:val="0000"/>
      </w:tblPr>
      <w:tblGrid>
        <w:gridCol w:w="2268"/>
        <w:gridCol w:w="1134"/>
        <w:gridCol w:w="1865"/>
      </w:tblGrid>
      <w:tr w:rsidR="003F00E8" w:rsidTr="00170BBA">
        <w:tc>
          <w:tcPr>
            <w:tcW w:w="2268" w:type="dxa"/>
          </w:tcPr>
          <w:p w:rsidR="003F00E8" w:rsidRDefault="003F00E8" w:rsidP="00170BBA">
            <w:pPr>
              <w:framePr w:w="5035" w:h="1644" w:wrap="notBeside" w:vAnchor="page" w:hAnchor="page" w:x="6573" w:y="721"/>
              <w:rPr>
                <w:rFonts w:ascii="TradeGothic" w:hAnsi="TradeGothic"/>
                <w:i/>
                <w:sz w:val="18"/>
              </w:rPr>
            </w:pPr>
          </w:p>
        </w:tc>
        <w:tc>
          <w:tcPr>
            <w:tcW w:w="2999" w:type="dxa"/>
            <w:gridSpan w:val="2"/>
          </w:tcPr>
          <w:p w:rsidR="003F00E8" w:rsidRPr="00FC256F" w:rsidRDefault="003F00E8" w:rsidP="00FC256F">
            <w:pPr>
              <w:framePr w:w="5035" w:h="1644" w:wrap="notBeside" w:vAnchor="page" w:hAnchor="page" w:x="6573" w:y="721"/>
              <w:jc w:val="center"/>
              <w:rPr>
                <w:rFonts w:ascii="TradeGothic" w:hAnsi="TradeGothic"/>
                <w:sz w:val="18"/>
              </w:rPr>
            </w:pPr>
          </w:p>
        </w:tc>
      </w:tr>
      <w:tr w:rsidR="003F00E8" w:rsidTr="00170BBA">
        <w:tc>
          <w:tcPr>
            <w:tcW w:w="5267" w:type="dxa"/>
            <w:gridSpan w:val="3"/>
          </w:tcPr>
          <w:p w:rsidR="003F00E8" w:rsidRDefault="003F00E8" w:rsidP="00170BBA">
            <w:pPr>
              <w:framePr w:w="5035" w:h="1644" w:wrap="notBeside" w:vAnchor="page" w:hAnchor="page" w:x="6573" w:y="721"/>
              <w:rPr>
                <w:rFonts w:ascii="TradeGothic" w:hAnsi="TradeGothic"/>
                <w:b/>
              </w:rPr>
            </w:pPr>
            <w:r>
              <w:rPr>
                <w:rFonts w:ascii="TradeGothic" w:hAnsi="TradeGothic"/>
                <w:b/>
                <w:sz w:val="22"/>
              </w:rPr>
              <w:t>Kommenterad dagordning</w:t>
            </w:r>
          </w:p>
        </w:tc>
      </w:tr>
      <w:tr w:rsidR="003F00E8" w:rsidTr="00170BBA">
        <w:tc>
          <w:tcPr>
            <w:tcW w:w="3402" w:type="dxa"/>
            <w:gridSpan w:val="2"/>
          </w:tcPr>
          <w:p w:rsidR="003F00E8" w:rsidRPr="00ED10A8" w:rsidRDefault="003F00E8" w:rsidP="00170BBA">
            <w:pPr>
              <w:framePr w:w="5035" w:h="1644" w:wrap="notBeside" w:vAnchor="page" w:hAnchor="page" w:x="6573" w:y="721"/>
              <w:rPr>
                <w:rFonts w:ascii="TradeGothic" w:hAnsi="TradeGothic"/>
                <w:b/>
              </w:rPr>
            </w:pPr>
            <w:r>
              <w:rPr>
                <w:rFonts w:ascii="TradeGothic" w:hAnsi="TradeGothic"/>
                <w:b/>
                <w:sz w:val="22"/>
              </w:rPr>
              <w:t>rådet</w:t>
            </w:r>
          </w:p>
        </w:tc>
        <w:tc>
          <w:tcPr>
            <w:tcW w:w="1865" w:type="dxa"/>
          </w:tcPr>
          <w:p w:rsidR="003F00E8" w:rsidRDefault="003F00E8" w:rsidP="00170BBA">
            <w:pPr>
              <w:framePr w:w="5035" w:h="1644" w:wrap="notBeside" w:vAnchor="page" w:hAnchor="page" w:x="6573" w:y="721"/>
            </w:pPr>
          </w:p>
        </w:tc>
      </w:tr>
      <w:tr w:rsidR="003F00E8" w:rsidTr="00170BBA">
        <w:tc>
          <w:tcPr>
            <w:tcW w:w="2268" w:type="dxa"/>
          </w:tcPr>
          <w:p w:rsidR="003F00E8" w:rsidRDefault="003F00E8" w:rsidP="005277FD">
            <w:pPr>
              <w:framePr w:w="5035" w:h="1644" w:wrap="notBeside" w:vAnchor="page" w:hAnchor="page" w:x="6573" w:y="721"/>
            </w:pPr>
            <w:r>
              <w:t>2012-12-03</w:t>
            </w:r>
          </w:p>
        </w:tc>
        <w:tc>
          <w:tcPr>
            <w:tcW w:w="2999" w:type="dxa"/>
            <w:gridSpan w:val="2"/>
          </w:tcPr>
          <w:p w:rsidR="003F00E8" w:rsidRPr="00ED583F" w:rsidRDefault="003F00E8" w:rsidP="00170BBA">
            <w:pPr>
              <w:framePr w:w="5035" w:h="1644" w:wrap="notBeside" w:vAnchor="page" w:hAnchor="page" w:x="6573" w:y="721"/>
              <w:rPr>
                <w:sz w:val="20"/>
              </w:rPr>
            </w:pPr>
          </w:p>
        </w:tc>
      </w:tr>
      <w:tr w:rsidR="003F00E8" w:rsidTr="00170BBA">
        <w:tc>
          <w:tcPr>
            <w:tcW w:w="2268" w:type="dxa"/>
          </w:tcPr>
          <w:p w:rsidR="003F00E8" w:rsidRDefault="003F00E8" w:rsidP="00170BBA">
            <w:pPr>
              <w:framePr w:w="5035" w:h="1644" w:wrap="notBeside" w:vAnchor="page" w:hAnchor="page" w:x="6573" w:y="721"/>
            </w:pPr>
          </w:p>
        </w:tc>
        <w:tc>
          <w:tcPr>
            <w:tcW w:w="2999" w:type="dxa"/>
            <w:gridSpan w:val="2"/>
          </w:tcPr>
          <w:p w:rsidR="003F00E8" w:rsidRDefault="003F00E8" w:rsidP="00170BBA">
            <w:pPr>
              <w:framePr w:w="5035" w:h="1644" w:wrap="notBeside" w:vAnchor="page" w:hAnchor="page" w:x="6573" w:y="721"/>
            </w:pPr>
          </w:p>
        </w:tc>
      </w:tr>
    </w:tbl>
    <w:tbl>
      <w:tblPr>
        <w:tblW w:w="0" w:type="auto"/>
        <w:tblLayout w:type="fixed"/>
        <w:tblLook w:val="0000"/>
      </w:tblPr>
      <w:tblGrid>
        <w:gridCol w:w="4911"/>
      </w:tblGrid>
      <w:tr w:rsidR="003F00E8" w:rsidTr="00170BBA">
        <w:trPr>
          <w:trHeight w:val="284"/>
        </w:trPr>
        <w:tc>
          <w:tcPr>
            <w:tcW w:w="4911" w:type="dxa"/>
          </w:tcPr>
          <w:p w:rsidR="003F00E8" w:rsidRDefault="003F00E8" w:rsidP="00170BBA">
            <w:pPr>
              <w:pStyle w:val="Avsndare"/>
              <w:framePr w:h="2483" w:wrap="notBeside" w:x="1504"/>
              <w:rPr>
                <w:b/>
                <w:i w:val="0"/>
                <w:sz w:val="22"/>
              </w:rPr>
            </w:pPr>
            <w:r>
              <w:rPr>
                <w:b/>
                <w:i w:val="0"/>
                <w:sz w:val="22"/>
              </w:rPr>
              <w:t>Statsrådsberedningen</w:t>
            </w:r>
          </w:p>
        </w:tc>
      </w:tr>
      <w:tr w:rsidR="003F00E8" w:rsidTr="00170BBA">
        <w:trPr>
          <w:trHeight w:val="284"/>
        </w:trPr>
        <w:tc>
          <w:tcPr>
            <w:tcW w:w="4911" w:type="dxa"/>
          </w:tcPr>
          <w:p w:rsidR="003F00E8" w:rsidRDefault="003F00E8" w:rsidP="00170BBA">
            <w:pPr>
              <w:pStyle w:val="Avsndare"/>
              <w:framePr w:h="2483" w:wrap="notBeside" w:x="1504"/>
              <w:rPr>
                <w:bCs/>
                <w:iCs/>
              </w:rPr>
            </w:pPr>
          </w:p>
        </w:tc>
      </w:tr>
      <w:tr w:rsidR="003F00E8" w:rsidRPr="00ED10A8" w:rsidTr="00170BBA">
        <w:trPr>
          <w:trHeight w:val="284"/>
        </w:trPr>
        <w:tc>
          <w:tcPr>
            <w:tcW w:w="4911" w:type="dxa"/>
          </w:tcPr>
          <w:p w:rsidR="003F00E8" w:rsidRDefault="003F00E8" w:rsidP="00170BBA">
            <w:pPr>
              <w:pStyle w:val="Avsndare"/>
              <w:framePr w:h="2483" w:wrap="notBeside" w:x="1504"/>
              <w:rPr>
                <w:bCs/>
                <w:iCs/>
              </w:rPr>
            </w:pPr>
            <w:r>
              <w:rPr>
                <w:bCs/>
                <w:iCs/>
              </w:rPr>
              <w:t>Kansliet för samordning av EU-frågor</w:t>
            </w:r>
          </w:p>
        </w:tc>
      </w:tr>
      <w:tr w:rsidR="003F00E8" w:rsidRPr="00ED10A8" w:rsidTr="00170BBA">
        <w:trPr>
          <w:trHeight w:val="284"/>
        </w:trPr>
        <w:tc>
          <w:tcPr>
            <w:tcW w:w="4911" w:type="dxa"/>
          </w:tcPr>
          <w:p w:rsidR="003F00E8" w:rsidRDefault="003F00E8" w:rsidP="00170BBA">
            <w:pPr>
              <w:pStyle w:val="Avsndare"/>
              <w:framePr w:h="2483" w:wrap="notBeside" w:x="1504"/>
              <w:rPr>
                <w:bCs/>
                <w:iCs/>
              </w:rPr>
            </w:pPr>
          </w:p>
        </w:tc>
      </w:tr>
      <w:tr w:rsidR="003F00E8" w:rsidRPr="00ED10A8" w:rsidTr="00170BBA">
        <w:trPr>
          <w:trHeight w:val="284"/>
        </w:trPr>
        <w:tc>
          <w:tcPr>
            <w:tcW w:w="4911" w:type="dxa"/>
          </w:tcPr>
          <w:p w:rsidR="003F00E8" w:rsidRDefault="003F00E8" w:rsidP="00170BBA">
            <w:pPr>
              <w:pStyle w:val="Avsndare"/>
              <w:framePr w:h="2483" w:wrap="notBeside" w:x="1504"/>
              <w:rPr>
                <w:bCs/>
                <w:iCs/>
              </w:rPr>
            </w:pPr>
          </w:p>
        </w:tc>
      </w:tr>
      <w:tr w:rsidR="003F00E8" w:rsidRPr="00ED10A8" w:rsidTr="00170BBA">
        <w:trPr>
          <w:trHeight w:val="284"/>
        </w:trPr>
        <w:tc>
          <w:tcPr>
            <w:tcW w:w="4911" w:type="dxa"/>
          </w:tcPr>
          <w:p w:rsidR="003F00E8" w:rsidRDefault="003F00E8" w:rsidP="00170BBA">
            <w:pPr>
              <w:pStyle w:val="Avsndare"/>
              <w:framePr w:h="2483" w:wrap="notBeside" w:x="1504"/>
              <w:rPr>
                <w:bCs/>
                <w:iCs/>
              </w:rPr>
            </w:pPr>
          </w:p>
        </w:tc>
      </w:tr>
      <w:tr w:rsidR="003F00E8" w:rsidRPr="00ED10A8" w:rsidTr="00170BBA">
        <w:trPr>
          <w:trHeight w:val="284"/>
        </w:trPr>
        <w:tc>
          <w:tcPr>
            <w:tcW w:w="4911" w:type="dxa"/>
          </w:tcPr>
          <w:p w:rsidR="003F00E8" w:rsidRDefault="003F00E8" w:rsidP="00170BBA">
            <w:pPr>
              <w:pStyle w:val="Avsndare"/>
              <w:framePr w:h="2483" w:wrap="notBeside" w:x="1504"/>
              <w:rPr>
                <w:bCs/>
                <w:iCs/>
              </w:rPr>
            </w:pPr>
          </w:p>
        </w:tc>
      </w:tr>
      <w:tr w:rsidR="003F00E8" w:rsidRPr="00ED10A8" w:rsidTr="00170BBA">
        <w:trPr>
          <w:trHeight w:val="284"/>
        </w:trPr>
        <w:tc>
          <w:tcPr>
            <w:tcW w:w="4911" w:type="dxa"/>
          </w:tcPr>
          <w:p w:rsidR="003F00E8" w:rsidRDefault="003F00E8" w:rsidP="00170BBA">
            <w:pPr>
              <w:pStyle w:val="Avsndare"/>
              <w:framePr w:h="2483" w:wrap="notBeside" w:x="1504"/>
              <w:rPr>
                <w:bCs/>
                <w:iCs/>
              </w:rPr>
            </w:pPr>
          </w:p>
        </w:tc>
      </w:tr>
      <w:tr w:rsidR="003F00E8" w:rsidRPr="00ED10A8" w:rsidTr="00170BBA">
        <w:trPr>
          <w:trHeight w:val="284"/>
        </w:trPr>
        <w:tc>
          <w:tcPr>
            <w:tcW w:w="4911" w:type="dxa"/>
          </w:tcPr>
          <w:p w:rsidR="003F00E8" w:rsidRDefault="003F00E8" w:rsidP="00170BBA">
            <w:pPr>
              <w:pStyle w:val="Avsndare"/>
              <w:framePr w:h="2483" w:wrap="notBeside" w:x="1504"/>
              <w:rPr>
                <w:bCs/>
                <w:iCs/>
              </w:rPr>
            </w:pPr>
          </w:p>
        </w:tc>
      </w:tr>
    </w:tbl>
    <w:p w:rsidR="003F00E8" w:rsidRPr="00ED10A8" w:rsidRDefault="003F00E8" w:rsidP="00652326">
      <w:pPr>
        <w:framePr w:w="4400" w:h="2523" w:wrap="notBeside" w:vAnchor="page" w:hAnchor="page" w:x="6453" w:y="2445"/>
        <w:ind w:left="142"/>
        <w:rPr>
          <w:b/>
        </w:rPr>
      </w:pPr>
    </w:p>
    <w:p w:rsidR="003F00E8" w:rsidRDefault="003F00E8" w:rsidP="00652326">
      <w:pPr>
        <w:pStyle w:val="RKrubrik"/>
        <w:pBdr>
          <w:bottom w:val="single" w:sz="6" w:space="1" w:color="auto"/>
        </w:pBdr>
      </w:pPr>
      <w:bookmarkStart w:id="0" w:name="bRubrik"/>
      <w:bookmarkEnd w:id="0"/>
      <w:r>
        <w:t>Allmänna rådets möte den 11 december 2012</w:t>
      </w:r>
    </w:p>
    <w:p w:rsidR="003F00E8" w:rsidRPr="00783F83" w:rsidRDefault="003F00E8" w:rsidP="00652326">
      <w:pPr>
        <w:pStyle w:val="RKrubrik"/>
        <w:rPr>
          <w:color w:val="000000"/>
        </w:rPr>
      </w:pPr>
      <w:r w:rsidRPr="00783F83">
        <w:rPr>
          <w:color w:val="000000"/>
        </w:rPr>
        <w:t>Kommenterad dagordning</w:t>
      </w:r>
    </w:p>
    <w:p w:rsidR="003F00E8" w:rsidRPr="00783F83" w:rsidRDefault="003F00E8" w:rsidP="00A020AA">
      <w:pPr>
        <w:pStyle w:val="RKrubrik"/>
        <w:numPr>
          <w:ilvl w:val="0"/>
          <w:numId w:val="5"/>
        </w:numPr>
        <w:ind w:left="0" w:firstLine="0"/>
        <w:rPr>
          <w:color w:val="000000"/>
        </w:rPr>
      </w:pPr>
      <w:r w:rsidRPr="00783F83">
        <w:rPr>
          <w:color w:val="000000"/>
        </w:rPr>
        <w:t>Godkännande av dagordningen</w:t>
      </w:r>
    </w:p>
    <w:p w:rsidR="003F00E8" w:rsidRPr="00783F83" w:rsidRDefault="003F00E8" w:rsidP="00777488">
      <w:pPr>
        <w:pStyle w:val="RKnormal"/>
        <w:rPr>
          <w:color w:val="000000"/>
        </w:rPr>
      </w:pPr>
    </w:p>
    <w:p w:rsidR="003F00E8" w:rsidRPr="00783F83" w:rsidRDefault="003F00E8" w:rsidP="00777488">
      <w:pPr>
        <w:pStyle w:val="RKnormal"/>
        <w:rPr>
          <w:i/>
          <w:color w:val="000000"/>
          <w:u w:val="single"/>
        </w:rPr>
      </w:pPr>
      <w:r w:rsidRPr="00783F83">
        <w:rPr>
          <w:i/>
          <w:color w:val="000000"/>
          <w:u w:val="single"/>
        </w:rPr>
        <w:t>Lagstiftningsöverläggningar</w:t>
      </w:r>
    </w:p>
    <w:p w:rsidR="003F00E8" w:rsidRDefault="003F00E8" w:rsidP="00CA2957">
      <w:pPr>
        <w:pStyle w:val="RKrubrik"/>
        <w:numPr>
          <w:ilvl w:val="0"/>
          <w:numId w:val="5"/>
        </w:numPr>
        <w:rPr>
          <w:color w:val="000000"/>
          <w:szCs w:val="22"/>
        </w:rPr>
      </w:pPr>
      <w:r w:rsidRPr="00783F83">
        <w:rPr>
          <w:color w:val="000000"/>
          <w:szCs w:val="22"/>
        </w:rPr>
        <w:t>(ev.) Godkännande av A-punktslistan</w:t>
      </w:r>
    </w:p>
    <w:p w:rsidR="003F00E8" w:rsidRPr="00CA2957" w:rsidRDefault="003F00E8" w:rsidP="00CA2957">
      <w:pPr>
        <w:pStyle w:val="RKrubrik"/>
        <w:numPr>
          <w:ilvl w:val="0"/>
          <w:numId w:val="5"/>
        </w:numPr>
        <w:rPr>
          <w:color w:val="000000"/>
          <w:szCs w:val="22"/>
        </w:rPr>
      </w:pPr>
      <w:r w:rsidRPr="00CA2957">
        <w:rPr>
          <w:szCs w:val="22"/>
        </w:rPr>
        <w:t>Stadgan för Europeiska unionens domstol</w:t>
      </w:r>
      <w:r w:rsidRPr="00CA2957">
        <w:t xml:space="preserve"> </w:t>
      </w:r>
    </w:p>
    <w:p w:rsidR="003F00E8" w:rsidRPr="00631FBC" w:rsidRDefault="003F00E8" w:rsidP="00CA2957">
      <w:pPr>
        <w:tabs>
          <w:tab w:val="left" w:pos="709"/>
          <w:tab w:val="left" w:pos="2835"/>
        </w:tabs>
        <w:spacing w:line="240" w:lineRule="atLeast"/>
        <w:rPr>
          <w:i/>
        </w:rPr>
      </w:pPr>
      <w:r w:rsidRPr="00631FBC">
        <w:rPr>
          <w:i/>
        </w:rPr>
        <w:t>Diskussions- och beslutspunkt</w:t>
      </w:r>
    </w:p>
    <w:p w:rsidR="003F00E8" w:rsidRPr="00631FBC" w:rsidRDefault="003F00E8" w:rsidP="00CA2957">
      <w:pPr>
        <w:tabs>
          <w:tab w:val="left" w:pos="709"/>
          <w:tab w:val="left" w:pos="2835"/>
        </w:tabs>
        <w:spacing w:line="240" w:lineRule="atLeast"/>
      </w:pPr>
    </w:p>
    <w:p w:rsidR="003F00E8" w:rsidRPr="00631FBC" w:rsidRDefault="003F00E8" w:rsidP="00CA2957">
      <w:pPr>
        <w:tabs>
          <w:tab w:val="left" w:pos="709"/>
          <w:tab w:val="left" w:pos="2835"/>
        </w:tabs>
        <w:spacing w:line="240" w:lineRule="atLeast"/>
      </w:pPr>
      <w:r w:rsidRPr="00631FBC">
        <w:t xml:space="preserve">Det pågår sedan en tid tillbaka ett arbete inom EU för att modernisera och effektivisera arbetet inom EU:s domstolar i syfte att minska handläggningstiderna och målbalanserna. </w:t>
      </w:r>
    </w:p>
    <w:p w:rsidR="003F00E8" w:rsidRPr="00631FBC" w:rsidRDefault="003F00E8" w:rsidP="00CA2957">
      <w:pPr>
        <w:tabs>
          <w:tab w:val="left" w:pos="709"/>
          <w:tab w:val="left" w:pos="2835"/>
        </w:tabs>
        <w:spacing w:line="240" w:lineRule="atLeast"/>
      </w:pPr>
    </w:p>
    <w:p w:rsidR="003F00E8" w:rsidRDefault="003F00E8" w:rsidP="00CA2957">
      <w:pPr>
        <w:tabs>
          <w:tab w:val="left" w:pos="709"/>
          <w:tab w:val="left" w:pos="2835"/>
        </w:tabs>
        <w:spacing w:line="240" w:lineRule="atLeast"/>
      </w:pPr>
      <w:r w:rsidRPr="00631FBC">
        <w:t>Inom ramen för detta arbete föreslog domstolen i mars 2011 att antalet domare i tribunalen skulle ökas från dagens 27 till 39 stycken, dvs. en ökning med tolv domartjänster. Frågan är politiskt känslig eftersom alla medlemsstater inte får rätt att nominera var sin ny domare.</w:t>
      </w:r>
    </w:p>
    <w:p w:rsidR="003F00E8" w:rsidRDefault="003F00E8" w:rsidP="00CA2957">
      <w:pPr>
        <w:tabs>
          <w:tab w:val="left" w:pos="709"/>
          <w:tab w:val="left" w:pos="2835"/>
        </w:tabs>
        <w:spacing w:line="240" w:lineRule="atLeast"/>
      </w:pPr>
    </w:p>
    <w:p w:rsidR="003F00E8" w:rsidRPr="00631FBC" w:rsidRDefault="003F00E8" w:rsidP="00CA2957">
      <w:pPr>
        <w:tabs>
          <w:tab w:val="left" w:pos="709"/>
          <w:tab w:val="left" w:pos="2835"/>
        </w:tabs>
        <w:spacing w:line="240" w:lineRule="atLeast"/>
      </w:pPr>
      <w:r>
        <w:t xml:space="preserve">På det allmänna rådet förväntas det cypriotiska ordförandeskapet att försöka nå en politisk överenskommelse kring dess senaste kompromissförslag i frågan. </w:t>
      </w:r>
    </w:p>
    <w:p w:rsidR="003F00E8" w:rsidRPr="00631FBC" w:rsidRDefault="003F00E8" w:rsidP="00CA2957">
      <w:pPr>
        <w:tabs>
          <w:tab w:val="left" w:pos="709"/>
          <w:tab w:val="left" w:pos="2835"/>
        </w:tabs>
        <w:spacing w:line="240" w:lineRule="atLeast"/>
      </w:pPr>
    </w:p>
    <w:p w:rsidR="003F00E8" w:rsidRDefault="003F00E8" w:rsidP="00CA2957">
      <w:pPr>
        <w:tabs>
          <w:tab w:val="left" w:pos="709"/>
          <w:tab w:val="left" w:pos="2835"/>
        </w:tabs>
        <w:spacing w:line="240" w:lineRule="atLeast"/>
      </w:pPr>
      <w:r>
        <w:t>K</w:t>
      </w:r>
      <w:r w:rsidRPr="00631FBC">
        <w:t>ompromissförslag</w:t>
      </w:r>
      <w:r>
        <w:t xml:space="preserve">et  innebär </w:t>
      </w:r>
      <w:r w:rsidRPr="00631FBC">
        <w:t xml:space="preserve">sammanfattningsvis att nio nya domartjänster tillförs tribunalen samt att </w:t>
      </w:r>
      <w:r>
        <w:t>rätten att nominera kandidater till de nya tjänsterna fördelas mellan medlemsstaterna enligt följande. De sex största medlemsstaterna ges rätt att nominera till fyra av de nya tjänsterna för två på varandra följande mandat. De resterande 21 medlemsstaterna får rätt att nominera till de fem kvarvarande tjänsterna för ett mandat i taget. Fem av de nya domartjänsterna föreslås tillsättas år 2013 och de resterande fyra tjänsterna först år 2016.</w:t>
      </w:r>
    </w:p>
    <w:p w:rsidR="003F00E8" w:rsidRPr="00631FBC" w:rsidRDefault="003F00E8" w:rsidP="00CA2957">
      <w:pPr>
        <w:tabs>
          <w:tab w:val="left" w:pos="709"/>
          <w:tab w:val="left" w:pos="2835"/>
        </w:tabs>
        <w:spacing w:line="240" w:lineRule="atLeast"/>
      </w:pPr>
    </w:p>
    <w:p w:rsidR="003F00E8" w:rsidRDefault="003F00E8" w:rsidP="00CA2957">
      <w:pPr>
        <w:tabs>
          <w:tab w:val="left" w:pos="709"/>
          <w:tab w:val="left" w:pos="2835"/>
        </w:tabs>
        <w:spacing w:line="240" w:lineRule="atLeast"/>
      </w:pPr>
      <w:r w:rsidRPr="00631FBC">
        <w:t xml:space="preserve">Regeringen är positivt inställd till att fler domare tillförs tribunalen, men har svårt att acceptera ett förslag som inte fördelar rätten att nominera de nya domarna till tribunalen lika mellan å ena sida små och medelstora medlemsstater och å andra sidan stora medlemsstater. </w:t>
      </w:r>
    </w:p>
    <w:p w:rsidR="003F00E8" w:rsidRDefault="003F00E8" w:rsidP="00FF754D">
      <w:pPr>
        <w:pStyle w:val="RKnormal"/>
        <w:numPr>
          <w:ilvl w:val="0"/>
          <w:numId w:val="5"/>
        </w:numPr>
        <w:spacing w:before="360" w:after="120"/>
        <w:rPr>
          <w:rFonts w:ascii="TradeGothic" w:hAnsi="TradeGothic"/>
          <w:b/>
          <w:color w:val="000000"/>
          <w:sz w:val="22"/>
          <w:szCs w:val="22"/>
        </w:rPr>
      </w:pPr>
      <w:r>
        <w:rPr>
          <w:rFonts w:ascii="TradeGothic" w:hAnsi="TradeGothic"/>
          <w:b/>
          <w:color w:val="000000"/>
          <w:sz w:val="22"/>
          <w:szCs w:val="22"/>
        </w:rPr>
        <w:t>Den europeiska terminen – den årliga tillväxtöversikten</w:t>
      </w:r>
    </w:p>
    <w:p w:rsidR="003F00E8" w:rsidRPr="00D5563E" w:rsidRDefault="003F00E8" w:rsidP="00CA2957">
      <w:pPr>
        <w:pStyle w:val="RKnormal"/>
        <w:rPr>
          <w:i/>
        </w:rPr>
      </w:pPr>
      <w:r>
        <w:rPr>
          <w:i/>
        </w:rPr>
        <w:t>Informationspunkt</w:t>
      </w:r>
    </w:p>
    <w:p w:rsidR="003F00E8" w:rsidRDefault="003F00E8" w:rsidP="00CA2957">
      <w:pPr>
        <w:tabs>
          <w:tab w:val="left" w:pos="2835"/>
        </w:tabs>
        <w:overflowPunct/>
        <w:spacing w:line="240" w:lineRule="auto"/>
        <w:textAlignment w:val="auto"/>
        <w:rPr>
          <w:rFonts w:cs="OrigGarmnd BT"/>
          <w:iCs/>
          <w:color w:val="000000"/>
          <w:szCs w:val="24"/>
          <w:lang w:eastAsia="sv-SE"/>
        </w:rPr>
      </w:pPr>
    </w:p>
    <w:p w:rsidR="003F00E8" w:rsidRPr="006F36B7" w:rsidRDefault="003F00E8" w:rsidP="00CA2957">
      <w:pPr>
        <w:pStyle w:val="RKnormal"/>
        <w:spacing w:line="276" w:lineRule="auto"/>
        <w:rPr>
          <w:szCs w:val="24"/>
        </w:rPr>
      </w:pPr>
      <w:r w:rsidRPr="006F36B7">
        <w:rPr>
          <w:szCs w:val="24"/>
        </w:rPr>
        <w:t xml:space="preserve">Kommissionen kommer att presentera </w:t>
      </w:r>
      <w:r>
        <w:rPr>
          <w:szCs w:val="24"/>
        </w:rPr>
        <w:t>den årliga tillväxtöversikten</w:t>
      </w:r>
      <w:r w:rsidRPr="006F36B7">
        <w:rPr>
          <w:szCs w:val="24"/>
        </w:rPr>
        <w:t xml:space="preserve"> för 2013. Rapporten offentliggjordes den 28 november</w:t>
      </w:r>
      <w:r>
        <w:rPr>
          <w:szCs w:val="24"/>
        </w:rPr>
        <w:t>.</w:t>
      </w:r>
      <w:r w:rsidRPr="006F36B7">
        <w:rPr>
          <w:szCs w:val="24"/>
        </w:rPr>
        <w:t xml:space="preserve"> </w:t>
      </w:r>
      <w:r>
        <w:rPr>
          <w:szCs w:val="24"/>
        </w:rPr>
        <w:t>Ingen diskussion förväntas vid mötet, men allmänna rådet kommer att återkomma till rapporten i början av 2013.</w:t>
      </w:r>
    </w:p>
    <w:p w:rsidR="003F00E8" w:rsidRPr="006F36B7" w:rsidRDefault="003F00E8" w:rsidP="00CA2957">
      <w:pPr>
        <w:pStyle w:val="RKnormal"/>
        <w:spacing w:line="276" w:lineRule="auto"/>
        <w:rPr>
          <w:szCs w:val="24"/>
        </w:rPr>
      </w:pPr>
    </w:p>
    <w:p w:rsidR="003F00E8" w:rsidRPr="006F36B7" w:rsidRDefault="003F00E8" w:rsidP="00CA2957">
      <w:pPr>
        <w:pStyle w:val="RKnormal"/>
        <w:spacing w:line="276" w:lineRule="auto"/>
        <w:rPr>
          <w:szCs w:val="24"/>
        </w:rPr>
      </w:pPr>
      <w:r>
        <w:rPr>
          <w:szCs w:val="24"/>
        </w:rPr>
        <w:t>Med denna rapport inleds den så kallade</w:t>
      </w:r>
      <w:r w:rsidRPr="006F36B7">
        <w:rPr>
          <w:szCs w:val="24"/>
        </w:rPr>
        <w:t xml:space="preserve"> europeiska terminen, vilken är en del av EU:s årscykel för granskning och samordning av medlemsstaternas ekonomiska politik och sysselsättningspolitik. Rapporten är ett underlag inför vårtoppmötet 2013, då stats- och regeringscheferna ska anta slutsatser med vägledning inför medlemsstaternas rapportering senare i april inom Europa 2020 och stabilitets- och tillväxtpakten med mera.</w:t>
      </w:r>
    </w:p>
    <w:p w:rsidR="003F00E8" w:rsidRDefault="003F00E8" w:rsidP="00CA2957">
      <w:pPr>
        <w:tabs>
          <w:tab w:val="left" w:pos="2835"/>
        </w:tabs>
        <w:overflowPunct/>
        <w:spacing w:line="276" w:lineRule="auto"/>
        <w:textAlignment w:val="auto"/>
        <w:rPr>
          <w:rFonts w:cs="OrigGarmnd BT"/>
          <w:iCs/>
          <w:color w:val="000000"/>
          <w:szCs w:val="24"/>
          <w:lang w:eastAsia="sv-SE"/>
        </w:rPr>
      </w:pPr>
    </w:p>
    <w:p w:rsidR="003F00E8" w:rsidRDefault="003F00E8" w:rsidP="00233555">
      <w:pPr>
        <w:tabs>
          <w:tab w:val="left" w:pos="2835"/>
        </w:tabs>
        <w:overflowPunct/>
        <w:spacing w:line="276" w:lineRule="auto"/>
        <w:textAlignment w:val="auto"/>
        <w:rPr>
          <w:szCs w:val="24"/>
        </w:rPr>
      </w:pPr>
      <w:r>
        <w:rPr>
          <w:rFonts w:cs="OrigGarmnd BT"/>
          <w:iCs/>
          <w:color w:val="000000"/>
          <w:szCs w:val="24"/>
          <w:lang w:eastAsia="sv-SE"/>
        </w:rPr>
        <w:t xml:space="preserve">I tillägg till kommissionens presentation väntas det inkommande ordförandeskapet Irland presentera sin färdplan för arbetet inom den Europeiska terminen 2013. </w:t>
      </w:r>
      <w:r>
        <w:rPr>
          <w:szCs w:val="24"/>
        </w:rPr>
        <w:t>Ingen diskussion om färdplanen väntas vid mötet.</w:t>
      </w:r>
    </w:p>
    <w:p w:rsidR="003F00E8" w:rsidRPr="005277FD" w:rsidRDefault="003F00E8" w:rsidP="00233555">
      <w:pPr>
        <w:tabs>
          <w:tab w:val="left" w:pos="2835"/>
        </w:tabs>
        <w:overflowPunct/>
        <w:spacing w:line="276" w:lineRule="auto"/>
        <w:textAlignment w:val="auto"/>
        <w:rPr>
          <w:rFonts w:ascii="TradeGothic" w:hAnsi="TradeGothic"/>
          <w:b/>
          <w:color w:val="000000"/>
          <w:sz w:val="22"/>
          <w:szCs w:val="22"/>
        </w:rPr>
      </w:pPr>
    </w:p>
    <w:p w:rsidR="003F00E8" w:rsidRPr="00783F83" w:rsidRDefault="003F00E8" w:rsidP="00511A0A">
      <w:pPr>
        <w:pStyle w:val="RKnormal"/>
        <w:numPr>
          <w:ilvl w:val="0"/>
          <w:numId w:val="5"/>
        </w:numPr>
        <w:tabs>
          <w:tab w:val="left" w:pos="1134"/>
        </w:tabs>
        <w:spacing w:before="360" w:after="120"/>
        <w:rPr>
          <w:rFonts w:ascii="TradeGothic" w:hAnsi="TradeGothic"/>
          <w:color w:val="000000"/>
          <w:sz w:val="22"/>
          <w:szCs w:val="22"/>
        </w:rPr>
      </w:pPr>
      <w:bookmarkStart w:id="1" w:name="_Toc309385852"/>
      <w:bookmarkStart w:id="2" w:name="_Toc309385762"/>
      <w:r w:rsidRPr="00783F83">
        <w:rPr>
          <w:rFonts w:ascii="TradeGothic" w:hAnsi="TradeGothic"/>
          <w:b/>
          <w:color w:val="000000"/>
          <w:sz w:val="22"/>
          <w:szCs w:val="22"/>
        </w:rPr>
        <w:t>AOB</w:t>
      </w:r>
    </w:p>
    <w:p w:rsidR="003F00E8" w:rsidRPr="00783F83" w:rsidRDefault="003F00E8" w:rsidP="00511A0A">
      <w:pPr>
        <w:pStyle w:val="RKnormal"/>
        <w:tabs>
          <w:tab w:val="clear" w:pos="2835"/>
          <w:tab w:val="left" w:pos="1276"/>
        </w:tabs>
        <w:ind w:left="567"/>
        <w:rPr>
          <w:color w:val="000000"/>
          <w:szCs w:val="24"/>
        </w:rPr>
      </w:pPr>
      <w:r w:rsidRPr="00783F83">
        <w:rPr>
          <w:color w:val="000000"/>
          <w:szCs w:val="24"/>
        </w:rPr>
        <w:t>=</w:t>
      </w:r>
      <w:r w:rsidRPr="00783F83">
        <w:rPr>
          <w:color w:val="000000"/>
          <w:szCs w:val="24"/>
        </w:rPr>
        <w:tab/>
        <w:t>(ev.) Information från ordförandeskapet om aktuella lagförslag</w:t>
      </w:r>
    </w:p>
    <w:bookmarkEnd w:id="1"/>
    <w:bookmarkEnd w:id="2"/>
    <w:p w:rsidR="003F00E8" w:rsidRPr="00783F83" w:rsidRDefault="003F00E8" w:rsidP="00777488">
      <w:pPr>
        <w:pStyle w:val="RKnormal"/>
        <w:rPr>
          <w:color w:val="000000"/>
        </w:rPr>
      </w:pPr>
    </w:p>
    <w:p w:rsidR="003F00E8" w:rsidRPr="00783F83" w:rsidRDefault="003F00E8" w:rsidP="002F4832">
      <w:pPr>
        <w:pStyle w:val="Default"/>
        <w:rPr>
          <w:i/>
          <w:iCs/>
          <w:u w:val="single"/>
        </w:rPr>
      </w:pPr>
      <w:r w:rsidRPr="00783F83">
        <w:rPr>
          <w:i/>
          <w:iCs/>
          <w:u w:val="single"/>
        </w:rPr>
        <w:t>Icke lagstiftande verksamhet</w:t>
      </w:r>
    </w:p>
    <w:p w:rsidR="003F00E8" w:rsidRPr="00783F83" w:rsidRDefault="003F00E8" w:rsidP="002F4832">
      <w:pPr>
        <w:pStyle w:val="RKnormal"/>
        <w:rPr>
          <w:i/>
          <w:color w:val="000000"/>
        </w:rPr>
      </w:pPr>
    </w:p>
    <w:p w:rsidR="003F00E8" w:rsidRDefault="003F00E8" w:rsidP="003C73F0">
      <w:pPr>
        <w:pStyle w:val="RKrubrik"/>
        <w:numPr>
          <w:ilvl w:val="0"/>
          <w:numId w:val="5"/>
        </w:numPr>
        <w:rPr>
          <w:color w:val="000000"/>
        </w:rPr>
      </w:pPr>
      <w:r w:rsidRPr="00783F83">
        <w:rPr>
          <w:color w:val="000000"/>
        </w:rPr>
        <w:t>Godkännande av A-punktslistan</w:t>
      </w:r>
    </w:p>
    <w:p w:rsidR="003F00E8" w:rsidRDefault="003F00E8" w:rsidP="000D6154">
      <w:pPr>
        <w:pStyle w:val="RKnormal"/>
      </w:pPr>
    </w:p>
    <w:p w:rsidR="003F00E8" w:rsidRPr="005277FD" w:rsidRDefault="003F00E8" w:rsidP="005277FD">
      <w:pPr>
        <w:pStyle w:val="RKrubrik"/>
        <w:numPr>
          <w:ilvl w:val="0"/>
          <w:numId w:val="5"/>
        </w:numPr>
        <w:ind w:left="1134"/>
      </w:pPr>
      <w:r>
        <w:t>Resolutioner, synpunkter och beslut antagna av Europaparlamentet</w:t>
      </w:r>
      <w:r w:rsidRPr="00CA2957">
        <w:rPr>
          <w:color w:val="000000"/>
        </w:rPr>
        <w:t xml:space="preserve"> </w:t>
      </w:r>
    </w:p>
    <w:p w:rsidR="003F00E8" w:rsidRDefault="003F00E8" w:rsidP="00FF754D">
      <w:pPr>
        <w:pStyle w:val="Default"/>
        <w:rPr>
          <w:rFonts w:cs="Times New Roman"/>
          <w:i/>
          <w:color w:val="auto"/>
          <w:lang w:eastAsia="en-US"/>
        </w:rPr>
      </w:pPr>
      <w:r>
        <w:rPr>
          <w:rFonts w:cs="Times New Roman"/>
          <w:i/>
          <w:color w:val="auto"/>
          <w:lang w:eastAsia="en-US"/>
        </w:rPr>
        <w:t>Informationspunkt</w:t>
      </w:r>
    </w:p>
    <w:p w:rsidR="003F00E8" w:rsidRDefault="003F00E8" w:rsidP="00FF754D">
      <w:pPr>
        <w:pStyle w:val="Default"/>
        <w:rPr>
          <w:rFonts w:cs="Times New Roman"/>
          <w:i/>
          <w:color w:val="auto"/>
          <w:lang w:eastAsia="en-US"/>
        </w:rPr>
      </w:pPr>
    </w:p>
    <w:p w:rsidR="003F00E8" w:rsidRDefault="003F00E8" w:rsidP="00FF754D">
      <w:pPr>
        <w:spacing w:after="120"/>
        <w:rPr>
          <w:rFonts w:ascii="TradeGothic" w:hAnsi="TradeGothic"/>
          <w:b/>
          <w:sz w:val="22"/>
        </w:rPr>
      </w:pPr>
      <w:r>
        <w:t>Allmänna rådet avser att notera resolutioner, yttranden och beslut antagna av Europaparlamentet under sammanträdesperioden den 19-22 november i Strasbourg. Detta är en standardpunkt på dagordningen.</w:t>
      </w:r>
    </w:p>
    <w:p w:rsidR="003F00E8" w:rsidRDefault="003F00E8" w:rsidP="000D6154">
      <w:pPr>
        <w:pStyle w:val="RKnormal"/>
      </w:pPr>
    </w:p>
    <w:p w:rsidR="003F00E8" w:rsidRDefault="003F00E8" w:rsidP="000D6154">
      <w:pPr>
        <w:pStyle w:val="RKrubrik"/>
        <w:numPr>
          <w:ilvl w:val="0"/>
          <w:numId w:val="5"/>
        </w:numPr>
        <w:rPr>
          <w:color w:val="000000"/>
        </w:rPr>
      </w:pPr>
      <w:r>
        <w:rPr>
          <w:color w:val="000000"/>
        </w:rPr>
        <w:t>Förberedelser av Europeiska rådet den 13-14 december 2012</w:t>
      </w:r>
    </w:p>
    <w:p w:rsidR="003F00E8" w:rsidRDefault="003F00E8" w:rsidP="000D6154">
      <w:pPr>
        <w:pStyle w:val="RKnormal"/>
        <w:rPr>
          <w:i/>
          <w:iCs/>
        </w:rPr>
      </w:pPr>
      <w:r>
        <w:rPr>
          <w:i/>
          <w:iCs/>
        </w:rPr>
        <w:t>Diskussionspunkt</w:t>
      </w:r>
    </w:p>
    <w:p w:rsidR="003F00E8" w:rsidRDefault="003F00E8" w:rsidP="000D6154">
      <w:pPr>
        <w:pStyle w:val="RKnormal"/>
        <w:rPr>
          <w:i/>
          <w:iCs/>
        </w:rPr>
      </w:pPr>
    </w:p>
    <w:p w:rsidR="003F00E8" w:rsidRDefault="003F00E8" w:rsidP="00FA4BF1">
      <w:r>
        <w:t>Allmänna rådet ska på sedvanligt vis förbereda Europeiska rådets möte som äger rum den 13-14 december. I skrivande stund föreligger ännu inget utkast till slutsatser.</w:t>
      </w:r>
    </w:p>
    <w:p w:rsidR="003F00E8" w:rsidRDefault="003F00E8" w:rsidP="00FA4BF1"/>
    <w:p w:rsidR="003F00E8" w:rsidRPr="004F72F5" w:rsidRDefault="003F00E8" w:rsidP="004F72F5">
      <w:pPr>
        <w:pStyle w:val="RKnormal"/>
      </w:pPr>
      <w:r>
        <w:t>Europeiska rådet förväntas fokusera på de ekonomiska frågorna. Övriga frågor som väntas komma upp är den inre marknaden, EU:s utvidgning, försvarsfrågor och utrikespolitiska frågor.</w:t>
      </w:r>
    </w:p>
    <w:p w:rsidR="003F00E8" w:rsidRPr="00783F83" w:rsidRDefault="003F00E8" w:rsidP="000B7142">
      <w:pPr>
        <w:pStyle w:val="Default"/>
        <w:ind w:left="1860"/>
        <w:rPr>
          <w:rFonts w:ascii="TradeGothic" w:hAnsi="TradeGothic" w:cs="Times New Roman"/>
          <w:b/>
          <w:sz w:val="22"/>
          <w:szCs w:val="20"/>
          <w:lang w:eastAsia="en-US"/>
        </w:rPr>
      </w:pPr>
    </w:p>
    <w:p w:rsidR="003F00E8" w:rsidRDefault="003F00E8" w:rsidP="005277FD">
      <w:pPr>
        <w:pStyle w:val="RKrubrik"/>
        <w:numPr>
          <w:ilvl w:val="0"/>
          <w:numId w:val="5"/>
        </w:numPr>
      </w:pPr>
      <w:r>
        <w:t>18-månadersprogram för Irland, Litauen och Grekland</w:t>
      </w:r>
    </w:p>
    <w:p w:rsidR="003F00E8" w:rsidRPr="005B439B" w:rsidRDefault="003F00E8" w:rsidP="005277FD">
      <w:pPr>
        <w:pStyle w:val="RKnormal"/>
        <w:rPr>
          <w:i/>
        </w:rPr>
      </w:pPr>
      <w:r>
        <w:rPr>
          <w:i/>
        </w:rPr>
        <w:t>Diskussionspunkt</w:t>
      </w:r>
      <w:bookmarkStart w:id="3" w:name="_GoBack"/>
      <w:bookmarkEnd w:id="3"/>
    </w:p>
    <w:p w:rsidR="003F00E8" w:rsidRDefault="003F00E8" w:rsidP="005277FD">
      <w:pPr>
        <w:pStyle w:val="RKnormal"/>
      </w:pPr>
    </w:p>
    <w:p w:rsidR="003F00E8" w:rsidRDefault="003F00E8" w:rsidP="005277FD">
      <w:pPr>
        <w:pStyle w:val="RKnormal"/>
        <w:rPr>
          <w:rFonts w:cs="OrigGarmnd BT"/>
          <w:color w:val="000000"/>
          <w:szCs w:val="24"/>
          <w:lang/>
        </w:rPr>
      </w:pPr>
      <w:r>
        <w:rPr>
          <w:rFonts w:cs="OrigGarmnd BT"/>
          <w:color w:val="000000"/>
          <w:szCs w:val="24"/>
          <w:lang/>
        </w:rPr>
        <w:t xml:space="preserve">Den inkommande så kallade ”ordförandeskapstrion” Irland, Litauen och Grekland, kommer att presentera sitt 18-månadersprogram. I 18-månadersprogrammet beskrivs rådets verksamhet under perioden. I enlighet med rådets arbetsordning ska allmänna rådet godkänna 18-månadersprogrammet. </w:t>
      </w:r>
    </w:p>
    <w:p w:rsidR="003F00E8" w:rsidRDefault="003F00E8" w:rsidP="005277FD">
      <w:pPr>
        <w:pStyle w:val="RKnormal"/>
        <w:rPr>
          <w:rFonts w:cs="OrigGarmnd BT"/>
          <w:color w:val="000000"/>
          <w:szCs w:val="24"/>
          <w:lang/>
        </w:rPr>
      </w:pPr>
    </w:p>
    <w:p w:rsidR="003F00E8" w:rsidRDefault="003F00E8" w:rsidP="005277FD">
      <w:pPr>
        <w:pStyle w:val="RKnormal"/>
        <w:rPr>
          <w:rFonts w:cs="OrigGarmnd BT"/>
          <w:color w:val="000000"/>
          <w:szCs w:val="24"/>
          <w:lang/>
        </w:rPr>
      </w:pPr>
      <w:r>
        <w:rPr>
          <w:rFonts w:cs="OrigGarmnd BT"/>
          <w:color w:val="000000"/>
          <w:szCs w:val="24"/>
          <w:lang/>
        </w:rPr>
        <w:t>Programmet har ännu inte delgivts medlemsstaterna.</w:t>
      </w:r>
    </w:p>
    <w:p w:rsidR="003F00E8" w:rsidRDefault="003F00E8" w:rsidP="005277FD">
      <w:pPr>
        <w:pStyle w:val="RKnormal"/>
        <w:rPr>
          <w:rFonts w:cs="OrigGarmnd BT"/>
          <w:color w:val="000000"/>
          <w:szCs w:val="24"/>
          <w:lang/>
        </w:rPr>
      </w:pPr>
    </w:p>
    <w:p w:rsidR="003F00E8" w:rsidRPr="00855230" w:rsidRDefault="003F00E8" w:rsidP="005277FD">
      <w:pPr>
        <w:pStyle w:val="RKnormal"/>
        <w:rPr>
          <w:rFonts w:cs="OrigGarmnd BT"/>
          <w:color w:val="000000"/>
          <w:szCs w:val="24"/>
          <w:lang/>
        </w:rPr>
      </w:pPr>
      <w:r>
        <w:rPr>
          <w:rFonts w:cs="OrigGarmnd BT"/>
          <w:color w:val="000000"/>
          <w:szCs w:val="24"/>
          <w:lang/>
        </w:rPr>
        <w:t>Regeringen avser att ställa sig bakom att ordförandeskapstrions 18-månadersprogram bekräftas av allmänna rådet i enlighet med rådets arbetsordning.</w:t>
      </w:r>
    </w:p>
    <w:p w:rsidR="003F00E8" w:rsidRDefault="003F00E8" w:rsidP="00783F83">
      <w:pPr>
        <w:rPr>
          <w:color w:val="000000"/>
        </w:rPr>
      </w:pPr>
    </w:p>
    <w:p w:rsidR="003F00E8" w:rsidRPr="00783F83" w:rsidRDefault="003F00E8" w:rsidP="00783F83">
      <w:pPr>
        <w:rPr>
          <w:color w:val="000000"/>
        </w:rPr>
      </w:pPr>
    </w:p>
    <w:p w:rsidR="003F00E8" w:rsidRPr="00CA2957" w:rsidRDefault="003F00E8" w:rsidP="00783F83">
      <w:pPr>
        <w:pStyle w:val="ListParagraph"/>
        <w:numPr>
          <w:ilvl w:val="0"/>
          <w:numId w:val="5"/>
        </w:numPr>
        <w:rPr>
          <w:color w:val="000000"/>
        </w:rPr>
      </w:pPr>
      <w:r w:rsidRPr="00CA2957">
        <w:rPr>
          <w:rFonts w:ascii="TradeGothic" w:hAnsi="TradeGothic"/>
          <w:b/>
          <w:color w:val="000000"/>
          <w:sz w:val="22"/>
          <w:szCs w:val="22"/>
        </w:rPr>
        <w:t>EU:s utvidgning</w:t>
      </w:r>
    </w:p>
    <w:p w:rsidR="003F00E8" w:rsidRDefault="003F00E8" w:rsidP="00FF754D">
      <w:pPr>
        <w:tabs>
          <w:tab w:val="left" w:pos="709"/>
          <w:tab w:val="left" w:pos="2835"/>
        </w:tabs>
        <w:spacing w:line="240" w:lineRule="atLeast"/>
        <w:rPr>
          <w:i/>
        </w:rPr>
      </w:pPr>
      <w:r>
        <w:rPr>
          <w:i/>
        </w:rPr>
        <w:t>Diskussions- och beslutspunkt</w:t>
      </w:r>
    </w:p>
    <w:p w:rsidR="003F00E8" w:rsidRDefault="003F00E8" w:rsidP="00FF754D">
      <w:pPr>
        <w:tabs>
          <w:tab w:val="left" w:pos="709"/>
          <w:tab w:val="left" w:pos="2835"/>
        </w:tabs>
        <w:spacing w:line="240" w:lineRule="atLeast"/>
        <w:rPr>
          <w:i/>
        </w:rPr>
      </w:pPr>
    </w:p>
    <w:p w:rsidR="003F00E8" w:rsidRPr="00B84C44" w:rsidRDefault="003F00E8" w:rsidP="00B84C44">
      <w:pPr>
        <w:tabs>
          <w:tab w:val="left" w:pos="2835"/>
        </w:tabs>
        <w:overflowPunct/>
        <w:spacing w:line="240" w:lineRule="auto"/>
        <w:textAlignment w:val="auto"/>
        <w:rPr>
          <w:color w:val="000000"/>
          <w:lang w:eastAsia="sv-SE"/>
        </w:rPr>
      </w:pPr>
      <w:r w:rsidRPr="00B84C44">
        <w:rPr>
          <w:rFonts w:cs="OrigGarmnd BT"/>
          <w:iCs/>
          <w:color w:val="000000"/>
          <w:szCs w:val="24"/>
          <w:lang w:eastAsia="sv-SE"/>
        </w:rPr>
        <w:t>Allmänna rådet ska anta slutsatser om utvidgningen</w:t>
      </w:r>
      <w:r>
        <w:rPr>
          <w:rFonts w:cs="OrigGarmnd BT"/>
          <w:iCs/>
          <w:color w:val="000000"/>
          <w:szCs w:val="24"/>
          <w:lang w:eastAsia="sv-SE"/>
        </w:rPr>
        <w:t xml:space="preserve"> baserat på k</w:t>
      </w:r>
      <w:r w:rsidRPr="00B84C44">
        <w:rPr>
          <w:rFonts w:cs="OrigGarmnd BT"/>
          <w:iCs/>
          <w:color w:val="000000"/>
          <w:szCs w:val="24"/>
          <w:lang w:eastAsia="sv-SE"/>
        </w:rPr>
        <w:t>ommissionens årliga strategirapport och landvisa översynsrapporter som publicerades den 10 oktober. Rapporterna omfattar</w:t>
      </w:r>
      <w:r w:rsidRPr="00B84C44">
        <w:rPr>
          <w:color w:val="000000"/>
          <w:lang w:eastAsia="sv-SE"/>
        </w:rPr>
        <w:t xml:space="preserve"> kandidatländerna, d</w:t>
      </w:r>
      <w:r>
        <w:rPr>
          <w:color w:val="000000"/>
          <w:lang w:eastAsia="sv-SE"/>
        </w:rPr>
        <w:t>.</w:t>
      </w:r>
      <w:r w:rsidRPr="00B84C44">
        <w:rPr>
          <w:color w:val="000000"/>
          <w:lang w:eastAsia="sv-SE"/>
        </w:rPr>
        <w:t>v</w:t>
      </w:r>
      <w:r>
        <w:rPr>
          <w:color w:val="000000"/>
          <w:lang w:eastAsia="sv-SE"/>
        </w:rPr>
        <w:t>.</w:t>
      </w:r>
      <w:r w:rsidRPr="00B84C44">
        <w:rPr>
          <w:color w:val="000000"/>
          <w:lang w:eastAsia="sv-SE"/>
        </w:rPr>
        <w:t>s</w:t>
      </w:r>
      <w:r>
        <w:rPr>
          <w:color w:val="000000"/>
          <w:lang w:eastAsia="sv-SE"/>
        </w:rPr>
        <w:t>.</w:t>
      </w:r>
      <w:r w:rsidRPr="00B84C44">
        <w:rPr>
          <w:color w:val="000000"/>
          <w:lang w:eastAsia="sv-SE"/>
        </w:rPr>
        <w:t xml:space="preserve"> Turkiet, Makedonien, Montenegro, Serbien och Island, samt de potentiella kandidatländerna Albanien, Bosnien och Hercegovina och Kosovo.</w:t>
      </w:r>
      <w:r w:rsidRPr="00B84C44">
        <w:t xml:space="preserve"> I anslutning till paketet presenterades en särskild förstudie om inledandet av stabiliserings- och associeringsavtalsförhandlingar med Kosovo, samt en översyn av anslutningslandets Kroatiens förberedelser för EU-inträdet nästa år. </w:t>
      </w:r>
    </w:p>
    <w:p w:rsidR="003F00E8" w:rsidRPr="00B84C44" w:rsidRDefault="003F00E8" w:rsidP="00B84C44"/>
    <w:p w:rsidR="003F00E8" w:rsidRPr="00B84C44" w:rsidRDefault="003F00E8" w:rsidP="00B84C44">
      <w:pPr>
        <w:overflowPunct/>
        <w:adjustRightInd/>
        <w:spacing w:line="240" w:lineRule="auto"/>
        <w:textAlignment w:val="auto"/>
        <w:rPr>
          <w:szCs w:val="24"/>
        </w:rPr>
      </w:pPr>
      <w:r w:rsidRPr="00B84C44">
        <w:rPr>
          <w:szCs w:val="24"/>
        </w:rPr>
        <w:t>EU:s utvidgning är en central fråga i svensk utrikespolitik och regeringen välkomnar att kommissionen – också i dagens europeiska ekonomiska krisläge – tydligt belägger att det ligger i både EU:s och ansökarländernas intresse att utvidgningsprocessen fortsätter. Det är viktigt att kommissionen framhäver att utvidgningen även framgent är en nyckelfaktor i att skapa stabilitet i EU:s närområde, genom att förankra demokratins, rättsstatens och den fria rörlighetens principer. Rådsslutsatserna bör uppmuntra till fortsatta reformansträngningar och bidra till att momentum i anslutningsprocessen upprätthålls för samtliga länder.</w:t>
      </w:r>
    </w:p>
    <w:p w:rsidR="003F00E8" w:rsidRDefault="003F00E8">
      <w:pPr>
        <w:rPr>
          <w:rFonts w:cs="OrigGarmnd BT"/>
          <w:iCs/>
          <w:color w:val="000000"/>
          <w:szCs w:val="24"/>
          <w:lang w:eastAsia="sv-SE"/>
        </w:rPr>
      </w:pPr>
    </w:p>
    <w:p w:rsidR="003F00E8" w:rsidRPr="00783F83" w:rsidRDefault="003F00E8">
      <w:pPr>
        <w:rPr>
          <w:rFonts w:cs="OrigGarmnd BT"/>
          <w:iCs/>
          <w:color w:val="000000"/>
          <w:szCs w:val="24"/>
          <w:lang w:eastAsia="sv-SE"/>
        </w:rPr>
      </w:pPr>
    </w:p>
    <w:p w:rsidR="003F00E8" w:rsidRPr="00CA2957" w:rsidRDefault="003F00E8" w:rsidP="00CA2957">
      <w:pPr>
        <w:pStyle w:val="RKnormal"/>
        <w:numPr>
          <w:ilvl w:val="0"/>
          <w:numId w:val="5"/>
        </w:numPr>
        <w:rPr>
          <w:rFonts w:ascii="TradeGothic" w:hAnsi="TradeGothic"/>
          <w:b/>
          <w:sz w:val="22"/>
          <w:szCs w:val="22"/>
        </w:rPr>
      </w:pPr>
      <w:r w:rsidRPr="00CA2957">
        <w:rPr>
          <w:rFonts w:ascii="TradeGothic" w:hAnsi="TradeGothic"/>
          <w:b/>
          <w:sz w:val="22"/>
          <w:szCs w:val="22"/>
        </w:rPr>
        <w:t xml:space="preserve">Antagande av EU-gemensamma ståndpunkter inför anslutningskonferens med Island </w:t>
      </w:r>
    </w:p>
    <w:p w:rsidR="003F00E8" w:rsidRDefault="003F00E8" w:rsidP="00CA2957">
      <w:pPr>
        <w:tabs>
          <w:tab w:val="left" w:pos="709"/>
          <w:tab w:val="left" w:pos="2835"/>
        </w:tabs>
        <w:spacing w:line="240" w:lineRule="atLeast"/>
        <w:rPr>
          <w:i/>
        </w:rPr>
      </w:pPr>
      <w:r>
        <w:rPr>
          <w:i/>
        </w:rPr>
        <w:t>B</w:t>
      </w:r>
      <w:r w:rsidRPr="00CA2957">
        <w:rPr>
          <w:i/>
        </w:rPr>
        <w:t>eslutspunkt</w:t>
      </w:r>
    </w:p>
    <w:p w:rsidR="003F00E8" w:rsidRDefault="003F00E8" w:rsidP="00CA2957">
      <w:pPr>
        <w:tabs>
          <w:tab w:val="left" w:pos="709"/>
          <w:tab w:val="left" w:pos="2835"/>
        </w:tabs>
        <w:spacing w:line="240" w:lineRule="atLeast"/>
        <w:rPr>
          <w:i/>
        </w:rPr>
      </w:pPr>
    </w:p>
    <w:p w:rsidR="003F00E8" w:rsidRPr="00B84C44" w:rsidRDefault="003F00E8" w:rsidP="00B84C44">
      <w:pPr>
        <w:tabs>
          <w:tab w:val="left" w:pos="2835"/>
        </w:tabs>
        <w:spacing w:line="240" w:lineRule="atLeast"/>
      </w:pPr>
      <w:r w:rsidRPr="00B84C44">
        <w:t>Allmänna rådet kommer att anta ett antal gemensamma ståndpunkter inför anslutningskonferensen med Island den 18 december. För närvarande ser det ut att bli fyra gemensamma ståndpunkter som omfattar lika många förhandlingskapitel. Tre kapitel öppnas för förhandlingar: Kapitel 1 inre marknaden öppnas med två stängningsvillkor, kapitel 22 regionalpolitik öppnas med fyra stängningsvillkor, kapitel 30 externa relationer öppnas med ett stängningsvillkor. Vad gäller kapitel 8 konkurrenspolitik konstaterar man i den gemensamma ståndpunkten att stängningsvillkoret nu har uppfyllts och att kapitlet provisoriskt kan stängas.</w:t>
      </w:r>
    </w:p>
    <w:p w:rsidR="003F00E8" w:rsidRPr="00B84C44" w:rsidRDefault="003F00E8" w:rsidP="00B84C44">
      <w:pPr>
        <w:tabs>
          <w:tab w:val="left" w:pos="2835"/>
        </w:tabs>
        <w:spacing w:line="240" w:lineRule="atLeast"/>
      </w:pPr>
    </w:p>
    <w:p w:rsidR="003F00E8" w:rsidRPr="00B84C44" w:rsidRDefault="003F00E8" w:rsidP="00B84C44">
      <w:pPr>
        <w:tabs>
          <w:tab w:val="left" w:pos="2835"/>
        </w:tabs>
        <w:spacing w:line="240" w:lineRule="atLeast"/>
      </w:pPr>
      <w:r w:rsidRPr="00B84C44">
        <w:t>Regeringen stödjer samtliga förslag till gemensamma ståndpunkter inför anslutningskonferensen med Island.</w:t>
      </w:r>
    </w:p>
    <w:p w:rsidR="003F00E8" w:rsidRPr="00CA2957" w:rsidRDefault="003F00E8" w:rsidP="00CA2957">
      <w:pPr>
        <w:tabs>
          <w:tab w:val="left" w:pos="709"/>
          <w:tab w:val="left" w:pos="2835"/>
        </w:tabs>
        <w:spacing w:line="240" w:lineRule="atLeast"/>
        <w:rPr>
          <w:i/>
        </w:rPr>
      </w:pPr>
    </w:p>
    <w:p w:rsidR="003F00E8" w:rsidRPr="00CA2957" w:rsidRDefault="003F00E8" w:rsidP="00CA2957">
      <w:pPr>
        <w:pStyle w:val="ListParagraph"/>
        <w:rPr>
          <w:rFonts w:ascii="TradeGothic" w:hAnsi="TradeGothic"/>
          <w:b/>
          <w:sz w:val="22"/>
          <w:szCs w:val="22"/>
        </w:rPr>
      </w:pPr>
    </w:p>
    <w:p w:rsidR="003F00E8" w:rsidRDefault="003F00E8" w:rsidP="00B84C44">
      <w:pPr>
        <w:pStyle w:val="RKnormal"/>
        <w:numPr>
          <w:ilvl w:val="0"/>
          <w:numId w:val="5"/>
        </w:numPr>
        <w:rPr>
          <w:rFonts w:ascii="TradeGothic" w:hAnsi="TradeGothic"/>
          <w:b/>
          <w:sz w:val="22"/>
          <w:szCs w:val="22"/>
        </w:rPr>
      </w:pPr>
      <w:r w:rsidRPr="00CA2957">
        <w:rPr>
          <w:rFonts w:ascii="TradeGothic" w:hAnsi="TradeGothic"/>
          <w:b/>
          <w:sz w:val="22"/>
          <w:szCs w:val="22"/>
        </w:rPr>
        <w:t>(ev.) Antagande av EU-gemensamma ståndpunkter inför anslutningskonferens med Montenegro och Turkiet</w:t>
      </w:r>
    </w:p>
    <w:p w:rsidR="003F00E8" w:rsidRPr="00B84C44" w:rsidRDefault="003F00E8" w:rsidP="00B84C44">
      <w:pPr>
        <w:pStyle w:val="RKnormal"/>
        <w:rPr>
          <w:rFonts w:ascii="TradeGothic" w:hAnsi="TradeGothic"/>
          <w:b/>
          <w:sz w:val="22"/>
          <w:szCs w:val="22"/>
        </w:rPr>
      </w:pPr>
      <w:r>
        <w:rPr>
          <w:i/>
        </w:rPr>
        <w:t>B</w:t>
      </w:r>
      <w:r w:rsidRPr="00B84C44">
        <w:rPr>
          <w:i/>
        </w:rPr>
        <w:t>eslutspunkt</w:t>
      </w:r>
    </w:p>
    <w:p w:rsidR="003F00E8" w:rsidRPr="00CA2957" w:rsidRDefault="003F00E8" w:rsidP="00CA2957">
      <w:pPr>
        <w:tabs>
          <w:tab w:val="left" w:pos="709"/>
          <w:tab w:val="left" w:pos="2835"/>
        </w:tabs>
        <w:spacing w:line="240" w:lineRule="atLeast"/>
        <w:rPr>
          <w:i/>
        </w:rPr>
      </w:pPr>
    </w:p>
    <w:p w:rsidR="003F00E8" w:rsidRPr="00B84C44" w:rsidRDefault="003F00E8" w:rsidP="00B84C44">
      <w:pPr>
        <w:tabs>
          <w:tab w:val="left" w:pos="2835"/>
        </w:tabs>
        <w:spacing w:line="240" w:lineRule="atLeast"/>
      </w:pPr>
      <w:r w:rsidRPr="00B84C44">
        <w:t xml:space="preserve">Rådet väntas inte kunna färdigbehandla något kapitel inom ramen för Montenegros anslutningsförhandlingar i tid för att fatta beslut om öppning vid </w:t>
      </w:r>
      <w:r>
        <w:t>a</w:t>
      </w:r>
      <w:r w:rsidRPr="00B84C44">
        <w:t>llmänna rådet i december. Inte heller inom Turkiets anslutningsförhandlingar finns några kapitel att öppna. Punkten stryks därför sannolikt.</w:t>
      </w:r>
    </w:p>
    <w:p w:rsidR="003F00E8" w:rsidRPr="00B84C44" w:rsidRDefault="003F00E8" w:rsidP="00B84C44">
      <w:pPr>
        <w:tabs>
          <w:tab w:val="left" w:pos="2835"/>
        </w:tabs>
        <w:spacing w:line="240" w:lineRule="atLeast"/>
      </w:pPr>
    </w:p>
    <w:p w:rsidR="003F00E8" w:rsidRPr="00B84C44" w:rsidRDefault="003F00E8" w:rsidP="00B84C44">
      <w:pPr>
        <w:rPr>
          <w:b/>
        </w:rPr>
      </w:pPr>
      <w:r w:rsidRPr="00B84C44">
        <w:t>Det finns ännu inga förslag till förhandlingspositioner för regeringen att ta ställning till.</w:t>
      </w:r>
    </w:p>
    <w:p w:rsidR="003F00E8" w:rsidRPr="00C01277" w:rsidRDefault="003F00E8" w:rsidP="00CA2957">
      <w:pPr>
        <w:pStyle w:val="RKnormal"/>
        <w:ind w:left="1140"/>
        <w:rPr>
          <w:b/>
        </w:rPr>
      </w:pPr>
    </w:p>
    <w:p w:rsidR="003F00E8" w:rsidRPr="006B6A8C" w:rsidRDefault="003F00E8" w:rsidP="004F72F5">
      <w:pPr>
        <w:pStyle w:val="ListParagraph"/>
        <w:numPr>
          <w:ilvl w:val="0"/>
          <w:numId w:val="5"/>
        </w:numPr>
        <w:ind w:left="1134" w:hanging="1134"/>
        <w:rPr>
          <w:color w:val="000000"/>
          <w:szCs w:val="24"/>
        </w:rPr>
      </w:pPr>
      <w:r w:rsidRPr="006B6A8C">
        <w:rPr>
          <w:rFonts w:ascii="TradeGothic" w:hAnsi="TradeGothic"/>
          <w:b/>
          <w:color w:val="000000"/>
          <w:sz w:val="22"/>
          <w:szCs w:val="22"/>
        </w:rPr>
        <w:t>AOB</w:t>
      </w:r>
      <w:r w:rsidRPr="006B6A8C">
        <w:rPr>
          <w:rFonts w:ascii="TradeGothic" w:hAnsi="TradeGothic"/>
          <w:b/>
          <w:color w:val="000000"/>
          <w:sz w:val="22"/>
          <w:szCs w:val="22"/>
        </w:rPr>
        <w:br/>
      </w:r>
    </w:p>
    <w:p w:rsidR="003F00E8" w:rsidRPr="00FF7A1F" w:rsidRDefault="003F00E8" w:rsidP="006B6A8C">
      <w:pPr>
        <w:pStyle w:val="ListParagraph"/>
        <w:ind w:left="1500"/>
        <w:rPr>
          <w:rFonts w:ascii="TradeGothic" w:hAnsi="TradeGothic"/>
          <w:b/>
          <w:sz w:val="22"/>
          <w:szCs w:val="22"/>
        </w:rPr>
      </w:pPr>
    </w:p>
    <w:sectPr w:rsidR="003F00E8" w:rsidRPr="00FF7A1F" w:rsidSect="00652326">
      <w:headerReference w:type="even" r:id="rId7"/>
      <w:headerReference w:type="default" r:id="rId8"/>
      <w:headerReference w:type="first" r:id="rId9"/>
      <w:pgSz w:w="11907" w:h="16840" w:code="9"/>
      <w:pgMar w:top="567" w:right="1701" w:bottom="1134" w:left="2835" w:header="709" w:footer="539" w:gutter="0"/>
      <w:cols w:space="720"/>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00E8" w:rsidRDefault="003F00E8">
      <w:pPr>
        <w:spacing w:line="240" w:lineRule="auto"/>
      </w:pPr>
      <w:r>
        <w:separator/>
      </w:r>
    </w:p>
  </w:endnote>
  <w:endnote w:type="continuationSeparator" w:id="0">
    <w:p w:rsidR="003F00E8" w:rsidRDefault="003F00E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eGothic">
    <w:altName w:val="Courier"/>
    <w:panose1 w:val="00000000000000000000"/>
    <w:charset w:val="00"/>
    <w:family w:val="auto"/>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OrigGarmnd BT">
    <w:altName w:val="Constanti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00E8" w:rsidRDefault="003F00E8">
      <w:pPr>
        <w:spacing w:line="240" w:lineRule="auto"/>
      </w:pPr>
      <w:r>
        <w:separator/>
      </w:r>
    </w:p>
  </w:footnote>
  <w:footnote w:type="continuationSeparator" w:id="0">
    <w:p w:rsidR="003F00E8" w:rsidRDefault="003F00E8">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00E8" w:rsidRDefault="003F00E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tbl>
    <w:tblPr>
      <w:tblW w:w="0" w:type="auto"/>
      <w:tblInd w:w="-1168" w:type="dxa"/>
      <w:tblLook w:val="0000"/>
    </w:tblPr>
    <w:tblGrid>
      <w:gridCol w:w="3119"/>
      <w:gridCol w:w="4111"/>
      <w:gridCol w:w="1525"/>
    </w:tblGrid>
    <w:tr w:rsidR="003F00E8">
      <w:trPr>
        <w:cantSplit/>
      </w:trPr>
      <w:tc>
        <w:tcPr>
          <w:tcW w:w="3119" w:type="dxa"/>
        </w:tcPr>
        <w:p w:rsidR="003F00E8" w:rsidRDefault="003F00E8">
          <w:pPr>
            <w:pStyle w:val="Header"/>
            <w:spacing w:line="200" w:lineRule="atLeast"/>
            <w:ind w:right="357"/>
            <w:rPr>
              <w:rFonts w:ascii="TradeGothic" w:hAnsi="TradeGothic"/>
              <w:b/>
              <w:bCs/>
              <w:sz w:val="16"/>
            </w:rPr>
          </w:pPr>
        </w:p>
      </w:tc>
      <w:tc>
        <w:tcPr>
          <w:tcW w:w="4111" w:type="dxa"/>
          <w:tcMar>
            <w:left w:w="567" w:type="dxa"/>
          </w:tcMar>
        </w:tcPr>
        <w:p w:rsidR="003F00E8" w:rsidRDefault="003F00E8">
          <w:pPr>
            <w:pStyle w:val="Header"/>
            <w:ind w:right="360"/>
          </w:pPr>
        </w:p>
      </w:tc>
      <w:tc>
        <w:tcPr>
          <w:tcW w:w="1525" w:type="dxa"/>
        </w:tcPr>
        <w:p w:rsidR="003F00E8" w:rsidRDefault="003F00E8">
          <w:pPr>
            <w:pStyle w:val="Header"/>
            <w:ind w:right="360"/>
          </w:pPr>
        </w:p>
      </w:tc>
    </w:tr>
  </w:tbl>
  <w:p w:rsidR="003F00E8" w:rsidRDefault="003F00E8">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00E8" w:rsidRDefault="003F00E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tbl>
    <w:tblPr>
      <w:tblW w:w="0" w:type="auto"/>
      <w:tblInd w:w="-1168" w:type="dxa"/>
      <w:tblLook w:val="0000"/>
    </w:tblPr>
    <w:tblGrid>
      <w:gridCol w:w="3119"/>
      <w:gridCol w:w="4111"/>
      <w:gridCol w:w="1525"/>
    </w:tblGrid>
    <w:tr w:rsidR="003F00E8">
      <w:trPr>
        <w:cantSplit/>
      </w:trPr>
      <w:tc>
        <w:tcPr>
          <w:tcW w:w="3119" w:type="dxa"/>
        </w:tcPr>
        <w:p w:rsidR="003F00E8" w:rsidRDefault="003F00E8">
          <w:pPr>
            <w:pStyle w:val="Header"/>
            <w:spacing w:line="200" w:lineRule="atLeast"/>
            <w:ind w:right="357"/>
            <w:rPr>
              <w:rFonts w:ascii="TradeGothic" w:hAnsi="TradeGothic"/>
              <w:b/>
              <w:bCs/>
              <w:sz w:val="16"/>
            </w:rPr>
          </w:pPr>
        </w:p>
      </w:tc>
      <w:tc>
        <w:tcPr>
          <w:tcW w:w="4111" w:type="dxa"/>
          <w:tcMar>
            <w:left w:w="567" w:type="dxa"/>
          </w:tcMar>
        </w:tcPr>
        <w:p w:rsidR="003F00E8" w:rsidRDefault="003F00E8">
          <w:pPr>
            <w:pStyle w:val="Header"/>
            <w:ind w:right="360"/>
          </w:pPr>
        </w:p>
      </w:tc>
      <w:tc>
        <w:tcPr>
          <w:tcW w:w="1525" w:type="dxa"/>
        </w:tcPr>
        <w:p w:rsidR="003F00E8" w:rsidRDefault="003F00E8">
          <w:pPr>
            <w:pStyle w:val="Header"/>
            <w:ind w:right="360"/>
          </w:pPr>
        </w:p>
      </w:tc>
    </w:tr>
  </w:tbl>
  <w:p w:rsidR="003F00E8" w:rsidRDefault="003F00E8">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00E8" w:rsidRDefault="003F00E8">
    <w:pPr>
      <w:framePr w:w="2948" w:h="1321" w:hRule="exact" w:wrap="notBeside" w:vAnchor="page" w:hAnchor="page" w:x="1362" w:y="653"/>
    </w:pPr>
    <w:r w:rsidRPr="00D772A3">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style="width:147pt;height:66pt;visibility:visible">
          <v:imagedata r:id="rId1" o:title=""/>
        </v:shape>
      </w:pict>
    </w:r>
  </w:p>
  <w:p w:rsidR="003F00E8" w:rsidRDefault="003F00E8">
    <w:pPr>
      <w:pStyle w:val="RKrubrik"/>
      <w:keepNext w:val="0"/>
      <w:tabs>
        <w:tab w:val="clear" w:pos="1134"/>
        <w:tab w:val="clear" w:pos="2835"/>
      </w:tabs>
      <w:spacing w:before="0" w:after="0" w:line="320" w:lineRule="atLeast"/>
      <w:rPr>
        <w:bCs/>
      </w:rPr>
    </w:pPr>
  </w:p>
  <w:p w:rsidR="003F00E8" w:rsidRDefault="003F00E8">
    <w:pPr>
      <w:rPr>
        <w:rFonts w:ascii="TradeGothic" w:hAnsi="TradeGothic"/>
        <w:b/>
        <w:bCs/>
        <w:spacing w:val="12"/>
        <w:sz w:val="22"/>
      </w:rPr>
    </w:pPr>
  </w:p>
  <w:p w:rsidR="003F00E8" w:rsidRDefault="003F00E8">
    <w:pPr>
      <w:pStyle w:val="RKrubrik"/>
      <w:keepNext w:val="0"/>
      <w:tabs>
        <w:tab w:val="clear" w:pos="1134"/>
        <w:tab w:val="clear" w:pos="2835"/>
      </w:tabs>
      <w:spacing w:before="0" w:after="0" w:line="320" w:lineRule="atLeast"/>
      <w:rPr>
        <w:bCs/>
      </w:rPr>
    </w:pPr>
  </w:p>
  <w:p w:rsidR="003F00E8" w:rsidRDefault="003F00E8">
    <w:pPr>
      <w:rPr>
        <w:rFonts w:ascii="TradeGothic" w:hAnsi="TradeGothic"/>
        <w:i/>
        <w:iCs/>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E6DC0"/>
    <w:multiLevelType w:val="hybridMultilevel"/>
    <w:tmpl w:val="EA346A42"/>
    <w:lvl w:ilvl="0" w:tplc="22F2FA6E">
      <w:start w:val="1"/>
      <w:numFmt w:val="lowerLetter"/>
      <w:lvlText w:val="%1)"/>
      <w:lvlJc w:val="left"/>
      <w:pPr>
        <w:ind w:left="1494" w:hanging="360"/>
      </w:pPr>
      <w:rPr>
        <w:rFonts w:cs="Times New Roman" w:hint="default"/>
      </w:rPr>
    </w:lvl>
    <w:lvl w:ilvl="1" w:tplc="041D0019" w:tentative="1">
      <w:start w:val="1"/>
      <w:numFmt w:val="lowerLetter"/>
      <w:lvlText w:val="%2."/>
      <w:lvlJc w:val="left"/>
      <w:pPr>
        <w:ind w:left="2214" w:hanging="360"/>
      </w:pPr>
      <w:rPr>
        <w:rFonts w:cs="Times New Roman"/>
      </w:rPr>
    </w:lvl>
    <w:lvl w:ilvl="2" w:tplc="041D001B" w:tentative="1">
      <w:start w:val="1"/>
      <w:numFmt w:val="lowerRoman"/>
      <w:lvlText w:val="%3."/>
      <w:lvlJc w:val="right"/>
      <w:pPr>
        <w:ind w:left="2934" w:hanging="180"/>
      </w:pPr>
      <w:rPr>
        <w:rFonts w:cs="Times New Roman"/>
      </w:rPr>
    </w:lvl>
    <w:lvl w:ilvl="3" w:tplc="041D000F" w:tentative="1">
      <w:start w:val="1"/>
      <w:numFmt w:val="decimal"/>
      <w:lvlText w:val="%4."/>
      <w:lvlJc w:val="left"/>
      <w:pPr>
        <w:ind w:left="3654" w:hanging="360"/>
      </w:pPr>
      <w:rPr>
        <w:rFonts w:cs="Times New Roman"/>
      </w:rPr>
    </w:lvl>
    <w:lvl w:ilvl="4" w:tplc="041D0019" w:tentative="1">
      <w:start w:val="1"/>
      <w:numFmt w:val="lowerLetter"/>
      <w:lvlText w:val="%5."/>
      <w:lvlJc w:val="left"/>
      <w:pPr>
        <w:ind w:left="4374" w:hanging="360"/>
      </w:pPr>
      <w:rPr>
        <w:rFonts w:cs="Times New Roman"/>
      </w:rPr>
    </w:lvl>
    <w:lvl w:ilvl="5" w:tplc="041D001B" w:tentative="1">
      <w:start w:val="1"/>
      <w:numFmt w:val="lowerRoman"/>
      <w:lvlText w:val="%6."/>
      <w:lvlJc w:val="right"/>
      <w:pPr>
        <w:ind w:left="5094" w:hanging="180"/>
      </w:pPr>
      <w:rPr>
        <w:rFonts w:cs="Times New Roman"/>
      </w:rPr>
    </w:lvl>
    <w:lvl w:ilvl="6" w:tplc="041D000F" w:tentative="1">
      <w:start w:val="1"/>
      <w:numFmt w:val="decimal"/>
      <w:lvlText w:val="%7."/>
      <w:lvlJc w:val="left"/>
      <w:pPr>
        <w:ind w:left="5814" w:hanging="360"/>
      </w:pPr>
      <w:rPr>
        <w:rFonts w:cs="Times New Roman"/>
      </w:rPr>
    </w:lvl>
    <w:lvl w:ilvl="7" w:tplc="041D0019" w:tentative="1">
      <w:start w:val="1"/>
      <w:numFmt w:val="lowerLetter"/>
      <w:lvlText w:val="%8."/>
      <w:lvlJc w:val="left"/>
      <w:pPr>
        <w:ind w:left="6534" w:hanging="360"/>
      </w:pPr>
      <w:rPr>
        <w:rFonts w:cs="Times New Roman"/>
      </w:rPr>
    </w:lvl>
    <w:lvl w:ilvl="8" w:tplc="041D001B" w:tentative="1">
      <w:start w:val="1"/>
      <w:numFmt w:val="lowerRoman"/>
      <w:lvlText w:val="%9."/>
      <w:lvlJc w:val="right"/>
      <w:pPr>
        <w:ind w:left="7254" w:hanging="180"/>
      </w:pPr>
      <w:rPr>
        <w:rFonts w:cs="Times New Roman"/>
      </w:rPr>
    </w:lvl>
  </w:abstractNum>
  <w:abstractNum w:abstractNumId="1">
    <w:nsid w:val="0A7A21D8"/>
    <w:multiLevelType w:val="hybridMultilevel"/>
    <w:tmpl w:val="3232104E"/>
    <w:lvl w:ilvl="0" w:tplc="041D000F">
      <w:start w:val="1"/>
      <w:numFmt w:val="decimal"/>
      <w:lvlText w:val="%1."/>
      <w:lvlJc w:val="left"/>
      <w:pPr>
        <w:ind w:left="720" w:hanging="360"/>
      </w:pPr>
      <w:rPr>
        <w:rFonts w:cs="Times New Roman"/>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2">
    <w:nsid w:val="0C4B3FF1"/>
    <w:multiLevelType w:val="hybridMultilevel"/>
    <w:tmpl w:val="A8322FA4"/>
    <w:lvl w:ilvl="0" w:tplc="041D000F">
      <w:start w:val="1"/>
      <w:numFmt w:val="decimal"/>
      <w:lvlText w:val="%1."/>
      <w:lvlJc w:val="left"/>
      <w:pPr>
        <w:ind w:left="720" w:hanging="360"/>
      </w:pPr>
      <w:rPr>
        <w:rFonts w:cs="Times New Roman"/>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3">
    <w:nsid w:val="0CC174AA"/>
    <w:multiLevelType w:val="hybridMultilevel"/>
    <w:tmpl w:val="F0F0DCFC"/>
    <w:lvl w:ilvl="0" w:tplc="041D0017">
      <w:start w:val="1"/>
      <w:numFmt w:val="lowerLetter"/>
      <w:lvlText w:val="%1)"/>
      <w:lvlJc w:val="left"/>
      <w:pPr>
        <w:ind w:left="720" w:hanging="360"/>
      </w:pPr>
      <w:rPr>
        <w:rFonts w:cs="Times New Roman"/>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4">
    <w:nsid w:val="0E4229AD"/>
    <w:multiLevelType w:val="hybridMultilevel"/>
    <w:tmpl w:val="E084BFA0"/>
    <w:lvl w:ilvl="0" w:tplc="D0F86E44">
      <w:start w:val="1"/>
      <w:numFmt w:val="decimal"/>
      <w:lvlText w:val="%1."/>
      <w:lvlJc w:val="left"/>
      <w:pPr>
        <w:ind w:left="1140" w:hanging="1140"/>
      </w:pPr>
      <w:rPr>
        <w:rFonts w:ascii="TradeGothic" w:hAnsi="TradeGothic" w:cs="Times New Roman" w:hint="default"/>
        <w:b/>
        <w:i w:val="0"/>
        <w:sz w:val="22"/>
        <w:szCs w:val="22"/>
      </w:rPr>
    </w:lvl>
    <w:lvl w:ilvl="1" w:tplc="041D0019">
      <w:start w:val="1"/>
      <w:numFmt w:val="lowerLetter"/>
      <w:lvlText w:val="%2."/>
      <w:lvlJc w:val="left"/>
      <w:pPr>
        <w:ind w:left="1353"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5">
    <w:nsid w:val="17845A11"/>
    <w:multiLevelType w:val="hybridMultilevel"/>
    <w:tmpl w:val="1C2E9650"/>
    <w:lvl w:ilvl="0" w:tplc="041D0017">
      <w:start w:val="1"/>
      <w:numFmt w:val="lowerLetter"/>
      <w:lvlText w:val="%1)"/>
      <w:lvlJc w:val="left"/>
      <w:pPr>
        <w:ind w:left="1440" w:hanging="360"/>
      </w:pPr>
      <w:rPr>
        <w:rFonts w:cs="Times New Roman"/>
      </w:rPr>
    </w:lvl>
    <w:lvl w:ilvl="1" w:tplc="041D0019" w:tentative="1">
      <w:start w:val="1"/>
      <w:numFmt w:val="lowerLetter"/>
      <w:lvlText w:val="%2."/>
      <w:lvlJc w:val="left"/>
      <w:pPr>
        <w:ind w:left="2160" w:hanging="360"/>
      </w:pPr>
      <w:rPr>
        <w:rFonts w:cs="Times New Roman"/>
      </w:rPr>
    </w:lvl>
    <w:lvl w:ilvl="2" w:tplc="041D001B" w:tentative="1">
      <w:start w:val="1"/>
      <w:numFmt w:val="lowerRoman"/>
      <w:lvlText w:val="%3."/>
      <w:lvlJc w:val="right"/>
      <w:pPr>
        <w:ind w:left="2880" w:hanging="180"/>
      </w:pPr>
      <w:rPr>
        <w:rFonts w:cs="Times New Roman"/>
      </w:rPr>
    </w:lvl>
    <w:lvl w:ilvl="3" w:tplc="041D000F" w:tentative="1">
      <w:start w:val="1"/>
      <w:numFmt w:val="decimal"/>
      <w:lvlText w:val="%4."/>
      <w:lvlJc w:val="left"/>
      <w:pPr>
        <w:ind w:left="3600" w:hanging="360"/>
      </w:pPr>
      <w:rPr>
        <w:rFonts w:cs="Times New Roman"/>
      </w:rPr>
    </w:lvl>
    <w:lvl w:ilvl="4" w:tplc="041D0019" w:tentative="1">
      <w:start w:val="1"/>
      <w:numFmt w:val="lowerLetter"/>
      <w:lvlText w:val="%5."/>
      <w:lvlJc w:val="left"/>
      <w:pPr>
        <w:ind w:left="4320" w:hanging="360"/>
      </w:pPr>
      <w:rPr>
        <w:rFonts w:cs="Times New Roman"/>
      </w:rPr>
    </w:lvl>
    <w:lvl w:ilvl="5" w:tplc="041D001B" w:tentative="1">
      <w:start w:val="1"/>
      <w:numFmt w:val="lowerRoman"/>
      <w:lvlText w:val="%6."/>
      <w:lvlJc w:val="right"/>
      <w:pPr>
        <w:ind w:left="5040" w:hanging="180"/>
      </w:pPr>
      <w:rPr>
        <w:rFonts w:cs="Times New Roman"/>
      </w:rPr>
    </w:lvl>
    <w:lvl w:ilvl="6" w:tplc="041D000F" w:tentative="1">
      <w:start w:val="1"/>
      <w:numFmt w:val="decimal"/>
      <w:lvlText w:val="%7."/>
      <w:lvlJc w:val="left"/>
      <w:pPr>
        <w:ind w:left="5760" w:hanging="360"/>
      </w:pPr>
      <w:rPr>
        <w:rFonts w:cs="Times New Roman"/>
      </w:rPr>
    </w:lvl>
    <w:lvl w:ilvl="7" w:tplc="041D0019" w:tentative="1">
      <w:start w:val="1"/>
      <w:numFmt w:val="lowerLetter"/>
      <w:lvlText w:val="%8."/>
      <w:lvlJc w:val="left"/>
      <w:pPr>
        <w:ind w:left="6480" w:hanging="360"/>
      </w:pPr>
      <w:rPr>
        <w:rFonts w:cs="Times New Roman"/>
      </w:rPr>
    </w:lvl>
    <w:lvl w:ilvl="8" w:tplc="041D001B" w:tentative="1">
      <w:start w:val="1"/>
      <w:numFmt w:val="lowerRoman"/>
      <w:lvlText w:val="%9."/>
      <w:lvlJc w:val="right"/>
      <w:pPr>
        <w:ind w:left="7200" w:hanging="180"/>
      </w:pPr>
      <w:rPr>
        <w:rFonts w:cs="Times New Roman"/>
      </w:rPr>
    </w:lvl>
  </w:abstractNum>
  <w:abstractNum w:abstractNumId="6">
    <w:nsid w:val="29F13E9C"/>
    <w:multiLevelType w:val="hybridMultilevel"/>
    <w:tmpl w:val="70F4CC32"/>
    <w:lvl w:ilvl="0" w:tplc="46F47FF8">
      <w:start w:val="1"/>
      <w:numFmt w:val="decimal"/>
      <w:lvlText w:val="%1."/>
      <w:lvlJc w:val="left"/>
      <w:pPr>
        <w:ind w:left="1140" w:hanging="1140"/>
      </w:pPr>
      <w:rPr>
        <w:rFonts w:cs="Times New Roman" w:hint="default"/>
        <w:b/>
      </w:rPr>
    </w:lvl>
    <w:lvl w:ilvl="1" w:tplc="041D0019" w:tentative="1">
      <w:start w:val="1"/>
      <w:numFmt w:val="lowerLetter"/>
      <w:lvlText w:val="%2."/>
      <w:lvlJc w:val="left"/>
      <w:pPr>
        <w:ind w:left="1080" w:hanging="360"/>
      </w:pPr>
      <w:rPr>
        <w:rFonts w:cs="Times New Roman"/>
      </w:rPr>
    </w:lvl>
    <w:lvl w:ilvl="2" w:tplc="041D001B" w:tentative="1">
      <w:start w:val="1"/>
      <w:numFmt w:val="lowerRoman"/>
      <w:lvlText w:val="%3."/>
      <w:lvlJc w:val="right"/>
      <w:pPr>
        <w:ind w:left="1800" w:hanging="180"/>
      </w:pPr>
      <w:rPr>
        <w:rFonts w:cs="Times New Roman"/>
      </w:rPr>
    </w:lvl>
    <w:lvl w:ilvl="3" w:tplc="041D000F" w:tentative="1">
      <w:start w:val="1"/>
      <w:numFmt w:val="decimal"/>
      <w:lvlText w:val="%4."/>
      <w:lvlJc w:val="left"/>
      <w:pPr>
        <w:ind w:left="2520" w:hanging="360"/>
      </w:pPr>
      <w:rPr>
        <w:rFonts w:cs="Times New Roman"/>
      </w:rPr>
    </w:lvl>
    <w:lvl w:ilvl="4" w:tplc="041D0019" w:tentative="1">
      <w:start w:val="1"/>
      <w:numFmt w:val="lowerLetter"/>
      <w:lvlText w:val="%5."/>
      <w:lvlJc w:val="left"/>
      <w:pPr>
        <w:ind w:left="3240" w:hanging="360"/>
      </w:pPr>
      <w:rPr>
        <w:rFonts w:cs="Times New Roman"/>
      </w:rPr>
    </w:lvl>
    <w:lvl w:ilvl="5" w:tplc="041D001B" w:tentative="1">
      <w:start w:val="1"/>
      <w:numFmt w:val="lowerRoman"/>
      <w:lvlText w:val="%6."/>
      <w:lvlJc w:val="right"/>
      <w:pPr>
        <w:ind w:left="3960" w:hanging="180"/>
      </w:pPr>
      <w:rPr>
        <w:rFonts w:cs="Times New Roman"/>
      </w:rPr>
    </w:lvl>
    <w:lvl w:ilvl="6" w:tplc="041D000F" w:tentative="1">
      <w:start w:val="1"/>
      <w:numFmt w:val="decimal"/>
      <w:lvlText w:val="%7."/>
      <w:lvlJc w:val="left"/>
      <w:pPr>
        <w:ind w:left="4680" w:hanging="360"/>
      </w:pPr>
      <w:rPr>
        <w:rFonts w:cs="Times New Roman"/>
      </w:rPr>
    </w:lvl>
    <w:lvl w:ilvl="7" w:tplc="041D0019" w:tentative="1">
      <w:start w:val="1"/>
      <w:numFmt w:val="lowerLetter"/>
      <w:lvlText w:val="%8."/>
      <w:lvlJc w:val="left"/>
      <w:pPr>
        <w:ind w:left="5400" w:hanging="360"/>
      </w:pPr>
      <w:rPr>
        <w:rFonts w:cs="Times New Roman"/>
      </w:rPr>
    </w:lvl>
    <w:lvl w:ilvl="8" w:tplc="041D001B" w:tentative="1">
      <w:start w:val="1"/>
      <w:numFmt w:val="lowerRoman"/>
      <w:lvlText w:val="%9."/>
      <w:lvlJc w:val="right"/>
      <w:pPr>
        <w:ind w:left="6120" w:hanging="180"/>
      </w:pPr>
      <w:rPr>
        <w:rFonts w:cs="Times New Roman"/>
      </w:rPr>
    </w:lvl>
  </w:abstractNum>
  <w:abstractNum w:abstractNumId="7">
    <w:nsid w:val="2D485321"/>
    <w:multiLevelType w:val="hybridMultilevel"/>
    <w:tmpl w:val="D04443E2"/>
    <w:lvl w:ilvl="0" w:tplc="22F2FA6E">
      <w:start w:val="1"/>
      <w:numFmt w:val="lowerLetter"/>
      <w:lvlText w:val="%1)"/>
      <w:lvlJc w:val="left"/>
      <w:pPr>
        <w:ind w:left="1494" w:hanging="360"/>
      </w:pPr>
      <w:rPr>
        <w:rFonts w:cs="Times New Roman" w:hint="default"/>
      </w:rPr>
    </w:lvl>
    <w:lvl w:ilvl="1" w:tplc="041D0019" w:tentative="1">
      <w:start w:val="1"/>
      <w:numFmt w:val="lowerLetter"/>
      <w:lvlText w:val="%2."/>
      <w:lvlJc w:val="left"/>
      <w:pPr>
        <w:ind w:left="2214" w:hanging="360"/>
      </w:pPr>
      <w:rPr>
        <w:rFonts w:cs="Times New Roman"/>
      </w:rPr>
    </w:lvl>
    <w:lvl w:ilvl="2" w:tplc="041D001B" w:tentative="1">
      <w:start w:val="1"/>
      <w:numFmt w:val="lowerRoman"/>
      <w:lvlText w:val="%3."/>
      <w:lvlJc w:val="right"/>
      <w:pPr>
        <w:ind w:left="2934" w:hanging="180"/>
      </w:pPr>
      <w:rPr>
        <w:rFonts w:cs="Times New Roman"/>
      </w:rPr>
    </w:lvl>
    <w:lvl w:ilvl="3" w:tplc="041D000F" w:tentative="1">
      <w:start w:val="1"/>
      <w:numFmt w:val="decimal"/>
      <w:lvlText w:val="%4."/>
      <w:lvlJc w:val="left"/>
      <w:pPr>
        <w:ind w:left="3654" w:hanging="360"/>
      </w:pPr>
      <w:rPr>
        <w:rFonts w:cs="Times New Roman"/>
      </w:rPr>
    </w:lvl>
    <w:lvl w:ilvl="4" w:tplc="041D0019" w:tentative="1">
      <w:start w:val="1"/>
      <w:numFmt w:val="lowerLetter"/>
      <w:lvlText w:val="%5."/>
      <w:lvlJc w:val="left"/>
      <w:pPr>
        <w:ind w:left="4374" w:hanging="360"/>
      </w:pPr>
      <w:rPr>
        <w:rFonts w:cs="Times New Roman"/>
      </w:rPr>
    </w:lvl>
    <w:lvl w:ilvl="5" w:tplc="041D001B" w:tentative="1">
      <w:start w:val="1"/>
      <w:numFmt w:val="lowerRoman"/>
      <w:lvlText w:val="%6."/>
      <w:lvlJc w:val="right"/>
      <w:pPr>
        <w:ind w:left="5094" w:hanging="180"/>
      </w:pPr>
      <w:rPr>
        <w:rFonts w:cs="Times New Roman"/>
      </w:rPr>
    </w:lvl>
    <w:lvl w:ilvl="6" w:tplc="041D000F" w:tentative="1">
      <w:start w:val="1"/>
      <w:numFmt w:val="decimal"/>
      <w:lvlText w:val="%7."/>
      <w:lvlJc w:val="left"/>
      <w:pPr>
        <w:ind w:left="5814" w:hanging="360"/>
      </w:pPr>
      <w:rPr>
        <w:rFonts w:cs="Times New Roman"/>
      </w:rPr>
    </w:lvl>
    <w:lvl w:ilvl="7" w:tplc="041D0019" w:tentative="1">
      <w:start w:val="1"/>
      <w:numFmt w:val="lowerLetter"/>
      <w:lvlText w:val="%8."/>
      <w:lvlJc w:val="left"/>
      <w:pPr>
        <w:ind w:left="6534" w:hanging="360"/>
      </w:pPr>
      <w:rPr>
        <w:rFonts w:cs="Times New Roman"/>
      </w:rPr>
    </w:lvl>
    <w:lvl w:ilvl="8" w:tplc="041D001B" w:tentative="1">
      <w:start w:val="1"/>
      <w:numFmt w:val="lowerRoman"/>
      <w:lvlText w:val="%9."/>
      <w:lvlJc w:val="right"/>
      <w:pPr>
        <w:ind w:left="7254" w:hanging="180"/>
      </w:pPr>
      <w:rPr>
        <w:rFonts w:cs="Times New Roman"/>
      </w:rPr>
    </w:lvl>
  </w:abstractNum>
  <w:abstractNum w:abstractNumId="8">
    <w:nsid w:val="34822165"/>
    <w:multiLevelType w:val="hybridMultilevel"/>
    <w:tmpl w:val="C748A3E8"/>
    <w:lvl w:ilvl="0" w:tplc="041D000F">
      <w:start w:val="1"/>
      <w:numFmt w:val="decimal"/>
      <w:lvlText w:val="%1."/>
      <w:lvlJc w:val="left"/>
      <w:pPr>
        <w:ind w:left="360" w:hanging="360"/>
      </w:pPr>
      <w:rPr>
        <w:rFonts w:cs="Times New Roman"/>
      </w:rPr>
    </w:lvl>
    <w:lvl w:ilvl="1" w:tplc="041D0019" w:tentative="1">
      <w:start w:val="1"/>
      <w:numFmt w:val="lowerLetter"/>
      <w:lvlText w:val="%2."/>
      <w:lvlJc w:val="left"/>
      <w:pPr>
        <w:ind w:left="1080" w:hanging="360"/>
      </w:pPr>
      <w:rPr>
        <w:rFonts w:cs="Times New Roman"/>
      </w:rPr>
    </w:lvl>
    <w:lvl w:ilvl="2" w:tplc="041D001B" w:tentative="1">
      <w:start w:val="1"/>
      <w:numFmt w:val="lowerRoman"/>
      <w:lvlText w:val="%3."/>
      <w:lvlJc w:val="right"/>
      <w:pPr>
        <w:ind w:left="1800" w:hanging="180"/>
      </w:pPr>
      <w:rPr>
        <w:rFonts w:cs="Times New Roman"/>
      </w:rPr>
    </w:lvl>
    <w:lvl w:ilvl="3" w:tplc="041D000F" w:tentative="1">
      <w:start w:val="1"/>
      <w:numFmt w:val="decimal"/>
      <w:lvlText w:val="%4."/>
      <w:lvlJc w:val="left"/>
      <w:pPr>
        <w:ind w:left="2520" w:hanging="360"/>
      </w:pPr>
      <w:rPr>
        <w:rFonts w:cs="Times New Roman"/>
      </w:rPr>
    </w:lvl>
    <w:lvl w:ilvl="4" w:tplc="041D0019" w:tentative="1">
      <w:start w:val="1"/>
      <w:numFmt w:val="lowerLetter"/>
      <w:lvlText w:val="%5."/>
      <w:lvlJc w:val="left"/>
      <w:pPr>
        <w:ind w:left="3240" w:hanging="360"/>
      </w:pPr>
      <w:rPr>
        <w:rFonts w:cs="Times New Roman"/>
      </w:rPr>
    </w:lvl>
    <w:lvl w:ilvl="5" w:tplc="041D001B" w:tentative="1">
      <w:start w:val="1"/>
      <w:numFmt w:val="lowerRoman"/>
      <w:lvlText w:val="%6."/>
      <w:lvlJc w:val="right"/>
      <w:pPr>
        <w:ind w:left="3960" w:hanging="180"/>
      </w:pPr>
      <w:rPr>
        <w:rFonts w:cs="Times New Roman"/>
      </w:rPr>
    </w:lvl>
    <w:lvl w:ilvl="6" w:tplc="041D000F" w:tentative="1">
      <w:start w:val="1"/>
      <w:numFmt w:val="decimal"/>
      <w:lvlText w:val="%7."/>
      <w:lvlJc w:val="left"/>
      <w:pPr>
        <w:ind w:left="4680" w:hanging="360"/>
      </w:pPr>
      <w:rPr>
        <w:rFonts w:cs="Times New Roman"/>
      </w:rPr>
    </w:lvl>
    <w:lvl w:ilvl="7" w:tplc="041D0019" w:tentative="1">
      <w:start w:val="1"/>
      <w:numFmt w:val="lowerLetter"/>
      <w:lvlText w:val="%8."/>
      <w:lvlJc w:val="left"/>
      <w:pPr>
        <w:ind w:left="5400" w:hanging="360"/>
      </w:pPr>
      <w:rPr>
        <w:rFonts w:cs="Times New Roman"/>
      </w:rPr>
    </w:lvl>
    <w:lvl w:ilvl="8" w:tplc="041D001B" w:tentative="1">
      <w:start w:val="1"/>
      <w:numFmt w:val="lowerRoman"/>
      <w:lvlText w:val="%9."/>
      <w:lvlJc w:val="right"/>
      <w:pPr>
        <w:ind w:left="6120" w:hanging="180"/>
      </w:pPr>
      <w:rPr>
        <w:rFonts w:cs="Times New Roman"/>
      </w:rPr>
    </w:lvl>
  </w:abstractNum>
  <w:abstractNum w:abstractNumId="9">
    <w:nsid w:val="3ECE2246"/>
    <w:multiLevelType w:val="hybridMultilevel"/>
    <w:tmpl w:val="AD647164"/>
    <w:lvl w:ilvl="0" w:tplc="B54A727E">
      <w:start w:val="6"/>
      <w:numFmt w:val="bullet"/>
      <w:lvlText w:val="-"/>
      <w:lvlJc w:val="left"/>
      <w:pPr>
        <w:ind w:left="720" w:hanging="360"/>
      </w:pPr>
      <w:rPr>
        <w:rFonts w:ascii="TradeGothic" w:eastAsia="Times New Roman" w:hAnsi="TradeGothic" w:hint="default"/>
      </w:rPr>
    </w:lvl>
    <w:lvl w:ilvl="1" w:tplc="041D0003">
      <w:start w:val="1"/>
      <w:numFmt w:val="bullet"/>
      <w:lvlText w:val="o"/>
      <w:lvlJc w:val="left"/>
      <w:pPr>
        <w:ind w:left="1440" w:hanging="360"/>
      </w:pPr>
      <w:rPr>
        <w:rFonts w:ascii="Courier New" w:hAnsi="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hint="default"/>
      </w:rPr>
    </w:lvl>
    <w:lvl w:ilvl="8" w:tplc="041D0005">
      <w:start w:val="1"/>
      <w:numFmt w:val="bullet"/>
      <w:lvlText w:val=""/>
      <w:lvlJc w:val="left"/>
      <w:pPr>
        <w:ind w:left="6480" w:hanging="360"/>
      </w:pPr>
      <w:rPr>
        <w:rFonts w:ascii="Wingdings" w:hAnsi="Wingdings" w:hint="default"/>
      </w:rPr>
    </w:lvl>
  </w:abstractNum>
  <w:abstractNum w:abstractNumId="10">
    <w:nsid w:val="427D084D"/>
    <w:multiLevelType w:val="hybridMultilevel"/>
    <w:tmpl w:val="ABCE7D4E"/>
    <w:lvl w:ilvl="0" w:tplc="8AB6FA52">
      <w:start w:val="1"/>
      <w:numFmt w:val="decimal"/>
      <w:lvlText w:val="%1."/>
      <w:lvlJc w:val="left"/>
      <w:pPr>
        <w:ind w:left="-480" w:hanging="360"/>
      </w:pPr>
      <w:rPr>
        <w:rFonts w:cs="Times New Roman" w:hint="default"/>
      </w:rPr>
    </w:lvl>
    <w:lvl w:ilvl="1" w:tplc="041D0019" w:tentative="1">
      <w:start w:val="1"/>
      <w:numFmt w:val="lowerLetter"/>
      <w:lvlText w:val="%2."/>
      <w:lvlJc w:val="left"/>
      <w:pPr>
        <w:ind w:left="240" w:hanging="360"/>
      </w:pPr>
      <w:rPr>
        <w:rFonts w:cs="Times New Roman"/>
      </w:rPr>
    </w:lvl>
    <w:lvl w:ilvl="2" w:tplc="041D001B" w:tentative="1">
      <w:start w:val="1"/>
      <w:numFmt w:val="lowerRoman"/>
      <w:lvlText w:val="%3."/>
      <w:lvlJc w:val="right"/>
      <w:pPr>
        <w:ind w:left="960" w:hanging="180"/>
      </w:pPr>
      <w:rPr>
        <w:rFonts w:cs="Times New Roman"/>
      </w:rPr>
    </w:lvl>
    <w:lvl w:ilvl="3" w:tplc="041D000F" w:tentative="1">
      <w:start w:val="1"/>
      <w:numFmt w:val="decimal"/>
      <w:lvlText w:val="%4."/>
      <w:lvlJc w:val="left"/>
      <w:pPr>
        <w:ind w:left="1680" w:hanging="360"/>
      </w:pPr>
      <w:rPr>
        <w:rFonts w:cs="Times New Roman"/>
      </w:rPr>
    </w:lvl>
    <w:lvl w:ilvl="4" w:tplc="041D0019" w:tentative="1">
      <w:start w:val="1"/>
      <w:numFmt w:val="lowerLetter"/>
      <w:lvlText w:val="%5."/>
      <w:lvlJc w:val="left"/>
      <w:pPr>
        <w:ind w:left="2400" w:hanging="360"/>
      </w:pPr>
      <w:rPr>
        <w:rFonts w:cs="Times New Roman"/>
      </w:rPr>
    </w:lvl>
    <w:lvl w:ilvl="5" w:tplc="041D001B" w:tentative="1">
      <w:start w:val="1"/>
      <w:numFmt w:val="lowerRoman"/>
      <w:lvlText w:val="%6."/>
      <w:lvlJc w:val="right"/>
      <w:pPr>
        <w:ind w:left="3120" w:hanging="180"/>
      </w:pPr>
      <w:rPr>
        <w:rFonts w:cs="Times New Roman"/>
      </w:rPr>
    </w:lvl>
    <w:lvl w:ilvl="6" w:tplc="041D000F" w:tentative="1">
      <w:start w:val="1"/>
      <w:numFmt w:val="decimal"/>
      <w:lvlText w:val="%7."/>
      <w:lvlJc w:val="left"/>
      <w:pPr>
        <w:ind w:left="3840" w:hanging="360"/>
      </w:pPr>
      <w:rPr>
        <w:rFonts w:cs="Times New Roman"/>
      </w:rPr>
    </w:lvl>
    <w:lvl w:ilvl="7" w:tplc="041D0019" w:tentative="1">
      <w:start w:val="1"/>
      <w:numFmt w:val="lowerLetter"/>
      <w:lvlText w:val="%8."/>
      <w:lvlJc w:val="left"/>
      <w:pPr>
        <w:ind w:left="4560" w:hanging="360"/>
      </w:pPr>
      <w:rPr>
        <w:rFonts w:cs="Times New Roman"/>
      </w:rPr>
    </w:lvl>
    <w:lvl w:ilvl="8" w:tplc="041D001B" w:tentative="1">
      <w:start w:val="1"/>
      <w:numFmt w:val="lowerRoman"/>
      <w:lvlText w:val="%9."/>
      <w:lvlJc w:val="right"/>
      <w:pPr>
        <w:ind w:left="5280" w:hanging="180"/>
      </w:pPr>
      <w:rPr>
        <w:rFonts w:cs="Times New Roman"/>
      </w:rPr>
    </w:lvl>
  </w:abstractNum>
  <w:abstractNum w:abstractNumId="11">
    <w:nsid w:val="46BF42C1"/>
    <w:multiLevelType w:val="hybridMultilevel"/>
    <w:tmpl w:val="340ADA20"/>
    <w:lvl w:ilvl="0" w:tplc="46F47FF8">
      <w:start w:val="1"/>
      <w:numFmt w:val="decimal"/>
      <w:lvlText w:val="%1."/>
      <w:lvlJc w:val="left"/>
      <w:pPr>
        <w:ind w:left="1500" w:hanging="1140"/>
      </w:pPr>
      <w:rPr>
        <w:rFonts w:cs="Times New Roman" w:hint="default"/>
        <w:b/>
      </w:rPr>
    </w:lvl>
    <w:lvl w:ilvl="1" w:tplc="041D0019">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12">
    <w:nsid w:val="589050C6"/>
    <w:multiLevelType w:val="hybridMultilevel"/>
    <w:tmpl w:val="EAB4ABDA"/>
    <w:lvl w:ilvl="0" w:tplc="041D000F">
      <w:start w:val="1"/>
      <w:numFmt w:val="decimal"/>
      <w:lvlText w:val="%1."/>
      <w:lvlJc w:val="left"/>
      <w:pPr>
        <w:ind w:left="720" w:hanging="360"/>
      </w:pPr>
      <w:rPr>
        <w:rFonts w:cs="Times New Roman"/>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13">
    <w:nsid w:val="5A692EE8"/>
    <w:multiLevelType w:val="hybridMultilevel"/>
    <w:tmpl w:val="8F38C472"/>
    <w:lvl w:ilvl="0" w:tplc="46F47FF8">
      <w:start w:val="1"/>
      <w:numFmt w:val="decimal"/>
      <w:lvlText w:val="%1."/>
      <w:lvlJc w:val="left"/>
      <w:pPr>
        <w:ind w:left="360" w:hanging="360"/>
      </w:pPr>
      <w:rPr>
        <w:rFonts w:cs="Times New Roman" w:hint="default"/>
        <w:b/>
      </w:rPr>
    </w:lvl>
    <w:lvl w:ilvl="1" w:tplc="041D0019" w:tentative="1">
      <w:start w:val="1"/>
      <w:numFmt w:val="lowerLetter"/>
      <w:lvlText w:val="%2."/>
      <w:lvlJc w:val="left"/>
      <w:pPr>
        <w:ind w:left="1080" w:hanging="360"/>
      </w:pPr>
      <w:rPr>
        <w:rFonts w:cs="Times New Roman"/>
      </w:rPr>
    </w:lvl>
    <w:lvl w:ilvl="2" w:tplc="041D001B" w:tentative="1">
      <w:start w:val="1"/>
      <w:numFmt w:val="lowerRoman"/>
      <w:lvlText w:val="%3."/>
      <w:lvlJc w:val="right"/>
      <w:pPr>
        <w:ind w:left="1800" w:hanging="180"/>
      </w:pPr>
      <w:rPr>
        <w:rFonts w:cs="Times New Roman"/>
      </w:rPr>
    </w:lvl>
    <w:lvl w:ilvl="3" w:tplc="041D000F" w:tentative="1">
      <w:start w:val="1"/>
      <w:numFmt w:val="decimal"/>
      <w:lvlText w:val="%4."/>
      <w:lvlJc w:val="left"/>
      <w:pPr>
        <w:ind w:left="2520" w:hanging="360"/>
      </w:pPr>
      <w:rPr>
        <w:rFonts w:cs="Times New Roman"/>
      </w:rPr>
    </w:lvl>
    <w:lvl w:ilvl="4" w:tplc="041D0019" w:tentative="1">
      <w:start w:val="1"/>
      <w:numFmt w:val="lowerLetter"/>
      <w:lvlText w:val="%5."/>
      <w:lvlJc w:val="left"/>
      <w:pPr>
        <w:ind w:left="3240" w:hanging="360"/>
      </w:pPr>
      <w:rPr>
        <w:rFonts w:cs="Times New Roman"/>
      </w:rPr>
    </w:lvl>
    <w:lvl w:ilvl="5" w:tplc="041D001B" w:tentative="1">
      <w:start w:val="1"/>
      <w:numFmt w:val="lowerRoman"/>
      <w:lvlText w:val="%6."/>
      <w:lvlJc w:val="right"/>
      <w:pPr>
        <w:ind w:left="3960" w:hanging="180"/>
      </w:pPr>
      <w:rPr>
        <w:rFonts w:cs="Times New Roman"/>
      </w:rPr>
    </w:lvl>
    <w:lvl w:ilvl="6" w:tplc="041D000F" w:tentative="1">
      <w:start w:val="1"/>
      <w:numFmt w:val="decimal"/>
      <w:lvlText w:val="%7."/>
      <w:lvlJc w:val="left"/>
      <w:pPr>
        <w:ind w:left="4680" w:hanging="360"/>
      </w:pPr>
      <w:rPr>
        <w:rFonts w:cs="Times New Roman"/>
      </w:rPr>
    </w:lvl>
    <w:lvl w:ilvl="7" w:tplc="041D0019" w:tentative="1">
      <w:start w:val="1"/>
      <w:numFmt w:val="lowerLetter"/>
      <w:lvlText w:val="%8."/>
      <w:lvlJc w:val="left"/>
      <w:pPr>
        <w:ind w:left="5400" w:hanging="360"/>
      </w:pPr>
      <w:rPr>
        <w:rFonts w:cs="Times New Roman"/>
      </w:rPr>
    </w:lvl>
    <w:lvl w:ilvl="8" w:tplc="041D001B" w:tentative="1">
      <w:start w:val="1"/>
      <w:numFmt w:val="lowerRoman"/>
      <w:lvlText w:val="%9."/>
      <w:lvlJc w:val="right"/>
      <w:pPr>
        <w:ind w:left="6120" w:hanging="180"/>
      </w:pPr>
      <w:rPr>
        <w:rFonts w:cs="Times New Roman"/>
      </w:rPr>
    </w:lvl>
  </w:abstractNum>
  <w:abstractNum w:abstractNumId="14">
    <w:nsid w:val="65926A36"/>
    <w:multiLevelType w:val="hybridMultilevel"/>
    <w:tmpl w:val="7FAEB9FA"/>
    <w:lvl w:ilvl="0" w:tplc="A1A4B8E2">
      <w:start w:val="1"/>
      <w:numFmt w:val="lowerLetter"/>
      <w:lvlText w:val="%1)"/>
      <w:lvlJc w:val="left"/>
      <w:pPr>
        <w:ind w:left="1860" w:hanging="360"/>
      </w:pPr>
      <w:rPr>
        <w:rFonts w:cs="Times New Roman" w:hint="default"/>
      </w:rPr>
    </w:lvl>
    <w:lvl w:ilvl="1" w:tplc="041D0019" w:tentative="1">
      <w:start w:val="1"/>
      <w:numFmt w:val="lowerLetter"/>
      <w:lvlText w:val="%2."/>
      <w:lvlJc w:val="left"/>
      <w:pPr>
        <w:ind w:left="2580" w:hanging="360"/>
      </w:pPr>
      <w:rPr>
        <w:rFonts w:cs="Times New Roman"/>
      </w:rPr>
    </w:lvl>
    <w:lvl w:ilvl="2" w:tplc="041D001B" w:tentative="1">
      <w:start w:val="1"/>
      <w:numFmt w:val="lowerRoman"/>
      <w:lvlText w:val="%3."/>
      <w:lvlJc w:val="right"/>
      <w:pPr>
        <w:ind w:left="3300" w:hanging="180"/>
      </w:pPr>
      <w:rPr>
        <w:rFonts w:cs="Times New Roman"/>
      </w:rPr>
    </w:lvl>
    <w:lvl w:ilvl="3" w:tplc="041D000F" w:tentative="1">
      <w:start w:val="1"/>
      <w:numFmt w:val="decimal"/>
      <w:lvlText w:val="%4."/>
      <w:lvlJc w:val="left"/>
      <w:pPr>
        <w:ind w:left="4020" w:hanging="360"/>
      </w:pPr>
      <w:rPr>
        <w:rFonts w:cs="Times New Roman"/>
      </w:rPr>
    </w:lvl>
    <w:lvl w:ilvl="4" w:tplc="041D0019" w:tentative="1">
      <w:start w:val="1"/>
      <w:numFmt w:val="lowerLetter"/>
      <w:lvlText w:val="%5."/>
      <w:lvlJc w:val="left"/>
      <w:pPr>
        <w:ind w:left="4740" w:hanging="360"/>
      </w:pPr>
      <w:rPr>
        <w:rFonts w:cs="Times New Roman"/>
      </w:rPr>
    </w:lvl>
    <w:lvl w:ilvl="5" w:tplc="041D001B" w:tentative="1">
      <w:start w:val="1"/>
      <w:numFmt w:val="lowerRoman"/>
      <w:lvlText w:val="%6."/>
      <w:lvlJc w:val="right"/>
      <w:pPr>
        <w:ind w:left="5460" w:hanging="180"/>
      </w:pPr>
      <w:rPr>
        <w:rFonts w:cs="Times New Roman"/>
      </w:rPr>
    </w:lvl>
    <w:lvl w:ilvl="6" w:tplc="041D000F" w:tentative="1">
      <w:start w:val="1"/>
      <w:numFmt w:val="decimal"/>
      <w:lvlText w:val="%7."/>
      <w:lvlJc w:val="left"/>
      <w:pPr>
        <w:ind w:left="6180" w:hanging="360"/>
      </w:pPr>
      <w:rPr>
        <w:rFonts w:cs="Times New Roman"/>
      </w:rPr>
    </w:lvl>
    <w:lvl w:ilvl="7" w:tplc="041D0019" w:tentative="1">
      <w:start w:val="1"/>
      <w:numFmt w:val="lowerLetter"/>
      <w:lvlText w:val="%8."/>
      <w:lvlJc w:val="left"/>
      <w:pPr>
        <w:ind w:left="6900" w:hanging="360"/>
      </w:pPr>
      <w:rPr>
        <w:rFonts w:cs="Times New Roman"/>
      </w:rPr>
    </w:lvl>
    <w:lvl w:ilvl="8" w:tplc="041D001B" w:tentative="1">
      <w:start w:val="1"/>
      <w:numFmt w:val="lowerRoman"/>
      <w:lvlText w:val="%9."/>
      <w:lvlJc w:val="right"/>
      <w:pPr>
        <w:ind w:left="7620" w:hanging="180"/>
      </w:pPr>
      <w:rPr>
        <w:rFonts w:cs="Times New Roman"/>
      </w:rPr>
    </w:lvl>
  </w:abstractNum>
  <w:abstractNum w:abstractNumId="15">
    <w:nsid w:val="676E41E6"/>
    <w:multiLevelType w:val="hybridMultilevel"/>
    <w:tmpl w:val="EDFED47A"/>
    <w:lvl w:ilvl="0" w:tplc="DA9411E6">
      <w:start w:val="9"/>
      <w:numFmt w:val="decimal"/>
      <w:lvlText w:val="%1."/>
      <w:lvlJc w:val="left"/>
      <w:pPr>
        <w:ind w:left="720" w:hanging="36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16">
    <w:nsid w:val="6EDF2A75"/>
    <w:multiLevelType w:val="hybridMultilevel"/>
    <w:tmpl w:val="86D64B38"/>
    <w:lvl w:ilvl="0" w:tplc="041D000F">
      <w:start w:val="1"/>
      <w:numFmt w:val="decimal"/>
      <w:lvlText w:val="%1."/>
      <w:lvlJc w:val="left"/>
      <w:pPr>
        <w:ind w:left="720" w:hanging="360"/>
      </w:pPr>
      <w:rPr>
        <w:rFonts w:cs="Times New Roman" w:hint="default"/>
      </w:rPr>
    </w:lvl>
    <w:lvl w:ilvl="1" w:tplc="041D0003">
      <w:start w:val="1"/>
      <w:numFmt w:val="bullet"/>
      <w:lvlText w:val="o"/>
      <w:lvlJc w:val="left"/>
      <w:pPr>
        <w:ind w:left="1440" w:hanging="360"/>
      </w:pPr>
      <w:rPr>
        <w:rFonts w:ascii="Courier New" w:hAnsi="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hint="default"/>
      </w:rPr>
    </w:lvl>
    <w:lvl w:ilvl="8" w:tplc="041D0005">
      <w:start w:val="1"/>
      <w:numFmt w:val="bullet"/>
      <w:lvlText w:val=""/>
      <w:lvlJc w:val="left"/>
      <w:pPr>
        <w:ind w:left="6480" w:hanging="360"/>
      </w:pPr>
      <w:rPr>
        <w:rFonts w:ascii="Wingdings" w:hAnsi="Wingdings" w:hint="default"/>
      </w:rPr>
    </w:lvl>
  </w:abstractNum>
  <w:abstractNum w:abstractNumId="17">
    <w:nsid w:val="7037404F"/>
    <w:multiLevelType w:val="hybridMultilevel"/>
    <w:tmpl w:val="789EBEFE"/>
    <w:lvl w:ilvl="0" w:tplc="041D000F">
      <w:start w:val="1"/>
      <w:numFmt w:val="decimal"/>
      <w:lvlText w:val="%1."/>
      <w:lvlJc w:val="left"/>
      <w:pPr>
        <w:ind w:left="720" w:hanging="360"/>
      </w:pPr>
      <w:rPr>
        <w:rFonts w:cs="Times New Roman"/>
      </w:rPr>
    </w:lvl>
    <w:lvl w:ilvl="1" w:tplc="041D0019">
      <w:start w:val="1"/>
      <w:numFmt w:val="lowerLetter"/>
      <w:lvlText w:val="%2."/>
      <w:lvlJc w:val="left"/>
      <w:pPr>
        <w:ind w:left="1440" w:hanging="360"/>
      </w:pPr>
      <w:rPr>
        <w:rFonts w:cs="Times New Roman"/>
      </w:rPr>
    </w:lvl>
    <w:lvl w:ilvl="2" w:tplc="041D001B">
      <w:start w:val="1"/>
      <w:numFmt w:val="lowerRoman"/>
      <w:lvlText w:val="%3."/>
      <w:lvlJc w:val="right"/>
      <w:pPr>
        <w:ind w:left="2160" w:hanging="180"/>
      </w:pPr>
      <w:rPr>
        <w:rFonts w:cs="Times New Roman"/>
      </w:rPr>
    </w:lvl>
    <w:lvl w:ilvl="3" w:tplc="041D000F">
      <w:start w:val="1"/>
      <w:numFmt w:val="decimal"/>
      <w:lvlText w:val="%4."/>
      <w:lvlJc w:val="left"/>
      <w:pPr>
        <w:ind w:left="2880" w:hanging="360"/>
      </w:pPr>
      <w:rPr>
        <w:rFonts w:cs="Times New Roman"/>
      </w:rPr>
    </w:lvl>
    <w:lvl w:ilvl="4" w:tplc="041D0019">
      <w:start w:val="1"/>
      <w:numFmt w:val="lowerLetter"/>
      <w:lvlText w:val="%5."/>
      <w:lvlJc w:val="left"/>
      <w:pPr>
        <w:ind w:left="3600" w:hanging="360"/>
      </w:pPr>
      <w:rPr>
        <w:rFonts w:cs="Times New Roman"/>
      </w:rPr>
    </w:lvl>
    <w:lvl w:ilvl="5" w:tplc="041D001B">
      <w:start w:val="1"/>
      <w:numFmt w:val="lowerRoman"/>
      <w:lvlText w:val="%6."/>
      <w:lvlJc w:val="right"/>
      <w:pPr>
        <w:ind w:left="4320" w:hanging="180"/>
      </w:pPr>
      <w:rPr>
        <w:rFonts w:cs="Times New Roman"/>
      </w:rPr>
    </w:lvl>
    <w:lvl w:ilvl="6" w:tplc="041D000F">
      <w:start w:val="1"/>
      <w:numFmt w:val="decimal"/>
      <w:lvlText w:val="%7."/>
      <w:lvlJc w:val="left"/>
      <w:pPr>
        <w:ind w:left="5040" w:hanging="360"/>
      </w:pPr>
      <w:rPr>
        <w:rFonts w:cs="Times New Roman"/>
      </w:rPr>
    </w:lvl>
    <w:lvl w:ilvl="7" w:tplc="041D0019">
      <w:start w:val="1"/>
      <w:numFmt w:val="lowerLetter"/>
      <w:lvlText w:val="%8."/>
      <w:lvlJc w:val="left"/>
      <w:pPr>
        <w:ind w:left="5760" w:hanging="360"/>
      </w:pPr>
      <w:rPr>
        <w:rFonts w:cs="Times New Roman"/>
      </w:rPr>
    </w:lvl>
    <w:lvl w:ilvl="8" w:tplc="041D001B">
      <w:start w:val="1"/>
      <w:numFmt w:val="lowerRoman"/>
      <w:lvlText w:val="%9."/>
      <w:lvlJc w:val="right"/>
      <w:pPr>
        <w:ind w:left="6480" w:hanging="180"/>
      </w:pPr>
      <w:rPr>
        <w:rFonts w:cs="Times New Roman"/>
      </w:rPr>
    </w:lvl>
  </w:abstractNum>
  <w:abstractNum w:abstractNumId="18">
    <w:nsid w:val="74790E30"/>
    <w:multiLevelType w:val="hybridMultilevel"/>
    <w:tmpl w:val="EC449546"/>
    <w:lvl w:ilvl="0" w:tplc="22F2FA6E">
      <w:start w:val="1"/>
      <w:numFmt w:val="lowerLetter"/>
      <w:lvlText w:val="%1)"/>
      <w:lvlJc w:val="left"/>
      <w:pPr>
        <w:ind w:left="2574" w:hanging="360"/>
      </w:pPr>
      <w:rPr>
        <w:rFonts w:cs="Times New Roman" w:hint="default"/>
      </w:rPr>
    </w:lvl>
    <w:lvl w:ilvl="1" w:tplc="041D0019" w:tentative="1">
      <w:start w:val="1"/>
      <w:numFmt w:val="lowerLetter"/>
      <w:lvlText w:val="%2."/>
      <w:lvlJc w:val="left"/>
      <w:pPr>
        <w:ind w:left="2520" w:hanging="360"/>
      </w:pPr>
      <w:rPr>
        <w:rFonts w:cs="Times New Roman"/>
      </w:rPr>
    </w:lvl>
    <w:lvl w:ilvl="2" w:tplc="041D001B" w:tentative="1">
      <w:start w:val="1"/>
      <w:numFmt w:val="lowerRoman"/>
      <w:lvlText w:val="%3."/>
      <w:lvlJc w:val="right"/>
      <w:pPr>
        <w:ind w:left="3240" w:hanging="180"/>
      </w:pPr>
      <w:rPr>
        <w:rFonts w:cs="Times New Roman"/>
      </w:rPr>
    </w:lvl>
    <w:lvl w:ilvl="3" w:tplc="041D000F" w:tentative="1">
      <w:start w:val="1"/>
      <w:numFmt w:val="decimal"/>
      <w:lvlText w:val="%4."/>
      <w:lvlJc w:val="left"/>
      <w:pPr>
        <w:ind w:left="3960" w:hanging="360"/>
      </w:pPr>
      <w:rPr>
        <w:rFonts w:cs="Times New Roman"/>
      </w:rPr>
    </w:lvl>
    <w:lvl w:ilvl="4" w:tplc="041D0019" w:tentative="1">
      <w:start w:val="1"/>
      <w:numFmt w:val="lowerLetter"/>
      <w:lvlText w:val="%5."/>
      <w:lvlJc w:val="left"/>
      <w:pPr>
        <w:ind w:left="4680" w:hanging="360"/>
      </w:pPr>
      <w:rPr>
        <w:rFonts w:cs="Times New Roman"/>
      </w:rPr>
    </w:lvl>
    <w:lvl w:ilvl="5" w:tplc="041D001B" w:tentative="1">
      <w:start w:val="1"/>
      <w:numFmt w:val="lowerRoman"/>
      <w:lvlText w:val="%6."/>
      <w:lvlJc w:val="right"/>
      <w:pPr>
        <w:ind w:left="5400" w:hanging="180"/>
      </w:pPr>
      <w:rPr>
        <w:rFonts w:cs="Times New Roman"/>
      </w:rPr>
    </w:lvl>
    <w:lvl w:ilvl="6" w:tplc="041D000F" w:tentative="1">
      <w:start w:val="1"/>
      <w:numFmt w:val="decimal"/>
      <w:lvlText w:val="%7."/>
      <w:lvlJc w:val="left"/>
      <w:pPr>
        <w:ind w:left="6120" w:hanging="360"/>
      </w:pPr>
      <w:rPr>
        <w:rFonts w:cs="Times New Roman"/>
      </w:rPr>
    </w:lvl>
    <w:lvl w:ilvl="7" w:tplc="041D0019" w:tentative="1">
      <w:start w:val="1"/>
      <w:numFmt w:val="lowerLetter"/>
      <w:lvlText w:val="%8."/>
      <w:lvlJc w:val="left"/>
      <w:pPr>
        <w:ind w:left="6840" w:hanging="360"/>
      </w:pPr>
      <w:rPr>
        <w:rFonts w:cs="Times New Roman"/>
      </w:rPr>
    </w:lvl>
    <w:lvl w:ilvl="8" w:tplc="041D001B" w:tentative="1">
      <w:start w:val="1"/>
      <w:numFmt w:val="lowerRoman"/>
      <w:lvlText w:val="%9."/>
      <w:lvlJc w:val="right"/>
      <w:pPr>
        <w:ind w:left="7560" w:hanging="180"/>
      </w:pPr>
      <w:rPr>
        <w:rFonts w:cs="Times New Roman"/>
      </w:rPr>
    </w:lvl>
  </w:abstractNum>
  <w:abstractNum w:abstractNumId="19">
    <w:nsid w:val="7D351BE7"/>
    <w:multiLevelType w:val="hybridMultilevel"/>
    <w:tmpl w:val="20E69DF0"/>
    <w:lvl w:ilvl="0" w:tplc="041D000F">
      <w:start w:val="1"/>
      <w:numFmt w:val="decimal"/>
      <w:lvlText w:val="%1."/>
      <w:lvlJc w:val="left"/>
      <w:pPr>
        <w:ind w:left="2220" w:hanging="360"/>
      </w:pPr>
      <w:rPr>
        <w:rFonts w:cs="Times New Roman"/>
      </w:rPr>
    </w:lvl>
    <w:lvl w:ilvl="1" w:tplc="041D0019" w:tentative="1">
      <w:start w:val="1"/>
      <w:numFmt w:val="lowerLetter"/>
      <w:lvlText w:val="%2."/>
      <w:lvlJc w:val="left"/>
      <w:pPr>
        <w:ind w:left="2940" w:hanging="360"/>
      </w:pPr>
      <w:rPr>
        <w:rFonts w:cs="Times New Roman"/>
      </w:rPr>
    </w:lvl>
    <w:lvl w:ilvl="2" w:tplc="041D001B" w:tentative="1">
      <w:start w:val="1"/>
      <w:numFmt w:val="lowerRoman"/>
      <w:lvlText w:val="%3."/>
      <w:lvlJc w:val="right"/>
      <w:pPr>
        <w:ind w:left="3660" w:hanging="180"/>
      </w:pPr>
      <w:rPr>
        <w:rFonts w:cs="Times New Roman"/>
      </w:rPr>
    </w:lvl>
    <w:lvl w:ilvl="3" w:tplc="041D000F" w:tentative="1">
      <w:start w:val="1"/>
      <w:numFmt w:val="decimal"/>
      <w:lvlText w:val="%4."/>
      <w:lvlJc w:val="left"/>
      <w:pPr>
        <w:ind w:left="4380" w:hanging="360"/>
      </w:pPr>
      <w:rPr>
        <w:rFonts w:cs="Times New Roman"/>
      </w:rPr>
    </w:lvl>
    <w:lvl w:ilvl="4" w:tplc="041D0019" w:tentative="1">
      <w:start w:val="1"/>
      <w:numFmt w:val="lowerLetter"/>
      <w:lvlText w:val="%5."/>
      <w:lvlJc w:val="left"/>
      <w:pPr>
        <w:ind w:left="5100" w:hanging="360"/>
      </w:pPr>
      <w:rPr>
        <w:rFonts w:cs="Times New Roman"/>
      </w:rPr>
    </w:lvl>
    <w:lvl w:ilvl="5" w:tplc="041D001B" w:tentative="1">
      <w:start w:val="1"/>
      <w:numFmt w:val="lowerRoman"/>
      <w:lvlText w:val="%6."/>
      <w:lvlJc w:val="right"/>
      <w:pPr>
        <w:ind w:left="5820" w:hanging="180"/>
      </w:pPr>
      <w:rPr>
        <w:rFonts w:cs="Times New Roman"/>
      </w:rPr>
    </w:lvl>
    <w:lvl w:ilvl="6" w:tplc="041D000F" w:tentative="1">
      <w:start w:val="1"/>
      <w:numFmt w:val="decimal"/>
      <w:lvlText w:val="%7."/>
      <w:lvlJc w:val="left"/>
      <w:pPr>
        <w:ind w:left="6540" w:hanging="360"/>
      </w:pPr>
      <w:rPr>
        <w:rFonts w:cs="Times New Roman"/>
      </w:rPr>
    </w:lvl>
    <w:lvl w:ilvl="7" w:tplc="041D0019" w:tentative="1">
      <w:start w:val="1"/>
      <w:numFmt w:val="lowerLetter"/>
      <w:lvlText w:val="%8."/>
      <w:lvlJc w:val="left"/>
      <w:pPr>
        <w:ind w:left="7260" w:hanging="360"/>
      </w:pPr>
      <w:rPr>
        <w:rFonts w:cs="Times New Roman"/>
      </w:rPr>
    </w:lvl>
    <w:lvl w:ilvl="8" w:tplc="041D001B" w:tentative="1">
      <w:start w:val="1"/>
      <w:numFmt w:val="lowerRoman"/>
      <w:lvlText w:val="%9."/>
      <w:lvlJc w:val="right"/>
      <w:pPr>
        <w:ind w:left="7980" w:hanging="180"/>
      </w:pPr>
      <w:rPr>
        <w:rFonts w:cs="Times New Roman"/>
      </w:rPr>
    </w:lvl>
  </w:abstractNum>
  <w:num w:numId="1">
    <w:abstractNumId w:val="3"/>
  </w:num>
  <w:num w:numId="2">
    <w:abstractNumId w:val="5"/>
  </w:num>
  <w:num w:numId="3">
    <w:abstractNumId w:val="8"/>
  </w:num>
  <w:num w:numId="4">
    <w:abstractNumId w:val="12"/>
  </w:num>
  <w:num w:numId="5">
    <w:abstractNumId w:val="4"/>
  </w:num>
  <w:num w:numId="6">
    <w:abstractNumId w:val="6"/>
  </w:num>
  <w:num w:numId="7">
    <w:abstractNumId w:val="15"/>
  </w:num>
  <w:num w:numId="8">
    <w:abstractNumId w:val="0"/>
  </w:num>
  <w:num w:numId="9">
    <w:abstractNumId w:val="18"/>
  </w:num>
  <w:num w:numId="10">
    <w:abstractNumId w:val="13"/>
  </w:num>
  <w:num w:numId="11">
    <w:abstractNumId w:val="7"/>
  </w:num>
  <w:num w:numId="12">
    <w:abstractNumId w:val="11"/>
  </w:num>
  <w:num w:numId="13">
    <w:abstractNumId w:val="14"/>
  </w:num>
  <w:num w:numId="14">
    <w:abstractNumId w:val="19"/>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16"/>
  </w:num>
  <w:num w:numId="18">
    <w:abstractNumId w:val="2"/>
  </w:num>
  <w:num w:numId="19">
    <w:abstractNumId w:val="9"/>
  </w:num>
  <w:num w:numId="20">
    <w:abstractNumId w:val="9"/>
  </w:num>
  <w:num w:numId="21">
    <w:abstractNumId w:val="1"/>
  </w:num>
  <w:num w:numId="2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1304"/>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52326"/>
    <w:rsid w:val="00006984"/>
    <w:rsid w:val="000557D9"/>
    <w:rsid w:val="00062B8A"/>
    <w:rsid w:val="000718D7"/>
    <w:rsid w:val="00084AFC"/>
    <w:rsid w:val="00091E8B"/>
    <w:rsid w:val="00092FAF"/>
    <w:rsid w:val="000B7142"/>
    <w:rsid w:val="000C36AB"/>
    <w:rsid w:val="000C6244"/>
    <w:rsid w:val="000D6154"/>
    <w:rsid w:val="000E49AD"/>
    <w:rsid w:val="000E7241"/>
    <w:rsid w:val="000F3818"/>
    <w:rsid w:val="0013451D"/>
    <w:rsid w:val="00156822"/>
    <w:rsid w:val="00170BBA"/>
    <w:rsid w:val="00190ADB"/>
    <w:rsid w:val="001A6B8E"/>
    <w:rsid w:val="001B0C94"/>
    <w:rsid w:val="001C2AF8"/>
    <w:rsid w:val="001C72F0"/>
    <w:rsid w:val="00202489"/>
    <w:rsid w:val="00224788"/>
    <w:rsid w:val="00233555"/>
    <w:rsid w:val="00255312"/>
    <w:rsid w:val="00272F13"/>
    <w:rsid w:val="00274149"/>
    <w:rsid w:val="00292ED8"/>
    <w:rsid w:val="002A42D0"/>
    <w:rsid w:val="002E1B14"/>
    <w:rsid w:val="002F1A8B"/>
    <w:rsid w:val="002F4832"/>
    <w:rsid w:val="003052AE"/>
    <w:rsid w:val="00344B91"/>
    <w:rsid w:val="003558FE"/>
    <w:rsid w:val="00394EFB"/>
    <w:rsid w:val="003A549B"/>
    <w:rsid w:val="003A6AA4"/>
    <w:rsid w:val="003C73F0"/>
    <w:rsid w:val="003E5650"/>
    <w:rsid w:val="003E6780"/>
    <w:rsid w:val="003F00E8"/>
    <w:rsid w:val="00413F1F"/>
    <w:rsid w:val="00447A77"/>
    <w:rsid w:val="0046677B"/>
    <w:rsid w:val="004731F9"/>
    <w:rsid w:val="0047615A"/>
    <w:rsid w:val="004B24DD"/>
    <w:rsid w:val="004C33D9"/>
    <w:rsid w:val="004D133E"/>
    <w:rsid w:val="004F72F5"/>
    <w:rsid w:val="00511A0A"/>
    <w:rsid w:val="005277FD"/>
    <w:rsid w:val="0053622E"/>
    <w:rsid w:val="00550B78"/>
    <w:rsid w:val="00585108"/>
    <w:rsid w:val="00587584"/>
    <w:rsid w:val="005B439B"/>
    <w:rsid w:val="005B65E0"/>
    <w:rsid w:val="005F1DD5"/>
    <w:rsid w:val="00601D99"/>
    <w:rsid w:val="00603B6B"/>
    <w:rsid w:val="00630452"/>
    <w:rsid w:val="00631FBC"/>
    <w:rsid w:val="00652326"/>
    <w:rsid w:val="006827CD"/>
    <w:rsid w:val="006B6A8C"/>
    <w:rsid w:val="006C7A28"/>
    <w:rsid w:val="006F1C3E"/>
    <w:rsid w:val="006F36B7"/>
    <w:rsid w:val="006F76F3"/>
    <w:rsid w:val="00701F31"/>
    <w:rsid w:val="00735788"/>
    <w:rsid w:val="00750BFF"/>
    <w:rsid w:val="0075453D"/>
    <w:rsid w:val="00754E06"/>
    <w:rsid w:val="00764C14"/>
    <w:rsid w:val="00777488"/>
    <w:rsid w:val="007818B7"/>
    <w:rsid w:val="00781EC1"/>
    <w:rsid w:val="00783F83"/>
    <w:rsid w:val="00793EF3"/>
    <w:rsid w:val="007C36D0"/>
    <w:rsid w:val="008018AF"/>
    <w:rsid w:val="00814898"/>
    <w:rsid w:val="00831767"/>
    <w:rsid w:val="00832CA8"/>
    <w:rsid w:val="0084355E"/>
    <w:rsid w:val="0084640B"/>
    <w:rsid w:val="00855230"/>
    <w:rsid w:val="00860401"/>
    <w:rsid w:val="00864FD9"/>
    <w:rsid w:val="00881150"/>
    <w:rsid w:val="00902D28"/>
    <w:rsid w:val="00924A4F"/>
    <w:rsid w:val="00946C5D"/>
    <w:rsid w:val="00965D11"/>
    <w:rsid w:val="00971EF6"/>
    <w:rsid w:val="00984372"/>
    <w:rsid w:val="009A2E3D"/>
    <w:rsid w:val="009E28FE"/>
    <w:rsid w:val="009E369D"/>
    <w:rsid w:val="009E7C48"/>
    <w:rsid w:val="009F0848"/>
    <w:rsid w:val="009F326A"/>
    <w:rsid w:val="00A020AA"/>
    <w:rsid w:val="00A04841"/>
    <w:rsid w:val="00A410E5"/>
    <w:rsid w:val="00A63F47"/>
    <w:rsid w:val="00AC4FFB"/>
    <w:rsid w:val="00AD3002"/>
    <w:rsid w:val="00AD7158"/>
    <w:rsid w:val="00B02F73"/>
    <w:rsid w:val="00B261F3"/>
    <w:rsid w:val="00B3718B"/>
    <w:rsid w:val="00B84C44"/>
    <w:rsid w:val="00BD1A9B"/>
    <w:rsid w:val="00BD6B5A"/>
    <w:rsid w:val="00C01277"/>
    <w:rsid w:val="00C029EC"/>
    <w:rsid w:val="00C108BF"/>
    <w:rsid w:val="00C7590C"/>
    <w:rsid w:val="00CA2957"/>
    <w:rsid w:val="00CB0E95"/>
    <w:rsid w:val="00CC7583"/>
    <w:rsid w:val="00CF3B85"/>
    <w:rsid w:val="00D051B7"/>
    <w:rsid w:val="00D300AC"/>
    <w:rsid w:val="00D51EE3"/>
    <w:rsid w:val="00D5563E"/>
    <w:rsid w:val="00D62A6C"/>
    <w:rsid w:val="00D772A3"/>
    <w:rsid w:val="00DA50C9"/>
    <w:rsid w:val="00DB6462"/>
    <w:rsid w:val="00DE40F8"/>
    <w:rsid w:val="00E01F33"/>
    <w:rsid w:val="00E21D4A"/>
    <w:rsid w:val="00E77AB8"/>
    <w:rsid w:val="00E836DD"/>
    <w:rsid w:val="00E839D4"/>
    <w:rsid w:val="00EA3428"/>
    <w:rsid w:val="00EA5280"/>
    <w:rsid w:val="00EC07D5"/>
    <w:rsid w:val="00ED10A8"/>
    <w:rsid w:val="00ED583F"/>
    <w:rsid w:val="00EF10A2"/>
    <w:rsid w:val="00EF69B2"/>
    <w:rsid w:val="00F02EBB"/>
    <w:rsid w:val="00F143F6"/>
    <w:rsid w:val="00F1679B"/>
    <w:rsid w:val="00F35F5A"/>
    <w:rsid w:val="00F958EE"/>
    <w:rsid w:val="00FA4BF1"/>
    <w:rsid w:val="00FB3543"/>
    <w:rsid w:val="00FC256F"/>
    <w:rsid w:val="00FF754D"/>
    <w:rsid w:val="00FF7A1F"/>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2326"/>
    <w:pPr>
      <w:overflowPunct w:val="0"/>
      <w:autoSpaceDE w:val="0"/>
      <w:autoSpaceDN w:val="0"/>
      <w:adjustRightInd w:val="0"/>
      <w:spacing w:line="320" w:lineRule="atLeast"/>
      <w:textAlignment w:val="baseline"/>
    </w:pPr>
    <w:rPr>
      <w:rFonts w:ascii="OrigGarmnd BT" w:eastAsia="Times New Roman" w:hAnsi="OrigGarmnd BT"/>
      <w:sz w:val="24"/>
      <w:szCs w:val="20"/>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vsndare">
    <w:name w:val="Avsändare"/>
    <w:basedOn w:val="Normal"/>
    <w:uiPriority w:val="99"/>
    <w:rsid w:val="00652326"/>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Header">
    <w:name w:val="header"/>
    <w:basedOn w:val="Normal"/>
    <w:link w:val="HeaderChar"/>
    <w:uiPriority w:val="99"/>
    <w:rsid w:val="00652326"/>
    <w:pPr>
      <w:tabs>
        <w:tab w:val="center" w:pos="4153"/>
        <w:tab w:val="right" w:pos="8306"/>
      </w:tabs>
    </w:pPr>
  </w:style>
  <w:style w:type="character" w:customStyle="1" w:styleId="HeaderChar">
    <w:name w:val="Header Char"/>
    <w:basedOn w:val="DefaultParagraphFont"/>
    <w:link w:val="Header"/>
    <w:uiPriority w:val="99"/>
    <w:locked/>
    <w:rsid w:val="00652326"/>
    <w:rPr>
      <w:rFonts w:ascii="OrigGarmnd BT" w:hAnsi="OrigGarmnd BT" w:cs="Times New Roman"/>
      <w:sz w:val="20"/>
      <w:szCs w:val="20"/>
    </w:rPr>
  </w:style>
  <w:style w:type="paragraph" w:customStyle="1" w:styleId="RKnormal">
    <w:name w:val="RKnormal"/>
    <w:basedOn w:val="Normal"/>
    <w:link w:val="RKnormalChar"/>
    <w:uiPriority w:val="99"/>
    <w:rsid w:val="00652326"/>
    <w:pPr>
      <w:tabs>
        <w:tab w:val="left" w:pos="2835"/>
      </w:tabs>
      <w:spacing w:line="240" w:lineRule="atLeast"/>
    </w:pPr>
    <w:rPr>
      <w:lang w:eastAsia="sv-SE"/>
    </w:rPr>
  </w:style>
  <w:style w:type="paragraph" w:customStyle="1" w:styleId="RKrubrik">
    <w:name w:val="RKrubrik"/>
    <w:basedOn w:val="RKnormal"/>
    <w:next w:val="RKnormal"/>
    <w:uiPriority w:val="99"/>
    <w:rsid w:val="00652326"/>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652326"/>
    <w:rPr>
      <w:rFonts w:cs="Times New Roman"/>
    </w:rPr>
  </w:style>
  <w:style w:type="character" w:customStyle="1" w:styleId="RKnormalChar">
    <w:name w:val="RKnormal Char"/>
    <w:link w:val="RKnormal"/>
    <w:uiPriority w:val="99"/>
    <w:locked/>
    <w:rsid w:val="00652326"/>
    <w:rPr>
      <w:rFonts w:ascii="OrigGarmnd BT" w:hAnsi="OrigGarmnd BT"/>
      <w:sz w:val="20"/>
    </w:rPr>
  </w:style>
  <w:style w:type="paragraph" w:customStyle="1" w:styleId="Default">
    <w:name w:val="Default"/>
    <w:uiPriority w:val="99"/>
    <w:rsid w:val="00652326"/>
    <w:pPr>
      <w:autoSpaceDE w:val="0"/>
      <w:autoSpaceDN w:val="0"/>
      <w:adjustRightInd w:val="0"/>
    </w:pPr>
    <w:rPr>
      <w:rFonts w:ascii="OrigGarmnd BT" w:eastAsia="Times New Roman" w:hAnsi="OrigGarmnd BT" w:cs="OrigGarmnd BT"/>
      <w:color w:val="000000"/>
      <w:sz w:val="24"/>
      <w:szCs w:val="24"/>
    </w:rPr>
  </w:style>
  <w:style w:type="paragraph" w:styleId="BalloonText">
    <w:name w:val="Balloon Text"/>
    <w:basedOn w:val="Normal"/>
    <w:link w:val="BalloonTextChar"/>
    <w:uiPriority w:val="99"/>
    <w:semiHidden/>
    <w:rsid w:val="0065232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52326"/>
    <w:rPr>
      <w:rFonts w:ascii="Tahoma" w:hAnsi="Tahoma" w:cs="Tahoma"/>
      <w:sz w:val="16"/>
      <w:szCs w:val="16"/>
    </w:rPr>
  </w:style>
  <w:style w:type="paragraph" w:styleId="ListParagraph">
    <w:name w:val="List Paragraph"/>
    <w:basedOn w:val="Normal"/>
    <w:uiPriority w:val="99"/>
    <w:qFormat/>
    <w:rsid w:val="00E839D4"/>
    <w:pPr>
      <w:ind w:left="720"/>
      <w:contextualSpacing/>
    </w:pPr>
  </w:style>
  <w:style w:type="character" w:styleId="CommentReference">
    <w:name w:val="annotation reference"/>
    <w:basedOn w:val="DefaultParagraphFont"/>
    <w:uiPriority w:val="99"/>
    <w:semiHidden/>
    <w:rsid w:val="00BD6B5A"/>
    <w:rPr>
      <w:rFonts w:cs="Times New Roman"/>
      <w:sz w:val="16"/>
      <w:szCs w:val="16"/>
    </w:rPr>
  </w:style>
  <w:style w:type="paragraph" w:styleId="CommentText">
    <w:name w:val="annotation text"/>
    <w:basedOn w:val="Normal"/>
    <w:link w:val="CommentTextChar"/>
    <w:uiPriority w:val="99"/>
    <w:semiHidden/>
    <w:rsid w:val="00BD6B5A"/>
    <w:pPr>
      <w:spacing w:line="240" w:lineRule="auto"/>
    </w:pPr>
    <w:rPr>
      <w:sz w:val="20"/>
    </w:rPr>
  </w:style>
  <w:style w:type="character" w:customStyle="1" w:styleId="CommentTextChar">
    <w:name w:val="Comment Text Char"/>
    <w:basedOn w:val="DefaultParagraphFont"/>
    <w:link w:val="CommentText"/>
    <w:uiPriority w:val="99"/>
    <w:semiHidden/>
    <w:locked/>
    <w:rsid w:val="00BD6B5A"/>
    <w:rPr>
      <w:rFonts w:ascii="OrigGarmnd BT" w:hAnsi="OrigGarmnd BT" w:cs="Times New Roman"/>
      <w:sz w:val="20"/>
      <w:szCs w:val="20"/>
    </w:rPr>
  </w:style>
  <w:style w:type="paragraph" w:styleId="CommentSubject">
    <w:name w:val="annotation subject"/>
    <w:basedOn w:val="CommentText"/>
    <w:next w:val="CommentText"/>
    <w:link w:val="CommentSubjectChar"/>
    <w:uiPriority w:val="99"/>
    <w:semiHidden/>
    <w:rsid w:val="00BD6B5A"/>
    <w:rPr>
      <w:b/>
      <w:bCs/>
    </w:rPr>
  </w:style>
  <w:style w:type="character" w:customStyle="1" w:styleId="CommentSubjectChar">
    <w:name w:val="Comment Subject Char"/>
    <w:basedOn w:val="CommentTextChar"/>
    <w:link w:val="CommentSubject"/>
    <w:uiPriority w:val="99"/>
    <w:semiHidden/>
    <w:locked/>
    <w:rsid w:val="00BD6B5A"/>
    <w:rPr>
      <w:b/>
      <w:bCs/>
    </w:rPr>
  </w:style>
  <w:style w:type="paragraph" w:styleId="Revision">
    <w:name w:val="Revision"/>
    <w:hidden/>
    <w:uiPriority w:val="99"/>
    <w:semiHidden/>
    <w:rsid w:val="0053622E"/>
    <w:rPr>
      <w:rFonts w:ascii="OrigGarmnd BT" w:eastAsia="Times New Roman" w:hAnsi="OrigGarmnd BT"/>
      <w:sz w:val="24"/>
      <w:szCs w:val="20"/>
      <w:lang w:eastAsia="en-US"/>
    </w:rPr>
  </w:style>
</w:styles>
</file>

<file path=word/webSettings.xml><?xml version="1.0" encoding="utf-8"?>
<w:webSettings xmlns:r="http://schemas.openxmlformats.org/officeDocument/2006/relationships" xmlns:w="http://schemas.openxmlformats.org/wordprocessingml/2006/main">
  <w:divs>
    <w:div w:id="1985430287">
      <w:marLeft w:val="0"/>
      <w:marRight w:val="0"/>
      <w:marTop w:val="0"/>
      <w:marBottom w:val="0"/>
      <w:divBdr>
        <w:top w:val="none" w:sz="0" w:space="0" w:color="auto"/>
        <w:left w:val="none" w:sz="0" w:space="0" w:color="auto"/>
        <w:bottom w:val="none" w:sz="0" w:space="0" w:color="auto"/>
        <w:right w:val="none" w:sz="0" w:space="0" w:color="auto"/>
      </w:divBdr>
    </w:div>
    <w:div w:id="1985430288">
      <w:marLeft w:val="0"/>
      <w:marRight w:val="0"/>
      <w:marTop w:val="0"/>
      <w:marBottom w:val="0"/>
      <w:divBdr>
        <w:top w:val="none" w:sz="0" w:space="0" w:color="auto"/>
        <w:left w:val="none" w:sz="0" w:space="0" w:color="auto"/>
        <w:bottom w:val="none" w:sz="0" w:space="0" w:color="auto"/>
        <w:right w:val="none" w:sz="0" w:space="0" w:color="auto"/>
      </w:divBdr>
    </w:div>
    <w:div w:id="1985430289">
      <w:marLeft w:val="0"/>
      <w:marRight w:val="0"/>
      <w:marTop w:val="0"/>
      <w:marBottom w:val="0"/>
      <w:divBdr>
        <w:top w:val="none" w:sz="0" w:space="0" w:color="auto"/>
        <w:left w:val="none" w:sz="0" w:space="0" w:color="auto"/>
        <w:bottom w:val="none" w:sz="0" w:space="0" w:color="auto"/>
        <w:right w:val="none" w:sz="0" w:space="0" w:color="auto"/>
      </w:divBdr>
    </w:div>
    <w:div w:id="1985430290">
      <w:marLeft w:val="0"/>
      <w:marRight w:val="0"/>
      <w:marTop w:val="0"/>
      <w:marBottom w:val="0"/>
      <w:divBdr>
        <w:top w:val="none" w:sz="0" w:space="0" w:color="auto"/>
        <w:left w:val="none" w:sz="0" w:space="0" w:color="auto"/>
        <w:bottom w:val="none" w:sz="0" w:space="0" w:color="auto"/>
        <w:right w:val="none" w:sz="0" w:space="0" w:color="auto"/>
      </w:divBdr>
    </w:div>
    <w:div w:id="1985430291">
      <w:marLeft w:val="0"/>
      <w:marRight w:val="0"/>
      <w:marTop w:val="0"/>
      <w:marBottom w:val="0"/>
      <w:divBdr>
        <w:top w:val="none" w:sz="0" w:space="0" w:color="auto"/>
        <w:left w:val="none" w:sz="0" w:space="0" w:color="auto"/>
        <w:bottom w:val="none" w:sz="0" w:space="0" w:color="auto"/>
        <w:right w:val="none" w:sz="0" w:space="0" w:color="auto"/>
      </w:divBdr>
    </w:div>
    <w:div w:id="1985430292">
      <w:marLeft w:val="0"/>
      <w:marRight w:val="0"/>
      <w:marTop w:val="0"/>
      <w:marBottom w:val="0"/>
      <w:divBdr>
        <w:top w:val="none" w:sz="0" w:space="0" w:color="auto"/>
        <w:left w:val="none" w:sz="0" w:space="0" w:color="auto"/>
        <w:bottom w:val="none" w:sz="0" w:space="0" w:color="auto"/>
        <w:right w:val="none" w:sz="0" w:space="0" w:color="auto"/>
      </w:divBdr>
    </w:div>
    <w:div w:id="1985430293">
      <w:marLeft w:val="0"/>
      <w:marRight w:val="0"/>
      <w:marTop w:val="0"/>
      <w:marBottom w:val="0"/>
      <w:divBdr>
        <w:top w:val="none" w:sz="0" w:space="0" w:color="auto"/>
        <w:left w:val="none" w:sz="0" w:space="0" w:color="auto"/>
        <w:bottom w:val="none" w:sz="0" w:space="0" w:color="auto"/>
        <w:right w:val="none" w:sz="0" w:space="0" w:color="auto"/>
      </w:divBdr>
    </w:div>
    <w:div w:id="1985430294">
      <w:marLeft w:val="0"/>
      <w:marRight w:val="0"/>
      <w:marTop w:val="0"/>
      <w:marBottom w:val="0"/>
      <w:divBdr>
        <w:top w:val="none" w:sz="0" w:space="0" w:color="auto"/>
        <w:left w:val="none" w:sz="0" w:space="0" w:color="auto"/>
        <w:bottom w:val="none" w:sz="0" w:space="0" w:color="auto"/>
        <w:right w:val="none" w:sz="0" w:space="0" w:color="auto"/>
      </w:divBdr>
    </w:div>
    <w:div w:id="1985430295">
      <w:marLeft w:val="0"/>
      <w:marRight w:val="0"/>
      <w:marTop w:val="0"/>
      <w:marBottom w:val="0"/>
      <w:divBdr>
        <w:top w:val="none" w:sz="0" w:space="0" w:color="auto"/>
        <w:left w:val="none" w:sz="0" w:space="0" w:color="auto"/>
        <w:bottom w:val="none" w:sz="0" w:space="0" w:color="auto"/>
        <w:right w:val="none" w:sz="0" w:space="0" w:color="auto"/>
      </w:divBdr>
    </w:div>
    <w:div w:id="1985430296">
      <w:marLeft w:val="0"/>
      <w:marRight w:val="0"/>
      <w:marTop w:val="0"/>
      <w:marBottom w:val="0"/>
      <w:divBdr>
        <w:top w:val="none" w:sz="0" w:space="0" w:color="auto"/>
        <w:left w:val="none" w:sz="0" w:space="0" w:color="auto"/>
        <w:bottom w:val="none" w:sz="0" w:space="0" w:color="auto"/>
        <w:right w:val="none" w:sz="0" w:space="0" w:color="auto"/>
      </w:divBdr>
    </w:div>
    <w:div w:id="1985430297">
      <w:marLeft w:val="0"/>
      <w:marRight w:val="0"/>
      <w:marTop w:val="0"/>
      <w:marBottom w:val="0"/>
      <w:divBdr>
        <w:top w:val="none" w:sz="0" w:space="0" w:color="auto"/>
        <w:left w:val="none" w:sz="0" w:space="0" w:color="auto"/>
        <w:bottom w:val="none" w:sz="0" w:space="0" w:color="auto"/>
        <w:right w:val="none" w:sz="0" w:space="0" w:color="auto"/>
      </w:divBdr>
    </w:div>
    <w:div w:id="1985430298">
      <w:marLeft w:val="0"/>
      <w:marRight w:val="0"/>
      <w:marTop w:val="0"/>
      <w:marBottom w:val="0"/>
      <w:divBdr>
        <w:top w:val="none" w:sz="0" w:space="0" w:color="auto"/>
        <w:left w:val="none" w:sz="0" w:space="0" w:color="auto"/>
        <w:bottom w:val="none" w:sz="0" w:space="0" w:color="auto"/>
        <w:right w:val="none" w:sz="0" w:space="0" w:color="auto"/>
      </w:divBdr>
    </w:div>
    <w:div w:id="1985430299">
      <w:marLeft w:val="0"/>
      <w:marRight w:val="0"/>
      <w:marTop w:val="0"/>
      <w:marBottom w:val="0"/>
      <w:divBdr>
        <w:top w:val="none" w:sz="0" w:space="0" w:color="auto"/>
        <w:left w:val="none" w:sz="0" w:space="0" w:color="auto"/>
        <w:bottom w:val="none" w:sz="0" w:space="0" w:color="auto"/>
        <w:right w:val="none" w:sz="0" w:space="0" w:color="auto"/>
      </w:divBdr>
    </w:div>
    <w:div w:id="1985430300">
      <w:marLeft w:val="0"/>
      <w:marRight w:val="0"/>
      <w:marTop w:val="0"/>
      <w:marBottom w:val="0"/>
      <w:divBdr>
        <w:top w:val="none" w:sz="0" w:space="0" w:color="auto"/>
        <w:left w:val="none" w:sz="0" w:space="0" w:color="auto"/>
        <w:bottom w:val="none" w:sz="0" w:space="0" w:color="auto"/>
        <w:right w:val="none" w:sz="0" w:space="0" w:color="auto"/>
      </w:divBdr>
    </w:div>
    <w:div w:id="198543030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5</Pages>
  <Words>874</Words>
  <Characters>5845</Characters>
  <Application>Microsoft Office Outlook</Application>
  <DocSecurity>0</DocSecurity>
  <Lines>0</Lines>
  <Paragraphs>0</Paragraphs>
  <ScaleCrop>false</ScaleCrop>
  <Company>Regeringskansliet RK IT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 dagordning</dc:title>
  <dc:subject/>
  <dc:creator>Kristofer Duarte</dc:creator>
  <cp:keywords/>
  <dc:description/>
  <cp:lastModifiedBy>jb0525aa</cp:lastModifiedBy>
  <cp:revision>2</cp:revision>
  <cp:lastPrinted>2012-12-03T08:58:00Z</cp:lastPrinted>
  <dcterms:created xsi:type="dcterms:W3CDTF">2012-12-03T09:00:00Z</dcterms:created>
  <dcterms:modified xsi:type="dcterms:W3CDTF">2012-12-03T09:00:00Z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0x01010053E1D612BA3F4E21AA250ECD751942B3009C7E30FED4CE7541B6BEEAC5BBDA3952</vt:lpwstr>
  </property>
  <property fmtid="{D5CDD505-2E9C-101B-9397-08002B2CF9AE}" pid="3" name="Order">
    <vt:r8>2.39091752489821E-302</vt:r8>
  </property>
  <property fmtid="{D5CDD505-2E9C-101B-9397-08002B2CF9AE}" pid="4" name="_dlc_DocIdItemGuid">
    <vt:lpwstr>60670a14-c583-497d-b6cd-27c14848e82c</vt:lpwstr>
  </property>
  <property fmtid="{D5CDD505-2E9C-101B-9397-08002B2CF9AE}" pid="5" name="Sekretess">
    <vt:lpwstr>0</vt:lpwstr>
  </property>
  <property fmtid="{D5CDD505-2E9C-101B-9397-08002B2CF9AE}" pid="6" name="c9cd366cc722410295b9eacffbd73909">
    <vt:lpwstr/>
  </property>
  <property fmtid="{D5CDD505-2E9C-101B-9397-08002B2CF9AE}" pid="7" name="k46d94c0acf84ab9a79866a9d8b1905f">
    <vt:lpwstr/>
  </property>
  <property fmtid="{D5CDD505-2E9C-101B-9397-08002B2CF9AE}" pid="8" name="_dlc_DocId">
    <vt:lpwstr>JE6N4JFJXNNF-9-52401</vt:lpwstr>
  </property>
  <property fmtid="{D5CDD505-2E9C-101B-9397-08002B2CF9AE}" pid="9" name="TaxCatchAll">
    <vt:lpwstr/>
  </property>
  <property fmtid="{D5CDD505-2E9C-101B-9397-08002B2CF9AE}" pid="10" name="_dlc_DocIdUrl">
    <vt:lpwstr>http://rkdhs-sb/enhet/EUKansli/_layouts/DocIdRedir.aspx?ID=JE6N4JFJXNNF-9-52401, JE6N4JFJXNNF-9-52401</vt:lpwstr>
  </property>
  <property fmtid="{D5CDD505-2E9C-101B-9397-08002B2CF9AE}" pid="11" name="Diarienummer">
    <vt:lpwstr/>
  </property>
  <property fmtid="{D5CDD505-2E9C-101B-9397-08002B2CF9AE}" pid="12" name="RKOrdnaCheckInComment">
    <vt:lpwstr/>
  </property>
  <property fmtid="{D5CDD505-2E9C-101B-9397-08002B2CF9AE}" pid="13" name="RKOrdnaClass">
    <vt:lpwstr/>
  </property>
</Properties>
</file>