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bookmarkStart w:id="0" w:name="_GoBack"/>
      <w:bookmarkEnd w:id="0"/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 xml:space="preserve">nkomna EU-dokument </w:t>
      </w:r>
      <w:r w:rsidR="00BF05BA">
        <w:t>10 februari</w:t>
      </w:r>
      <w:r w:rsidR="005670C5">
        <w:t xml:space="preserve"> – </w:t>
      </w:r>
      <w:r w:rsidR="00EC5E75">
        <w:t>2 mars 2015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 w:rsidR="00B570FE">
              <w:t>m</w:t>
            </w:r>
            <w:r>
              <w:t>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9276CE" w:rsidTr="0014597B">
        <w:tc>
          <w:tcPr>
            <w:tcW w:w="1413" w:type="dxa"/>
          </w:tcPr>
          <w:p w:rsidR="00EA4398" w:rsidRPr="009B0AD7" w:rsidRDefault="009276CE" w:rsidP="0014597B">
            <w:r>
              <w:t>2015-02-18</w:t>
            </w:r>
          </w:p>
        </w:tc>
        <w:tc>
          <w:tcPr>
            <w:tcW w:w="1701" w:type="dxa"/>
          </w:tcPr>
          <w:p w:rsidR="00EA4398" w:rsidRPr="009B0AD7" w:rsidRDefault="009276CE" w:rsidP="0014597B">
            <w:pPr>
              <w:spacing w:after="0" w:line="240" w:lineRule="auto"/>
            </w:pPr>
            <w:r w:rsidRPr="009276CE">
              <w:t>6085/15</w:t>
            </w:r>
          </w:p>
        </w:tc>
        <w:tc>
          <w:tcPr>
            <w:tcW w:w="3827" w:type="dxa"/>
          </w:tcPr>
          <w:p w:rsidR="00EA4398" w:rsidRPr="009276CE" w:rsidRDefault="007C5261" w:rsidP="0014597B">
            <w:pPr>
              <w:spacing w:after="0" w:line="240" w:lineRule="auto"/>
              <w:rPr>
                <w:lang w:val="en-US"/>
              </w:rPr>
            </w:pPr>
            <w:hyperlink r:id="rId8" w:history="1">
              <w:r w:rsidR="009276CE" w:rsidRPr="009276CE">
                <w:rPr>
                  <w:rStyle w:val="Hyperlnk"/>
                  <w:lang w:val="en-US"/>
                </w:rPr>
                <w:t>Outcome of the Council meeting 3368th Council meeting General Affairs Brussels, 10 February 2015</w:t>
              </w:r>
            </w:hyperlink>
          </w:p>
        </w:tc>
        <w:tc>
          <w:tcPr>
            <w:tcW w:w="2829" w:type="dxa"/>
          </w:tcPr>
          <w:p w:rsidR="00EA4398" w:rsidRPr="009276CE" w:rsidRDefault="009276CE" w:rsidP="007D65B0">
            <w:r w:rsidRPr="009276CE">
              <w:t>Rådet d</w:t>
            </w:r>
            <w:r>
              <w:t>iskuterade kampen mot terrorism</w:t>
            </w:r>
            <w:r w:rsidR="00531314">
              <w:t xml:space="preserve"> och</w:t>
            </w:r>
            <w:r>
              <w:t xml:space="preserve"> </w:t>
            </w:r>
            <w:r w:rsidR="00531314">
              <w:t xml:space="preserve">godkände </w:t>
            </w:r>
            <w:r w:rsidR="007D65B0">
              <w:t xml:space="preserve">en </w:t>
            </w:r>
            <w:r w:rsidR="00531314">
              <w:t>ö</w:t>
            </w:r>
            <w:r w:rsidRPr="009276CE">
              <w:t>verenskommelse med E</w:t>
            </w:r>
            <w:r>
              <w:t>P</w:t>
            </w:r>
            <w:r w:rsidRPr="009276CE">
              <w:t xml:space="preserve"> om skärpta regler för att förhindra penningtvätt och finansiering av terrorism.</w:t>
            </w:r>
            <w:r>
              <w:t xml:space="preserve"> </w:t>
            </w:r>
          </w:p>
        </w:tc>
      </w:tr>
      <w:tr w:rsidR="00EA4398" w:rsidRPr="00315765" w:rsidTr="0014597B">
        <w:tc>
          <w:tcPr>
            <w:tcW w:w="1413" w:type="dxa"/>
          </w:tcPr>
          <w:p w:rsidR="00EA4398" w:rsidRPr="009276CE" w:rsidRDefault="00315765" w:rsidP="0014597B">
            <w:r>
              <w:t>2015-02-20</w:t>
            </w:r>
          </w:p>
        </w:tc>
        <w:tc>
          <w:tcPr>
            <w:tcW w:w="1701" w:type="dxa"/>
          </w:tcPr>
          <w:p w:rsidR="00EA4398" w:rsidRPr="009276CE" w:rsidRDefault="00315765" w:rsidP="0014597B">
            <w:r w:rsidRPr="00315765">
              <w:t>5510/15</w:t>
            </w:r>
          </w:p>
        </w:tc>
        <w:tc>
          <w:tcPr>
            <w:tcW w:w="3827" w:type="dxa"/>
          </w:tcPr>
          <w:p w:rsidR="00EA4398" w:rsidRPr="00A33281" w:rsidRDefault="007C5261" w:rsidP="0014597B">
            <w:hyperlink r:id="rId9" w:history="1">
              <w:r w:rsidR="00A33281" w:rsidRPr="00A33281">
                <w:rPr>
                  <w:rStyle w:val="Hyperlnk"/>
                </w:rPr>
                <w:t>Rapport om tillgång till lagstiftning</w:t>
              </w:r>
            </w:hyperlink>
          </w:p>
        </w:tc>
        <w:tc>
          <w:tcPr>
            <w:tcW w:w="2829" w:type="dxa"/>
          </w:tcPr>
          <w:p w:rsidR="00EA4398" w:rsidRPr="00315765" w:rsidRDefault="00315765" w:rsidP="00551450">
            <w:r>
              <w:t xml:space="preserve">Rapport från </w:t>
            </w:r>
            <w:r w:rsidR="005C38E0">
              <w:t xml:space="preserve">rådets </w:t>
            </w:r>
            <w:r>
              <w:t>a</w:t>
            </w:r>
            <w:r w:rsidR="005C38E0">
              <w:t>rbetsgrupp</w:t>
            </w:r>
            <w:r w:rsidRPr="00315765">
              <w:t xml:space="preserve"> för e-lagstiftning </w:t>
            </w:r>
            <w:r>
              <w:t>om</w:t>
            </w:r>
            <w:r w:rsidR="00A33281">
              <w:t xml:space="preserve"> tillgången till europeisk oc</w:t>
            </w:r>
            <w:r>
              <w:t>h nationell lagstiftning</w:t>
            </w:r>
            <w:r w:rsidR="00551450">
              <w:t xml:space="preserve"> utifrån ett tekniskt perspektiv</w:t>
            </w:r>
            <w:r w:rsidR="005C38E0">
              <w:t>.</w:t>
            </w:r>
            <w:r w:rsidR="00A33281">
              <w:t xml:space="preserve"> </w:t>
            </w:r>
            <w:r w:rsidR="00A33281" w:rsidRPr="00A33281">
              <w:t xml:space="preserve">Syftet </w:t>
            </w:r>
            <w:r w:rsidR="00A33281">
              <w:t xml:space="preserve">med rapporten </w:t>
            </w:r>
            <w:r w:rsidR="00A33281" w:rsidRPr="00A33281">
              <w:t xml:space="preserve">är att diskutera de större framsteg som har gjorts när det gäller tillgången till </w:t>
            </w:r>
            <w:r w:rsidR="00A33281">
              <w:t>sådan rättsdata</w:t>
            </w:r>
            <w:r w:rsidR="00A33281" w:rsidRPr="00A33281">
              <w:t xml:space="preserve"> samt möjligheten att erbjuda åtkomst till tredjeländers lagstiftning när det ligger i EU:s eller medlemsstaternas intresse.</w:t>
            </w:r>
          </w:p>
        </w:tc>
      </w:tr>
      <w:tr w:rsidR="000774C2" w:rsidRPr="00B261D2" w:rsidTr="0014597B">
        <w:tc>
          <w:tcPr>
            <w:tcW w:w="1413" w:type="dxa"/>
          </w:tcPr>
          <w:p w:rsidR="000774C2" w:rsidRDefault="000774C2" w:rsidP="0014597B">
            <w:r>
              <w:t>2015-02-25</w:t>
            </w:r>
          </w:p>
        </w:tc>
        <w:tc>
          <w:tcPr>
            <w:tcW w:w="1701" w:type="dxa"/>
          </w:tcPr>
          <w:p w:rsidR="000774C2" w:rsidRPr="00315765" w:rsidRDefault="000774C2" w:rsidP="0014597B">
            <w:r w:rsidRPr="000774C2">
              <w:t>CM 1680/15</w:t>
            </w:r>
          </w:p>
        </w:tc>
        <w:tc>
          <w:tcPr>
            <w:tcW w:w="3827" w:type="dxa"/>
          </w:tcPr>
          <w:p w:rsidR="000774C2" w:rsidRPr="00B261D2" w:rsidRDefault="007C5261" w:rsidP="0014597B">
            <w:hyperlink r:id="rId10" w:history="1">
              <w:r w:rsidR="00B261D2" w:rsidRPr="00B261D2">
                <w:rPr>
                  <w:rStyle w:val="Hyperlnk"/>
                </w:rPr>
                <w:t>Kallelse och preliminär dagordning 3376:e mötet i Europeiska unionens råd (rättsliga och inrikes frågor) 12 och 13 mars 2015</w:t>
              </w:r>
            </w:hyperlink>
          </w:p>
        </w:tc>
        <w:tc>
          <w:tcPr>
            <w:tcW w:w="2829" w:type="dxa"/>
          </w:tcPr>
          <w:p w:rsidR="000774C2" w:rsidRPr="00B261D2" w:rsidRDefault="000774C2" w:rsidP="007C21BD"/>
        </w:tc>
      </w:tr>
      <w:tr w:rsidR="00DF31FD" w:rsidRPr="000774C2" w:rsidTr="0014597B">
        <w:tc>
          <w:tcPr>
            <w:tcW w:w="1413" w:type="dxa"/>
          </w:tcPr>
          <w:p w:rsidR="00DF31FD" w:rsidRDefault="00DF31FD" w:rsidP="0014597B">
            <w:r>
              <w:t>2015-02-25</w:t>
            </w:r>
          </w:p>
        </w:tc>
        <w:tc>
          <w:tcPr>
            <w:tcW w:w="1701" w:type="dxa"/>
          </w:tcPr>
          <w:p w:rsidR="00DF31FD" w:rsidRPr="000774C2" w:rsidRDefault="00DF31FD" w:rsidP="0014597B">
            <w:r w:rsidRPr="00DF31FD">
              <w:t>6044/15</w:t>
            </w:r>
          </w:p>
        </w:tc>
        <w:tc>
          <w:tcPr>
            <w:tcW w:w="3827" w:type="dxa"/>
          </w:tcPr>
          <w:p w:rsidR="00DF31FD" w:rsidRDefault="007C5261" w:rsidP="0014597B">
            <w:pPr>
              <w:rPr>
                <w:lang w:val="en-US"/>
              </w:rPr>
            </w:pPr>
            <w:hyperlink r:id="rId11" w:history="1">
              <w:r w:rsidR="00DF31FD" w:rsidRPr="00DF31FD">
                <w:rPr>
                  <w:rStyle w:val="Hyperlnk"/>
                  <w:lang w:val="en-US"/>
                </w:rPr>
                <w:t>Outcome of the Council meeting 3367th Council meeting Foreign Affairs Brussels, 9 February 2015</w:t>
              </w:r>
            </w:hyperlink>
          </w:p>
        </w:tc>
        <w:tc>
          <w:tcPr>
            <w:tcW w:w="2829" w:type="dxa"/>
          </w:tcPr>
          <w:p w:rsidR="00DF31FD" w:rsidRPr="00490C12" w:rsidRDefault="00FE0FF6" w:rsidP="00FE0FF6">
            <w:r>
              <w:t>Utrikesministrarna</w:t>
            </w:r>
            <w:r w:rsidR="005F5B3B" w:rsidRPr="00490C12">
              <w:t xml:space="preserve"> diskuterade </w:t>
            </w:r>
            <w:r w:rsidR="00490C12">
              <w:t xml:space="preserve">EU:s externa åtgärder i </w:t>
            </w:r>
            <w:r w:rsidR="00490C12" w:rsidRPr="00490C12">
              <w:t>kampen mot terrorismen</w:t>
            </w:r>
            <w:r w:rsidR="00490C12">
              <w:t xml:space="preserve">. </w:t>
            </w:r>
            <w:r>
              <w:t>S</w:t>
            </w:r>
            <w:r w:rsidR="00490C12">
              <w:t>lutsatser om terrorism</w:t>
            </w:r>
            <w:r w:rsidR="00490C12">
              <w:softHyphen/>
              <w:t>bekämpning</w:t>
            </w:r>
            <w:r>
              <w:t xml:space="preserve"> antogs</w:t>
            </w:r>
            <w:r w:rsidR="00490C12">
              <w:t>.</w:t>
            </w:r>
          </w:p>
        </w:tc>
      </w:tr>
    </w:tbl>
    <w:p w:rsidR="00EA4398" w:rsidRPr="00490C12" w:rsidRDefault="00EA4398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>
              <w:t>Regeringskansliet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0728FF" w:rsidP="0014597B">
            <w:r>
              <w:t>2015-02-12</w:t>
            </w:r>
          </w:p>
        </w:tc>
        <w:tc>
          <w:tcPr>
            <w:tcW w:w="1701" w:type="dxa"/>
          </w:tcPr>
          <w:p w:rsidR="00EA4398" w:rsidRPr="009B0AD7" w:rsidRDefault="000728FF" w:rsidP="0014597B">
            <w:pPr>
              <w:spacing w:after="0" w:line="240" w:lineRule="auto"/>
            </w:pPr>
            <w:r w:rsidRPr="000728FF">
              <w:t>Rapport allmänna frågor 10 februari 2015</w:t>
            </w:r>
          </w:p>
        </w:tc>
        <w:tc>
          <w:tcPr>
            <w:tcW w:w="3827" w:type="dxa"/>
          </w:tcPr>
          <w:p w:rsidR="00EA4398" w:rsidRPr="009B0AD7" w:rsidRDefault="007C5261" w:rsidP="00EA4398">
            <w:hyperlink r:id="rId12" w:history="1">
              <w:r w:rsidR="000728FF" w:rsidRPr="000728FF">
                <w:rPr>
                  <w:rStyle w:val="Hyperlnk"/>
                </w:rPr>
                <w:t>Rådet för allmänna frågor (GAC) den 10 februari 2015: rapport</w:t>
              </w:r>
            </w:hyperlink>
          </w:p>
        </w:tc>
        <w:tc>
          <w:tcPr>
            <w:tcW w:w="2829" w:type="dxa"/>
          </w:tcPr>
          <w:p w:rsidR="00EA4398" w:rsidRPr="009B0AD7" w:rsidRDefault="000728FF" w:rsidP="000728FF">
            <w:r>
              <w:t>Utskottet fick ta del av rapporten vid sammanträ</w:t>
            </w:r>
            <w:r w:rsidR="00134111">
              <w:softHyphen/>
            </w:r>
            <w:r>
              <w:t>d</w:t>
            </w:r>
            <w:r>
              <w:softHyphen/>
              <w:t>et den 17 februari 2015.</w:t>
            </w:r>
          </w:p>
        </w:tc>
      </w:tr>
    </w:tbl>
    <w:p w:rsidR="008C47D7" w:rsidRDefault="008C47D7" w:rsidP="009B0AD7"/>
    <w:p w:rsidR="008C47D7" w:rsidRDefault="008C47D7">
      <w:pPr>
        <w:rPr>
          <w:rFonts w:ascii="GillSans Pro for Riksdagen Md" w:hAnsi="GillSans Pro for Riksdagen Md"/>
          <w:b/>
          <w:kern w:val="28"/>
          <w:sz w:val="28"/>
        </w:rPr>
      </w:pPr>
      <w:r>
        <w:br w:type="page"/>
      </w:r>
    </w:p>
    <w:p w:rsidR="00A33281" w:rsidRDefault="00A33281" w:rsidP="00A33281">
      <w:pPr>
        <w:pStyle w:val="Rubrik1"/>
      </w:pPr>
      <w:r>
        <w:lastRenderedPageBreak/>
        <w:t xml:space="preserve">Antagen </w:t>
      </w:r>
      <w:r w:rsidR="00902EA0">
        <w:t>lagstiftnings</w:t>
      </w:r>
      <w:r>
        <w:t>akt</w:t>
      </w:r>
      <w:r w:rsidR="008C47D7">
        <w:t xml:space="preserve"> på justitieutskottets område</w:t>
      </w:r>
    </w:p>
    <w:p w:rsidR="00A33281" w:rsidRDefault="00A33281" w:rsidP="00A33281">
      <w:r>
        <w:t>Den 2 mars 2015 antog rådet Europaparlamentets och rådets direktiv om underlättande av gränsöverskridande informationsutbyte om trafiksäkerhetsrelaterade brott.</w:t>
      </w:r>
    </w:p>
    <w:p w:rsidR="00A33281" w:rsidRDefault="00A33281" w:rsidP="00A33281"/>
    <w:p w:rsidR="00A33281" w:rsidRPr="009A2B60" w:rsidRDefault="008C47D7" w:rsidP="00A33281">
      <w:r w:rsidRPr="009A2B60">
        <w:t>Antagen text:</w:t>
      </w:r>
    </w:p>
    <w:p w:rsidR="00A33281" w:rsidRDefault="007C5261" w:rsidP="00A33281">
      <w:hyperlink r:id="rId13" w:history="1">
        <w:r w:rsidR="008C47D7" w:rsidRPr="005A333E">
          <w:rPr>
            <w:rStyle w:val="Hyperlnk"/>
          </w:rPr>
          <w:t>http://register.consilium.europa.eu/doc/srv?l=sv&amp;f=PE%20103%202014%20INIT</w:t>
        </w:r>
      </w:hyperlink>
    </w:p>
    <w:p w:rsidR="008C47D7" w:rsidRDefault="008C47D7" w:rsidP="00A33281"/>
    <w:p w:rsidR="00A33281" w:rsidRPr="009A2B60" w:rsidRDefault="008C47D7" w:rsidP="00A33281">
      <w:r w:rsidRPr="009A2B60">
        <w:t>Ursprungligt förslag K</w:t>
      </w:r>
      <w:r w:rsidR="00A33281" w:rsidRPr="009A2B60">
        <w:t xml:space="preserve">OM(2014) </w:t>
      </w:r>
      <w:r w:rsidRPr="009A2B60">
        <w:t>476:</w:t>
      </w:r>
    </w:p>
    <w:p w:rsidR="008C47D7" w:rsidRDefault="007C5261" w:rsidP="00A33281">
      <w:hyperlink r:id="rId14" w:history="1">
        <w:r w:rsidR="008C47D7" w:rsidRPr="005A333E">
          <w:rPr>
            <w:rStyle w:val="Hyperlnk"/>
          </w:rPr>
          <w:t>http://lemur.riksdagen.se/Dokument/Visa.aspx?ID=19376</w:t>
        </w:r>
      </w:hyperlink>
    </w:p>
    <w:p w:rsidR="00A33281" w:rsidRDefault="00A33281" w:rsidP="00A33281"/>
    <w:p w:rsidR="007159CA" w:rsidRDefault="007159CA" w:rsidP="00A33281">
      <w:r>
        <w:t>Utskottet</w:t>
      </w:r>
      <w:r w:rsidRPr="007159CA">
        <w:t xml:space="preserve"> ansåg vid sin prövning att förslaget inte strider mot subsidiaritet</w:t>
      </w:r>
      <w:r>
        <w:t>sprincipen:</w:t>
      </w:r>
    </w:p>
    <w:p w:rsidR="00A33281" w:rsidRDefault="007C5261" w:rsidP="00A33281">
      <w:hyperlink r:id="rId15" w:history="1">
        <w:r w:rsidR="008C47D7" w:rsidRPr="005A333E">
          <w:rPr>
            <w:rStyle w:val="Hyperlnk"/>
          </w:rPr>
          <w:t>http://lemur.riksdagen.se/Dokument/VisaBilaga.aspx?ID=46262&amp;dokID=19376</w:t>
        </w:r>
      </w:hyperlink>
    </w:p>
    <w:sectPr w:rsidR="00A33281" w:rsidSect="009B0AD7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1A3CDA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1A3CDA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C5261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7C5261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7C5261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25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7"/>
  </w:num>
  <w:num w:numId="13">
    <w:abstractNumId w:val="19"/>
  </w:num>
  <w:num w:numId="14">
    <w:abstractNumId w:val="15"/>
  </w:num>
  <w:num w:numId="15">
    <w:abstractNumId w:val="18"/>
  </w:num>
  <w:num w:numId="16">
    <w:abstractNumId w:val="16"/>
  </w:num>
  <w:num w:numId="17">
    <w:abstractNumId w:val="13"/>
  </w:num>
  <w:num w:numId="18">
    <w:abstractNumId w:val="12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28FF"/>
    <w:rsid w:val="00073A8F"/>
    <w:rsid w:val="000774C2"/>
    <w:rsid w:val="00084818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70D7"/>
    <w:rsid w:val="000D57AD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34111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4AE6"/>
    <w:rsid w:val="00166508"/>
    <w:rsid w:val="00173C5D"/>
    <w:rsid w:val="00183236"/>
    <w:rsid w:val="00187307"/>
    <w:rsid w:val="00193322"/>
    <w:rsid w:val="00195ED1"/>
    <w:rsid w:val="001A25B0"/>
    <w:rsid w:val="001A35DC"/>
    <w:rsid w:val="001A3CDA"/>
    <w:rsid w:val="001B032A"/>
    <w:rsid w:val="001B57B3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21257"/>
    <w:rsid w:val="002263CE"/>
    <w:rsid w:val="002451C3"/>
    <w:rsid w:val="00253092"/>
    <w:rsid w:val="00254B93"/>
    <w:rsid w:val="00257937"/>
    <w:rsid w:val="00277D4B"/>
    <w:rsid w:val="002823FB"/>
    <w:rsid w:val="002856EE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5765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73590"/>
    <w:rsid w:val="0038684B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0C12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66F8"/>
    <w:rsid w:val="004F5F02"/>
    <w:rsid w:val="005063F1"/>
    <w:rsid w:val="0051338E"/>
    <w:rsid w:val="00522E29"/>
    <w:rsid w:val="00524766"/>
    <w:rsid w:val="00527427"/>
    <w:rsid w:val="00531314"/>
    <w:rsid w:val="00540BC4"/>
    <w:rsid w:val="0054224B"/>
    <w:rsid w:val="00542BC3"/>
    <w:rsid w:val="0054559A"/>
    <w:rsid w:val="00546A9C"/>
    <w:rsid w:val="00551450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C38E0"/>
    <w:rsid w:val="005E5FD3"/>
    <w:rsid w:val="005F2A39"/>
    <w:rsid w:val="005F4C2D"/>
    <w:rsid w:val="005F5B3B"/>
    <w:rsid w:val="00607411"/>
    <w:rsid w:val="006111BD"/>
    <w:rsid w:val="00611ED3"/>
    <w:rsid w:val="00624848"/>
    <w:rsid w:val="006263F6"/>
    <w:rsid w:val="00630879"/>
    <w:rsid w:val="00631BBC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6C65"/>
    <w:rsid w:val="0071190A"/>
    <w:rsid w:val="00713077"/>
    <w:rsid w:val="007159CA"/>
    <w:rsid w:val="007200A8"/>
    <w:rsid w:val="00731D7A"/>
    <w:rsid w:val="00732AAE"/>
    <w:rsid w:val="007341BE"/>
    <w:rsid w:val="00737A35"/>
    <w:rsid w:val="00750FD7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C21BD"/>
    <w:rsid w:val="007C5261"/>
    <w:rsid w:val="007D0471"/>
    <w:rsid w:val="007D65B0"/>
    <w:rsid w:val="007E06AC"/>
    <w:rsid w:val="007E5185"/>
    <w:rsid w:val="007E5BA3"/>
    <w:rsid w:val="007F498A"/>
    <w:rsid w:val="007F63E0"/>
    <w:rsid w:val="00804702"/>
    <w:rsid w:val="008108E8"/>
    <w:rsid w:val="008236F3"/>
    <w:rsid w:val="00823BCE"/>
    <w:rsid w:val="00824FD1"/>
    <w:rsid w:val="008316A6"/>
    <w:rsid w:val="0083183D"/>
    <w:rsid w:val="0083504D"/>
    <w:rsid w:val="0084232C"/>
    <w:rsid w:val="00847D1B"/>
    <w:rsid w:val="0085313D"/>
    <w:rsid w:val="0085704F"/>
    <w:rsid w:val="0086199E"/>
    <w:rsid w:val="00866E6F"/>
    <w:rsid w:val="00880C83"/>
    <w:rsid w:val="008820A9"/>
    <w:rsid w:val="00885D71"/>
    <w:rsid w:val="00891EEA"/>
    <w:rsid w:val="00894B42"/>
    <w:rsid w:val="008A400F"/>
    <w:rsid w:val="008B1190"/>
    <w:rsid w:val="008B374B"/>
    <w:rsid w:val="008C47D7"/>
    <w:rsid w:val="008C626B"/>
    <w:rsid w:val="008C656B"/>
    <w:rsid w:val="008D0154"/>
    <w:rsid w:val="008D3524"/>
    <w:rsid w:val="008D3D36"/>
    <w:rsid w:val="008D771E"/>
    <w:rsid w:val="008E2FF8"/>
    <w:rsid w:val="008E779B"/>
    <w:rsid w:val="008F3867"/>
    <w:rsid w:val="00900852"/>
    <w:rsid w:val="00902EA0"/>
    <w:rsid w:val="009121EC"/>
    <w:rsid w:val="0091695B"/>
    <w:rsid w:val="009212CA"/>
    <w:rsid w:val="00922AE6"/>
    <w:rsid w:val="009276CE"/>
    <w:rsid w:val="00933FE2"/>
    <w:rsid w:val="00947FC3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2B60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3281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4319"/>
    <w:rsid w:val="00B2263F"/>
    <w:rsid w:val="00B261D2"/>
    <w:rsid w:val="00B27AF2"/>
    <w:rsid w:val="00B32F0E"/>
    <w:rsid w:val="00B47411"/>
    <w:rsid w:val="00B47570"/>
    <w:rsid w:val="00B53F5F"/>
    <w:rsid w:val="00B5535C"/>
    <w:rsid w:val="00B570FE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05BA"/>
    <w:rsid w:val="00BF3B63"/>
    <w:rsid w:val="00C02D69"/>
    <w:rsid w:val="00C103E1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A358B"/>
    <w:rsid w:val="00CB0870"/>
    <w:rsid w:val="00CB279D"/>
    <w:rsid w:val="00CB608A"/>
    <w:rsid w:val="00CC5C34"/>
    <w:rsid w:val="00CD4436"/>
    <w:rsid w:val="00CD5008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31FD"/>
    <w:rsid w:val="00DF4698"/>
    <w:rsid w:val="00DF733A"/>
    <w:rsid w:val="00E04B59"/>
    <w:rsid w:val="00E0758F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5E75"/>
    <w:rsid w:val="00EC67D8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0FF6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20430" TargetMode="External"/><Relationship Id="rId13" Type="http://schemas.openxmlformats.org/officeDocument/2006/relationships/hyperlink" Target="http://register.consilium.europa.eu/doc/srv?l=sv&amp;f=PE%20103%202014%20INI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emur.riksdagen.se/Dokument/Visa.aspx?ID=2040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204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mur.riksdagen.se/Dokument/VisaBilaga.aspx?ID=46262&amp;dokID=19376" TargetMode="External"/><Relationship Id="rId10" Type="http://schemas.openxmlformats.org/officeDocument/2006/relationships/hyperlink" Target="http://lemur.riksdagen.se/Dokument/Visa.aspx?ID=20465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0445" TargetMode="External"/><Relationship Id="rId14" Type="http://schemas.openxmlformats.org/officeDocument/2006/relationships/hyperlink" Target="http://lemur.riksdagen.se/Dokument/Visa.aspx?ID=1937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1213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BAE07-925E-4EFF-845F-B06812B1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PM.dotm</Template>
  <TotalTime>0</TotalTime>
  <Pages>5</Pages>
  <Words>252</Words>
  <Characters>2469</Characters>
  <Application>Microsoft Office Word</Application>
  <DocSecurity>4</DocSecurity>
  <Lines>112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Dan Stenborg</cp:lastModifiedBy>
  <cp:revision>2</cp:revision>
  <cp:lastPrinted>2015-03-03T10:23:00Z</cp:lastPrinted>
  <dcterms:created xsi:type="dcterms:W3CDTF">2015-03-12T12:06:00Z</dcterms:created>
  <dcterms:modified xsi:type="dcterms:W3CDTF">2015-03-12T12:06:00Z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