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A4F33">
        <w:trPr>
          <w:gridAfter w:val="2"/>
          <w:wAfter w:w="1758" w:type="dxa"/>
          <w:cantSplit/>
          <w:trHeight w:val="1320"/>
        </w:trPr>
        <w:tc>
          <w:tcPr>
            <w:tcW w:w="5897" w:type="dxa"/>
          </w:tcPr>
          <w:p w:rsidR="00546265" w:rsidRPr="00BA4F33" w:rsidRDefault="00546265">
            <w:pPr>
              <w:pStyle w:val="HuvudRubrik"/>
            </w:pPr>
            <w:r w:rsidRPr="00BA4F33">
              <w:t>Regeringskansliet</w:t>
            </w:r>
          </w:p>
          <w:p w:rsidR="00546265" w:rsidRPr="00BA4F33" w:rsidRDefault="00546265">
            <w:pPr>
              <w:pStyle w:val="HuvudRubrik"/>
            </w:pPr>
            <w:r w:rsidRPr="00BA4F33">
              <w:t>Faktapromemoria  2011/12:FPM154</w:t>
            </w:r>
          </w:p>
        </w:tc>
      </w:tr>
      <w:tr w:rsidR="00000000" w:rsidRPr="00BA4F33">
        <w:trPr>
          <w:gridAfter w:val="2"/>
          <w:wAfter w:w="1758" w:type="dxa"/>
          <w:cantSplit/>
          <w:trHeight w:val="240"/>
        </w:trPr>
        <w:tc>
          <w:tcPr>
            <w:tcW w:w="5897" w:type="dxa"/>
          </w:tcPr>
          <w:p w:rsidR="00546265" w:rsidRPr="00BA4F33" w:rsidRDefault="00546265">
            <w:pPr>
              <w:pStyle w:val="HuvudRubrik"/>
              <w:rPr>
                <w:sz w:val="28"/>
              </w:rPr>
            </w:pPr>
            <w:r w:rsidRPr="00BA4F33">
              <w:t>Ändringar av datum i Solvens II-direktivet</w:t>
            </w:r>
          </w:p>
        </w:tc>
      </w:tr>
      <w:tr w:rsidR="00000000" w:rsidRPr="00BA4F33">
        <w:trPr>
          <w:cantSplit/>
          <w:trHeight w:val="285"/>
        </w:trPr>
        <w:tc>
          <w:tcPr>
            <w:tcW w:w="7655" w:type="dxa"/>
            <w:gridSpan w:val="3"/>
          </w:tcPr>
          <w:p w:rsidR="00546265" w:rsidRPr="00BA4F33" w:rsidRDefault="00546265">
            <w:pPr>
              <w:pStyle w:val="Departement"/>
              <w:rPr>
                <w:sz w:val="28"/>
              </w:rPr>
            </w:pPr>
            <w:r w:rsidRPr="00BA4F33">
              <w:t>Finansdepartementet</w:t>
            </w:r>
          </w:p>
        </w:tc>
      </w:tr>
      <w:tr w:rsidR="00000000" w:rsidRPr="00BA4F33">
        <w:trPr>
          <w:cantSplit/>
          <w:trHeight w:val="240"/>
        </w:trPr>
        <w:tc>
          <w:tcPr>
            <w:tcW w:w="7655" w:type="dxa"/>
            <w:gridSpan w:val="3"/>
          </w:tcPr>
          <w:p w:rsidR="00546265" w:rsidRPr="00BA4F33" w:rsidRDefault="00546265">
            <w:pPr>
              <w:pStyle w:val="Dokumentdatum"/>
            </w:pPr>
            <w:r w:rsidRPr="00BA4F33">
              <w:t>2012-06-13</w:t>
            </w:r>
          </w:p>
        </w:tc>
      </w:tr>
      <w:tr w:rsidR="00000000" w:rsidRPr="00BA4F33">
        <w:trPr>
          <w:cantSplit/>
          <w:trHeight w:val="726"/>
        </w:trPr>
        <w:tc>
          <w:tcPr>
            <w:tcW w:w="7655" w:type="dxa"/>
            <w:gridSpan w:val="3"/>
            <w:vAlign w:val="bottom"/>
          </w:tcPr>
          <w:p w:rsidR="00546265" w:rsidRPr="00BA4F33" w:rsidRDefault="00546265">
            <w:pPr>
              <w:pStyle w:val="Dokumentbeteckning"/>
            </w:pPr>
            <w:r w:rsidRPr="00BA4F33">
              <w:t>Dokumentbeteckning</w:t>
            </w:r>
          </w:p>
        </w:tc>
      </w:tr>
      <w:tr w:rsidR="00000000" w:rsidRPr="00BA4F33">
        <w:trPr>
          <w:gridAfter w:val="1"/>
          <w:wAfter w:w="1560" w:type="dxa"/>
          <w:trHeight w:val="120"/>
        </w:trPr>
        <w:tc>
          <w:tcPr>
            <w:tcW w:w="6095" w:type="dxa"/>
            <w:gridSpan w:val="2"/>
          </w:tcPr>
          <w:p w:rsidR="00546265" w:rsidRPr="00BA4F33" w:rsidRDefault="00546265">
            <w:bookmarkStart w:id="0" w:name="KomNr"/>
            <w:bookmarkEnd w:id="0"/>
            <w:r w:rsidRPr="00BA4F33">
              <w:t>KOM(2012) 217 slutlig</w:t>
            </w:r>
          </w:p>
        </w:tc>
      </w:tr>
      <w:tr w:rsidR="00000000" w:rsidRPr="00BA4F33">
        <w:trPr>
          <w:gridAfter w:val="1"/>
          <w:wAfter w:w="1560" w:type="dxa"/>
          <w:trHeight w:val="120"/>
        </w:trPr>
        <w:tc>
          <w:tcPr>
            <w:tcW w:w="6095" w:type="dxa"/>
            <w:gridSpan w:val="2"/>
          </w:tcPr>
          <w:p w:rsidR="00546265" w:rsidRPr="00BA4F33" w:rsidRDefault="00546265">
            <w:pPr>
              <w:pStyle w:val="Dokumentbeteckning-titel"/>
            </w:pPr>
            <w:r w:rsidRPr="00BA4F33">
              <w:t>Förslag till Europaparlamentets och Rådets direktiv om ändringar av direktiv 2009/138/EG ang. datum för införlivande, tillämpning samt upphävande av vissa direktiv.</w:t>
            </w:r>
          </w:p>
        </w:tc>
      </w:tr>
    </w:tbl>
    <w:p w:rsidR="00546265" w:rsidRPr="00BA4F33" w:rsidRDefault="00546265">
      <w:pPr>
        <w:pStyle w:val="Rubrik1"/>
        <w:numPr>
          <w:ilvl w:val="0"/>
          <w:numId w:val="0"/>
        </w:numPr>
      </w:pPr>
      <w:r w:rsidRPr="00BA4F33">
        <w:t>Sammanfattning</w:t>
      </w:r>
    </w:p>
    <w:p w:rsidR="00546265" w:rsidRPr="00BA4F33" w:rsidRDefault="00546265">
      <w:r w:rsidRPr="00BA4F33">
        <w:t>Förslaget innehåller ändringar av eller tillägg till de datum för införlivande och tillämpning som anges i Solvens II-direktivet. Direktivet rör EU-rättslig reglering på försäkringsområdet. Enligt förslaget ska datumet för införlivandet av Solvens II-direktivet ändras från den 31 oktober 2012 till den 30 juni 2013. Vidare föreslås att datum för upphävande av vissa direktiv (de direktiv som Solvens II-direktivet ersätter) ändras från den 1 november 2012 till den 1 januari 2014. Enligt förslaget ska det vida</w:t>
      </w:r>
      <w:r w:rsidRPr="00BA4F33">
        <w:t>re läggas till i Solvens II-direktivet att direktivet ska tillämpas den 1 januari 2014.</w:t>
      </w:r>
    </w:p>
    <w:p w:rsidR="00546265" w:rsidRPr="00BA4F33" w:rsidRDefault="00546265">
      <w:r w:rsidRPr="00BA4F33">
        <w:t xml:space="preserve">Regeringen anser att de föreslagna datumen för såväl införlivande som tillämpning måste skjutas på framtiden. Regeringen är dock medveten om att de flesta medlemsstaterna kan acceptera de föreslagna datumen.  </w:t>
      </w:r>
    </w:p>
    <w:p w:rsidR="00546265" w:rsidRPr="00BA4F33" w:rsidRDefault="00546265">
      <w:pPr>
        <w:pStyle w:val="Rubrik1"/>
        <w:spacing w:before="480"/>
      </w:pPr>
      <w:r w:rsidRPr="00BA4F33">
        <w:t>Förslaget</w:t>
      </w:r>
    </w:p>
    <w:p w:rsidR="00546265" w:rsidRPr="00BA4F33" w:rsidRDefault="00546265">
      <w:pPr>
        <w:pStyle w:val="Rubrik2"/>
      </w:pPr>
      <w:r w:rsidRPr="00BA4F33">
        <w:t>Ärendets bakgrund</w:t>
      </w:r>
    </w:p>
    <w:p w:rsidR="00546265" w:rsidRPr="00BA4F33" w:rsidRDefault="00546265">
      <w:r w:rsidRPr="00BA4F33">
        <w:t>I november 2009 antogs det s.k. Solvens II-direktivet (2009/138/EG) som utgör en samlad EU-rättslig reglering av försäkringsrörelse. Enligt direktivet ska medlemsstaterna införliva det senast den 31 oktober 2012. Enligt direktivet ska också ett antal gällande EU direktiv inom försäkringsområdet upphävas den 1 november 2012.</w:t>
      </w:r>
    </w:p>
    <w:p w:rsidR="00546265" w:rsidRPr="00BA4F33" w:rsidRDefault="00546265"/>
    <w:p w:rsidR="00546265" w:rsidRPr="00BA4F33" w:rsidRDefault="00546265">
      <w:r w:rsidRPr="00BA4F33">
        <w:lastRenderedPageBreak/>
        <w:t>I januari 2011 lade kommissionen fram ett förslag till direktiv med ändringar i Solvens II-direktivet (Omnibus II-direktivet). Syftet med ändringsdirektivet är bl.a. att anpassa Solvens II-direktivet till den nya tillsynsstrukturen inom EU på finansmarknadsområdet och till de konstitutionella ändringar som skett genom Lissabonfördraget. Förslaget till Omnibus II-direktiv innehåller också ändringar av datum i Solvens II-direktivet ang. införlivande, tillämpning samt upphävande av vissa gällande EU direktiv i</w:t>
      </w:r>
      <w:r w:rsidRPr="00BA4F33">
        <w:t>nom försäkringsområdet. Förslaget om Omnibus II förhandlas för närvarande mellan rådet, Europaparlamentet och kommissionen.</w:t>
      </w:r>
    </w:p>
    <w:p w:rsidR="00546265" w:rsidRPr="00BA4F33" w:rsidRDefault="00546265"/>
    <w:p w:rsidR="00546265" w:rsidRPr="00BA4F33" w:rsidRDefault="00546265">
      <w:r w:rsidRPr="00BA4F33">
        <w:t>Det finns dock en risk att Omnibus II-direktivet inte kommer kunna publiceras före den 31 oktober 2012 då Solvens II-direktivet ska träda ikraft. Ett gap kan således uppstå på så sätt att de nu gällande direktiven upphävs utan att det finns en färdig ny reglering som kan ersätta dem. Kommissionens liggande förslag är därför nödvändigt för att hindra detta s.k. ”legal vacuum” från att uppstå efter den 31 oktober 2012. Det är också viktigt att försäkringsföretag ges tillräcklig med tid till anpassning innan d</w:t>
      </w:r>
      <w:r w:rsidRPr="00BA4F33">
        <w:t xml:space="preserve">e ska börja tillämpa Solvens II-direktivet. </w:t>
      </w:r>
    </w:p>
    <w:p w:rsidR="00546265" w:rsidRPr="00BA4F33" w:rsidRDefault="00546265">
      <w:pPr>
        <w:pStyle w:val="Rubrik2"/>
      </w:pPr>
      <w:r w:rsidRPr="00BA4F33">
        <w:t>Förslagets innehåll</w:t>
      </w:r>
    </w:p>
    <w:p w:rsidR="00546265" w:rsidRPr="00BA4F33" w:rsidRDefault="00546265">
      <w:r w:rsidRPr="00BA4F33">
        <w:t>Förslaget innehåller ändringar av eller tillägg till de datum för införlivande och tillämpning som anges i Solvens II-direktivet. Enligt förslaget ska datumet för införlivandet av Solvens II-direktivet ändras från den 31 oktober 2012 till den 30 juni 2013. Vidare föreslås att datumet för upphävande av de direktiv som ska ersättas av Solvens II-direktivet ändras från den 1 november 2012 till den 1 januari 2014. Enligt förslaget ska det läggas till i Solvens II-direktivet att direktivet ska tillämpas den 1 j</w:t>
      </w:r>
      <w:r w:rsidRPr="00BA4F33">
        <w:t>anuari 2014.</w:t>
      </w:r>
    </w:p>
    <w:p w:rsidR="00546265" w:rsidRPr="00BA4F33" w:rsidRDefault="00546265">
      <w:pPr>
        <w:pStyle w:val="Rubrik2"/>
      </w:pPr>
      <w:r w:rsidRPr="00BA4F33">
        <w:t>Gällande svenska regler och förslagets effekt på dessa</w:t>
      </w:r>
    </w:p>
    <w:p w:rsidR="00546265" w:rsidRPr="00BA4F33" w:rsidRDefault="00546265">
      <w:r w:rsidRPr="00BA4F33">
        <w:t>Solvens II-direktivet har ännu inte genomförts i svensk lagstiftning men detta kommer att ske i huvudsak genom ändringar i försäkringsrörelselagen (2010:2043).</w:t>
      </w:r>
    </w:p>
    <w:p w:rsidR="00546265" w:rsidRPr="00BA4F33" w:rsidRDefault="00546265">
      <w:r w:rsidRPr="00BA4F33">
        <w:t>Kommissionens förslag förväntas dock inte medföra någon komplettering eller revidering av gällande svenska författningar då förslaget handlar enbart om ändringar av eller tillägg till datum i Solvens II-direktivet.</w:t>
      </w:r>
    </w:p>
    <w:p w:rsidR="00546265" w:rsidRPr="00BA4F33" w:rsidRDefault="00546265">
      <w:pPr>
        <w:pStyle w:val="Rubrik2"/>
      </w:pPr>
      <w:r w:rsidRPr="00BA4F33">
        <w:t>Budgetära konsekvenser / Konsekvensanalys</w:t>
      </w:r>
    </w:p>
    <w:p w:rsidR="00546265" w:rsidRPr="00BA4F33" w:rsidRDefault="00546265">
      <w:r w:rsidRPr="00BA4F33">
        <w:t>Bedömningen är att förslaget inte medför några budgetära konsekvenser. Eventuella utgiftsökningar ska dock hanteras inom befintliga ramar.</w:t>
      </w:r>
    </w:p>
    <w:p w:rsidR="00546265" w:rsidRPr="00BA4F33" w:rsidRDefault="00546265">
      <w:pPr>
        <w:pStyle w:val="Rubrik1"/>
      </w:pPr>
      <w:r w:rsidRPr="00BA4F33">
        <w:t>Ståndpunkter</w:t>
      </w:r>
    </w:p>
    <w:p w:rsidR="00546265" w:rsidRPr="00BA4F33" w:rsidRDefault="00546265">
      <w:pPr>
        <w:pStyle w:val="Rubrik2"/>
      </w:pPr>
      <w:r w:rsidRPr="00BA4F33">
        <w:t>Preliminär svensk ståndpunkt</w:t>
      </w:r>
    </w:p>
    <w:p w:rsidR="00546265" w:rsidRPr="00BA4F33" w:rsidRDefault="00546265">
      <w:pPr>
        <w:tabs>
          <w:tab w:val="left" w:pos="2790"/>
        </w:tabs>
      </w:pPr>
      <w:r w:rsidRPr="00BA4F33">
        <w:t xml:space="preserve">Regeringen anser att de föreslagna datumen för såväl införlivande som tillämpning måste skjutas på framtiden. Det föreslagna datumet för införlivande kommer Sverige inte att kunna hålla. De ändringar som görs i Solvens II-direktivet genom förslaget till Omnibus II-direktiv medför att en ytterligare remittering måste ske inom ramen för den svenska lagstiftningsprocessen. Till följd av att förslaget till Omnibus II-direktivet blivit försenat kommer även den svenska lagstiftningsprocessen att bli försenad. </w:t>
      </w:r>
    </w:p>
    <w:p w:rsidR="00546265" w:rsidRPr="00BA4F33" w:rsidRDefault="00546265">
      <w:pPr>
        <w:tabs>
          <w:tab w:val="left" w:pos="2790"/>
        </w:tabs>
      </w:pPr>
      <w:r w:rsidRPr="00BA4F33">
        <w:t xml:space="preserve">Regeringen är dock medvetet om att de flesta medlemsstaterna kan acceptera de föreslagna datumen. </w:t>
      </w:r>
    </w:p>
    <w:p w:rsidR="00546265" w:rsidRPr="00BA4F33" w:rsidRDefault="00546265"/>
    <w:p w:rsidR="00546265" w:rsidRPr="00BA4F33" w:rsidRDefault="00546265">
      <w:pPr>
        <w:pStyle w:val="Rubrik2"/>
      </w:pPr>
      <w:r w:rsidRPr="00BA4F33">
        <w:t>Medlemsstaternas ståndpunkter</w:t>
      </w:r>
    </w:p>
    <w:p w:rsidR="00546265" w:rsidRPr="00BA4F33" w:rsidRDefault="00546265">
      <w:r w:rsidRPr="00BA4F33">
        <w:t>Enligt diskussionerna i rådsarbetsgrupp som behandlar ärendet om Omnibus II, är de föreslagna datumen acceptabla för de flesta medlemsstaterna. Frankrike anser dock att Eiopa (den europeiska försäkrings- och tjänstepensionsmyndigheten) bör ges en månads tid för ev</w:t>
      </w:r>
      <w:bookmarkStart w:id="1" w:name="_GoBack"/>
      <w:bookmarkEnd w:id="1"/>
      <w:r w:rsidRPr="00BA4F33">
        <w:t>entuella bindande medlingar. Frankrike föreslår därmed antingen datumet för införlivandet av Solvens II-direktivet ändras till den 31 maj 2013 eller att datumet för tillämpning av Solvens II-direktivet ändras till den 1 februari 2014.</w:t>
      </w:r>
    </w:p>
    <w:p w:rsidR="00546265" w:rsidRPr="00BA4F33" w:rsidRDefault="00546265">
      <w:pPr>
        <w:pStyle w:val="Rubrik2"/>
      </w:pPr>
      <w:r w:rsidRPr="00BA4F33">
        <w:t>Institutionernas ståndpunkter</w:t>
      </w:r>
    </w:p>
    <w:p w:rsidR="00546265" w:rsidRPr="00BA4F33" w:rsidRDefault="00546265">
      <w:r w:rsidRPr="00BA4F33">
        <w:t>Kommissionen och Europaparlamentet stödjer förslagen..</w:t>
      </w:r>
    </w:p>
    <w:p w:rsidR="00546265" w:rsidRPr="00BA4F33" w:rsidRDefault="00546265">
      <w:pPr>
        <w:pStyle w:val="Rubrik2"/>
      </w:pPr>
      <w:r w:rsidRPr="00BA4F33">
        <w:t>Remissinstansernas ståndpunkter</w:t>
      </w:r>
    </w:p>
    <w:p w:rsidR="00546265" w:rsidRPr="00BA4F33" w:rsidRDefault="00546265"/>
    <w:p w:rsidR="00546265" w:rsidRPr="00BA4F33" w:rsidRDefault="00546265">
      <w:pPr>
        <w:pStyle w:val="Rubrik1"/>
      </w:pPr>
      <w:r w:rsidRPr="00BA4F33">
        <w:t>Förslagets förutsättningar</w:t>
      </w:r>
    </w:p>
    <w:p w:rsidR="00546265" w:rsidRPr="00BA4F33" w:rsidRDefault="00546265">
      <w:pPr>
        <w:pStyle w:val="Rubrik2"/>
      </w:pPr>
      <w:r w:rsidRPr="00BA4F33">
        <w:t>Rättslig grund och beslutsförfarande</w:t>
      </w:r>
    </w:p>
    <w:p w:rsidR="00546265" w:rsidRPr="00BA4F33" w:rsidRDefault="00546265">
      <w:r w:rsidRPr="00BA4F33">
        <w:t>Den rättsliga grunden är artiklarna 53(1) och 62 i EUF-fördraget. Beslut fattas enligt det ordinarie lagstiftningsförfarandet i artikel 294, d.v.s. Europaparlamentet är medbeslutande. Rådet beslutar med kvalificerad majoritet.</w:t>
      </w:r>
    </w:p>
    <w:p w:rsidR="00546265" w:rsidRPr="00BA4F33" w:rsidRDefault="00546265">
      <w:pPr>
        <w:pStyle w:val="Rubrik2"/>
      </w:pPr>
      <w:r w:rsidRPr="00BA4F33">
        <w:t>Subsidiaritets- och proportionalitetsprincipen</w:t>
      </w:r>
    </w:p>
    <w:p w:rsidR="00546265" w:rsidRPr="00BA4F33" w:rsidRDefault="00546265">
      <w:r w:rsidRPr="00BA4F33">
        <w:t>Kommissionen anser att målet med detta förslag inte i tillräcklig utsträckning kan uppnås av medlemsstaterna eftersom bestämmelserna i direktiven inte kan ändras eller upphävas på nationell nivå. Kommissionen anser vidare att ändamålen med förslaget enbart kan uppnås enbart genom en EU åtgärd eftersom förslaget ändrar en rättsakt i den gällande EU lagstiftningen. Detta är något som inte kan göras av medlemsstaterna själva. Kommissionen gör därmed bedömningen att förslaget är i enlighet med subsidiaritetspr</w:t>
      </w:r>
      <w:r w:rsidRPr="00BA4F33">
        <w:t>incipen.</w:t>
      </w:r>
    </w:p>
    <w:p w:rsidR="00546265" w:rsidRPr="00BA4F33" w:rsidRDefault="00546265"/>
    <w:p w:rsidR="00546265" w:rsidRPr="00BA4F33" w:rsidRDefault="00546265">
      <w:r w:rsidRPr="00BA4F33">
        <w:t>Kommissionen gör även bedömningen av att förslaget är i enlighet med proportionalitetsprincipen eftersom förslaget enbart ändrar enbart ett antal datum i Solvens II-direktivet och inte substansen i den gällande EU-lagstiftningen.</w:t>
      </w:r>
    </w:p>
    <w:p w:rsidR="00546265" w:rsidRPr="00BA4F33" w:rsidRDefault="00546265"/>
    <w:p w:rsidR="00546265" w:rsidRPr="00BA4F33" w:rsidRDefault="00546265">
      <w:r w:rsidRPr="00BA4F33">
        <w:t>Sverige delar kommissionens bedömningar.</w:t>
      </w:r>
    </w:p>
    <w:p w:rsidR="00546265" w:rsidRPr="00BA4F33" w:rsidRDefault="00546265">
      <w:pPr>
        <w:pStyle w:val="Rubrik1"/>
      </w:pPr>
      <w:r w:rsidRPr="00BA4F33">
        <w:t>Övrigt</w:t>
      </w:r>
    </w:p>
    <w:p w:rsidR="00546265" w:rsidRPr="00BA4F33" w:rsidRDefault="00546265">
      <w:pPr>
        <w:pStyle w:val="Rubrik2"/>
      </w:pPr>
      <w:r w:rsidRPr="00BA4F33">
        <w:t>Fortsatt behandling av ärendet</w:t>
      </w:r>
    </w:p>
    <w:p w:rsidR="00546265" w:rsidRPr="00BA4F33" w:rsidRDefault="00546265">
      <w:r w:rsidRPr="00BA4F33">
        <w:t>Ärendet kommer att behandlas i den rådsarbetsgrupp som för närvarande behandlar ärendet om kommissionens förslag till Omnibus II-direktiv. Eftersom Omnibus II-ärendet är föremål för trilog-förhandlingar, kommer även detta ärende förhandlas med Europaparlamentet under samma process.</w:t>
      </w:r>
    </w:p>
    <w:p w:rsidR="00546265" w:rsidRPr="00BA4F33" w:rsidRDefault="00546265">
      <w:r w:rsidRPr="00BA4F33">
        <w:t>Ärendet har behandlats som en I-punkt på Coreper den 6 juni 2012 (se särskilt annoteringsPM). Det danska ordförandeskapet avser att avsluta förhandlingarna om detta ärende så snart som det är möjligt.</w:t>
      </w:r>
    </w:p>
    <w:sectPr w:rsidR="00546265" w:rsidRPr="00BA4F33">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6265" w:rsidRPr="00BA4F33" w:rsidRDefault="00546265">
      <w:r w:rsidRPr="00BA4F33">
        <w:separator/>
      </w:r>
    </w:p>
  </w:endnote>
  <w:endnote w:type="continuationSeparator" w:id="0">
    <w:p w:rsidR="00546265" w:rsidRPr="00BA4F33" w:rsidRDefault="00546265">
      <w:r w:rsidRPr="00BA4F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265" w:rsidRPr="00BA4F33" w:rsidRDefault="00546265">
    <w:pPr>
      <w:pStyle w:val="SidfotH"/>
      <w:framePr w:wrap="around"/>
    </w:pPr>
    <w:r w:rsidRPr="00BA4F33">
      <w:fldChar w:fldCharType="begin" w:fldLock="1"/>
    </w:r>
    <w:r w:rsidRPr="00BA4F33">
      <w:instrText xml:space="preserve"> PAGE </w:instrText>
    </w:r>
    <w:r w:rsidRPr="00BA4F33">
      <w:fldChar w:fldCharType="separate"/>
    </w:r>
    <w:r w:rsidRPr="00BA4F33">
      <w:t>4</w:t>
    </w:r>
    <w:r w:rsidRPr="00BA4F33">
      <w:fldChar w:fldCharType="end"/>
    </w:r>
  </w:p>
  <w:p w:rsidR="00546265" w:rsidRPr="00BA4F33" w:rsidRDefault="0054626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265" w:rsidRPr="00BA4F33" w:rsidRDefault="00546265">
    <w:pPr>
      <w:pStyle w:val="SidfotH"/>
      <w:framePr w:wrap="around"/>
    </w:pPr>
    <w:r w:rsidRPr="00BA4F33">
      <w:fldChar w:fldCharType="begin" w:fldLock="1"/>
    </w:r>
    <w:r w:rsidRPr="00BA4F33">
      <w:instrText xml:space="preserve"> PAGE </w:instrText>
    </w:r>
    <w:r w:rsidRPr="00BA4F33">
      <w:fldChar w:fldCharType="separate"/>
    </w:r>
    <w:r w:rsidRPr="00BA4F33">
      <w:t>1</w:t>
    </w:r>
    <w:r w:rsidRPr="00BA4F33">
      <w:fldChar w:fldCharType="end"/>
    </w:r>
  </w:p>
  <w:p w:rsidR="00546265" w:rsidRPr="00BA4F33" w:rsidRDefault="00546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6265" w:rsidRPr="00BA4F33" w:rsidRDefault="00546265">
      <w:r w:rsidRPr="00BA4F33">
        <w:separator/>
      </w:r>
    </w:p>
  </w:footnote>
  <w:footnote w:type="continuationSeparator" w:id="0">
    <w:p w:rsidR="00546265" w:rsidRPr="00BA4F33" w:rsidRDefault="00546265">
      <w:r w:rsidRPr="00BA4F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265" w:rsidRPr="00BA4F33" w:rsidRDefault="00546265">
    <w:pPr>
      <w:pStyle w:val="Kantrubrik"/>
      <w:framePr w:h="1157" w:hRule="exact" w:wrap="around" w:y="738"/>
    </w:pPr>
    <w:r w:rsidRPr="00BA4F33">
      <w:t>2011/12:FPM154</w:t>
    </w:r>
  </w:p>
  <w:p w:rsidR="00546265" w:rsidRPr="00BA4F33" w:rsidRDefault="0054626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6265" w:rsidRPr="00BA4F33" w:rsidRDefault="00BA4F33">
    <w:pPr>
      <w:pStyle w:val="Sidhuvud"/>
    </w:pPr>
    <w:r w:rsidRPr="00BA4F3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6265" w:rsidRDefault="0054626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6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546265" w:rsidRDefault="00546265">
                    <w:pPr>
                      <w:pStyle w:val="Logo"/>
                    </w:pPr>
                    <w:r>
                      <w:object w:dxaOrig="840" w:dyaOrig="1545">
                        <v:shape id="_x0000_i1025" type="#_x0000_t75" style="width:42pt;height:77.15pt" filled="t">
                          <v:imagedata r:id="rId1" o:title=""/>
                        </v:shape>
                        <o:OLEObject Type="Embed" ProgID="Word.Picture.8" ShapeID="_x0000_i1025" DrawAspect="Content" ObjectID="_18275166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946887194">
    <w:abstractNumId w:val="4"/>
  </w:num>
  <w:num w:numId="2" w16cid:durableId="1132748708">
    <w:abstractNumId w:val="1"/>
  </w:num>
  <w:num w:numId="3" w16cid:durableId="1549416335">
    <w:abstractNumId w:val="2"/>
  </w:num>
  <w:num w:numId="4" w16cid:durableId="595407523">
    <w:abstractNumId w:val="3"/>
  </w:num>
  <w:num w:numId="5" w16cid:durableId="1610356394">
    <w:abstractNumId w:val="5"/>
  </w:num>
  <w:num w:numId="6" w16cid:durableId="58978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13"/>
    <w:docVar w:name="Ar" w:val="2011/12"/>
    <w:docVar w:name="Dep" w:val="Finansdepartementet"/>
    <w:docVar w:name="DepWeb" w:val="Finansdepartementet"/>
    <w:docVar w:name="GDB1" w:val="KOM(2012) 217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ar av direktiv 2009/138/EG ang. datum för införlivande, tillämpning samt upphävande av vissa direktiv."/>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217 slutlig"/>
    <w:docVar w:name="Nr" w:val="154"/>
    <w:docVar w:name="RD_APPVERSION" w:val="3.00"/>
    <w:docVar w:name="Rub" w:val="Ändringar av datum i Solvens II-direktivet"/>
    <w:docVar w:name="UppDat" w:val="2012-06-13"/>
    <w:docVar w:name="Utsk" w:val="Finansutskottet"/>
  </w:docVars>
  <w:rsids>
    <w:rsidRoot w:val="00B537DA"/>
    <w:rsid w:val="00546265"/>
    <w:rsid w:val="00B537DA"/>
    <w:rsid w:val="00BA4F3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12C5B2-F7EE-43F5-A9B7-098300D6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922</Words>
  <Characters>5895</Characters>
  <Application>Microsoft Office Word</Application>
  <DocSecurity>4</DocSecurity>
  <Lines>120</Lines>
  <Paragraphs>49</Paragraphs>
  <ScaleCrop>false</ScaleCrop>
  <HeadingPairs>
    <vt:vector size="2" baseType="variant">
      <vt:variant>
        <vt:lpstr>Rubrik</vt:lpstr>
      </vt:variant>
      <vt:variant>
        <vt:i4>1</vt:i4>
      </vt:variant>
    </vt:vector>
  </HeadingPairs>
  <TitlesOfParts>
    <vt:vector size="1" baseType="lpstr">
      <vt:lpstr>FPM_201112__154</vt:lpstr>
    </vt:vector>
  </TitlesOfParts>
  <Company>RD-DTSL</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FPM_201112__154</dc:title>
  <dc:subject>FPM_201112__154</dc:subject>
  <dc:creator>Riksdagen</dc:creator>
  <cp:keywords>Riksdagen</cp:keywords>
  <dc:description>KP2004-version.  Ändringarna påverkar enbart användningen inom Riksdagen. 050429 nya departement DTSL.</dc:description>
  <cp:lastModifiedBy>Lars Brink</cp:lastModifiedBy>
  <cp:revision>2</cp:revision>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154</vt:lpwstr>
  </property>
  <property fmtid="{D5CDD505-2E9C-101B-9397-08002B2CF9AE}" pid="4" name="GDB1">
    <vt:lpwstr>KOM(2012) 217 slutlig</vt:lpwstr>
  </property>
  <property fmtid="{D5CDD505-2E9C-101B-9397-08002B2CF9AE}" pid="5" name="GDT1">
    <vt:lpwstr> </vt:lpwstr>
  </property>
  <property fmtid="{D5CDD505-2E9C-101B-9397-08002B2CF9AE}" pid="6" name="Dep">
    <vt:lpwstr>Finansdepartementet</vt:lpwstr>
  </property>
  <property fmtid="{D5CDD505-2E9C-101B-9397-08002B2CF9AE}" pid="7" name="Rub">
    <vt:lpwstr>Ändringar av datum i Solvens II-direktivet</vt:lpwstr>
  </property>
  <property fmtid="{D5CDD505-2E9C-101B-9397-08002B2CF9AE}" pid="8" name="UppDat">
    <vt:lpwstr>2012-06-13</vt:lpwstr>
  </property>
  <property fmtid="{D5CDD505-2E9C-101B-9397-08002B2CF9AE}" pid="9" name="AnkDat">
    <vt:lpwstr>2012-06-13</vt:lpwstr>
  </property>
  <property fmtid="{D5CDD505-2E9C-101B-9397-08002B2CF9AE}" pid="10" name="Utsk">
    <vt:lpwstr>Finansutskottet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3;0;0;0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0x0101001E4F59D4060CC947BC4B773EC3F5E6A3</vt:lpwstr>
  </property>
  <property fmtid="{D5CDD505-2E9C-101B-9397-08002B2CF9AE}" pid="43" name="_dlc_DocIdItemGuid">
    <vt:lpwstr>7e67a917-1a44-45ff-b648-58e600dec158</vt:lpwstr>
  </property>
  <property fmtid="{D5CDD505-2E9C-101B-9397-08002B2CF9AE}" pid="44" name="RKOrdnaCheckInComment">
    <vt:lpwstr/>
  </property>
  <property fmtid="{D5CDD505-2E9C-101B-9397-08002B2CF9AE}" pid="45" name="RKOrdnaClass">
    <vt:lpwstr/>
  </property>
  <property fmtid="{D5CDD505-2E9C-101B-9397-08002B2CF9AE}" pid="46" name="_dlc_DocId">
    <vt:lpwstr>JE6N4JFJXNNF-9-47846</vt:lpwstr>
  </property>
  <property fmtid="{D5CDD505-2E9C-101B-9397-08002B2CF9AE}" pid="47" name="_dlc_DocIdUrl">
    <vt:lpwstr>http://rkdhs-sb/enhet/EUKansli/_layouts/DocIdRedir.aspx?ID=JE6N4JFJXNNF-9-47846, JE6N4JFJXNNF-9-47846</vt:lpwstr>
  </property>
  <property fmtid="{D5CDD505-2E9C-101B-9397-08002B2CF9AE}" pid="48" name="Integrations- och jämställdhetsdepartementet">
    <vt:lpwstr>NEJ</vt:lpwstr>
  </property>
  <property fmtid="{D5CDD505-2E9C-101B-9397-08002B2CF9AE}" pid="49" name="Jordbruksdepartementet">
    <vt:lpwstr>NEJ</vt:lpwstr>
  </property>
</Properties>
</file>