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A39" w:rsidRPr="00123357" w:rsidRDefault="00E64A39">
      <w:pPr>
        <w:pStyle w:val="1NNote"/>
      </w:pPr>
      <w:r w:rsidRPr="00123357">
        <w:t>IP/06/811</w:t>
      </w:r>
    </w:p>
    <w:p w:rsidR="00E64A39" w:rsidRPr="00123357" w:rsidRDefault="00E64A39">
      <w:pPr>
        <w:pStyle w:val="2Date"/>
        <w:rPr>
          <w:lang w:val="sv-SE"/>
        </w:rPr>
      </w:pPr>
      <w:r w:rsidRPr="00123357">
        <w:rPr>
          <w:lang w:val="sv-SE"/>
        </w:rPr>
        <w:t>Brussels, 21 June 2006</w:t>
      </w:r>
    </w:p>
    <w:p w:rsidR="00E64A39" w:rsidRPr="00123357" w:rsidRDefault="00E64A39">
      <w:pPr>
        <w:pStyle w:val="3Titre"/>
        <w:rPr>
          <w:kern w:val="36"/>
          <w:lang w:val="sv-SE"/>
        </w:rPr>
      </w:pPr>
      <w:r w:rsidRPr="00123357">
        <w:rPr>
          <w:kern w:val="36"/>
          <w:lang w:val="sv-SE"/>
        </w:rPr>
        <w:t xml:space="preserve">Commission assesses Portuguese action to correct excessive deficit by 2008 </w:t>
      </w:r>
    </w:p>
    <w:p w:rsidR="00E64A39" w:rsidRPr="00123357" w:rsidRDefault="00E64A39">
      <w:pPr>
        <w:pStyle w:val="4Chapeau"/>
        <w:rPr>
          <w:lang w:val="sv-SE"/>
        </w:rPr>
      </w:pPr>
      <w:r w:rsidRPr="00123357">
        <w:rPr>
          <w:lang w:val="sv-SE"/>
        </w:rPr>
        <w:t>The European Commission considers that Portugal is on track to correct its excessive deficit by 2008 as recommended by the Council in September 2005, provided it strictly implements the 2006 budget and pursues a rigorous budgetary consolidation strategy in 2007 and following years. At present it does not appear necessary to recommend any further steps under the excessive deficit procedure. The Commission will continue to monitor the situation closely, particularly in light of the significant risks and unce</w:t>
      </w:r>
      <w:r w:rsidRPr="00123357">
        <w:rPr>
          <w:lang w:val="sv-SE"/>
        </w:rPr>
        <w:t>rtainties surrounding the evolution of the budget.</w:t>
      </w:r>
    </w:p>
    <w:p w:rsidR="00E64A39" w:rsidRPr="00123357" w:rsidRDefault="00E64A39">
      <w:pPr>
        <w:pStyle w:val="5Normal"/>
        <w:rPr>
          <w:i/>
          <w:lang w:val="sv-SE"/>
        </w:rPr>
      </w:pPr>
      <w:r w:rsidRPr="00123357">
        <w:rPr>
          <w:lang w:val="sv-SE"/>
        </w:rPr>
        <w:t>"</w:t>
      </w:r>
      <w:r w:rsidRPr="00123357">
        <w:rPr>
          <w:i/>
          <w:lang w:val="sv-SE"/>
        </w:rPr>
        <w:t>Portugal has adopted a comprehensive and courageous package of measures since mid-2005 to reduce its excessive deficit, but there remain significant risks and uncertainties, especially as some important measures have yet to be implemented. The consolidation efforts need to be stepped up, particularly on the expenditure side to put the public finances back on a firm and sound ground as a pre-condition for more and stronger economic growth and for the creation of jobs</w:t>
      </w:r>
      <w:r w:rsidRPr="00123357">
        <w:rPr>
          <w:lang w:val="sv-SE"/>
        </w:rPr>
        <w:t xml:space="preserve">", said Joaquín Almunia, Commissioner for </w:t>
      </w:r>
      <w:r w:rsidRPr="00123357">
        <w:rPr>
          <w:lang w:val="sv-SE"/>
        </w:rPr>
        <w:t xml:space="preserve">Economic and Monetary Affairs. </w:t>
      </w:r>
    </w:p>
    <w:p w:rsidR="00E64A39" w:rsidRPr="00123357" w:rsidRDefault="00E64A39">
      <w:pPr>
        <w:pStyle w:val="5Normal"/>
        <w:spacing w:before="120"/>
        <w:rPr>
          <w:lang w:val="sv-SE"/>
        </w:rPr>
      </w:pPr>
      <w:r w:rsidRPr="00123357">
        <w:rPr>
          <w:lang w:val="sv-SE"/>
        </w:rPr>
        <w:t>On 20 September 2005, the Council decided that an excessive deficit existed in Portugal and recommended that the government take measures, before 19 March 2006, to “</w:t>
      </w:r>
      <w:r w:rsidRPr="00123357">
        <w:rPr>
          <w:i/>
          <w:lang w:val="sv-SE"/>
        </w:rPr>
        <w:t>limit the deterioration of the fiscal position in 2005</w:t>
      </w:r>
      <w:r w:rsidRPr="00123357">
        <w:rPr>
          <w:lang w:val="sv-SE"/>
        </w:rPr>
        <w:t>”, “</w:t>
      </w:r>
      <w:r w:rsidRPr="00123357">
        <w:rPr>
          <w:i/>
          <w:lang w:val="sv-SE"/>
        </w:rPr>
        <w:t>ensure a sustained and marked correction of the cyclically-adjusted deficit, excluding one-off and other temporary measures, by (</w:t>
      </w:r>
      <w:r w:rsidRPr="00123357">
        <w:rPr>
          <w:lang w:val="sv-SE"/>
        </w:rPr>
        <w:t xml:space="preserve">reducing the deficit by) </w:t>
      </w:r>
      <w:r w:rsidRPr="00123357">
        <w:rPr>
          <w:i/>
          <w:lang w:val="sv-SE"/>
        </w:rPr>
        <w:t xml:space="preserve">1.5% of GDP in 2006, followed by a further significant decrease of, at least, ¾% of GDP in each of the two subsequent years”. </w:t>
      </w:r>
      <w:r w:rsidRPr="00123357">
        <w:rPr>
          <w:lang w:val="sv-SE"/>
        </w:rPr>
        <w:t>The Council also called on Portugal to “</w:t>
      </w:r>
      <w:r w:rsidRPr="00123357">
        <w:rPr>
          <w:i/>
          <w:lang w:val="sv-SE"/>
        </w:rPr>
        <w:t xml:space="preserve">contain and reduce expenditure over the coming years; seize any opportunity to accelerate the reduction of the budget deficit” </w:t>
      </w:r>
      <w:r w:rsidRPr="00123357">
        <w:rPr>
          <w:lang w:val="sv-SE"/>
        </w:rPr>
        <w:t xml:space="preserve">and to </w:t>
      </w:r>
      <w:r w:rsidRPr="00123357">
        <w:rPr>
          <w:lang w:val="sv-SE"/>
        </w:rPr>
        <w:t>“</w:t>
      </w:r>
      <w:r w:rsidRPr="00123357">
        <w:rPr>
          <w:i/>
          <w:lang w:val="sv-SE"/>
        </w:rPr>
        <w:t>stand ready to adopt the additional measures which may be necessary to achieve the correction of the excessive deficit by 2008</w:t>
      </w:r>
      <w:r w:rsidRPr="00123357">
        <w:rPr>
          <w:lang w:val="sv-SE"/>
        </w:rPr>
        <w:t>". It requested Portugal to "</w:t>
      </w:r>
      <w:r w:rsidRPr="00123357">
        <w:rPr>
          <w:i/>
          <w:lang w:val="sv-SE"/>
        </w:rPr>
        <w:t xml:space="preserve">ensure that the government gross debt ratio is brought onto a firm downward path and approaches the reference value at a satisfactory pace". </w:t>
      </w:r>
      <w:r w:rsidRPr="00123357">
        <w:rPr>
          <w:lang w:val="sv-SE"/>
        </w:rPr>
        <w:t>Lastly, the Council invited the Portuguese authorities to "</w:t>
      </w:r>
      <w:r w:rsidRPr="00123357">
        <w:rPr>
          <w:i/>
          <w:lang w:val="sv-SE"/>
        </w:rPr>
        <w:t>further improve the collection and processing of general government data</w:t>
      </w:r>
      <w:r w:rsidRPr="00123357">
        <w:rPr>
          <w:lang w:val="sv-SE"/>
        </w:rPr>
        <w:t>" and to achieve a balanced budget in the medium term.</w:t>
      </w:r>
    </w:p>
    <w:p w:rsidR="00E64A39" w:rsidRPr="00123357" w:rsidRDefault="00E64A39">
      <w:pPr>
        <w:pStyle w:val="5Normal"/>
        <w:rPr>
          <w:bCs/>
          <w:iCs/>
          <w:lang w:val="sv-SE"/>
        </w:rPr>
      </w:pPr>
      <w:r w:rsidRPr="00123357">
        <w:rPr>
          <w:lang w:val="sv-SE"/>
        </w:rPr>
        <w:t>In a Communication to the Cou</w:t>
      </w:r>
      <w:r w:rsidRPr="00123357">
        <w:rPr>
          <w:lang w:val="sv-SE"/>
        </w:rPr>
        <w:t xml:space="preserve">ncil adopted today, the Commission considers that the action taken by </w:t>
      </w:r>
      <w:r w:rsidRPr="00123357">
        <w:rPr>
          <w:bCs/>
          <w:iCs/>
          <w:lang w:val="sv-SE"/>
        </w:rPr>
        <w:t>Portugal represents adequate progress towards the correction of the excessive deficit within the set time limit. In particular, Portugal (i) achieved the deficit target for 2005 (6% of GDP); (ii) adopted a comprehensive package of corrective measures whose full planed effect should deliver the required structural adjustment  this year; (iii) confirmed the deficit target for 2008 below 3% of GDP and a structural adjustment path that follow</w:t>
      </w:r>
      <w:r w:rsidRPr="00123357">
        <w:rPr>
          <w:bCs/>
          <w:iCs/>
          <w:lang w:val="sv-SE"/>
        </w:rPr>
        <w:t xml:space="preserve">s the Council recommendation; (iv) implemented expenditure reforms and kept fiscal targets in spite of less benign GDP growth prospects; (v) plans to return government debt to a declining path as from 2008; and (vi) has taken action to improve statistics. </w:t>
      </w:r>
    </w:p>
    <w:p w:rsidR="00E64A39" w:rsidRPr="00123357" w:rsidRDefault="00E64A39">
      <w:pPr>
        <w:pStyle w:val="5Normal"/>
        <w:rPr>
          <w:bCs/>
          <w:iCs/>
          <w:lang w:val="sv-SE"/>
        </w:rPr>
      </w:pPr>
      <w:r w:rsidRPr="00123357">
        <w:rPr>
          <w:bCs/>
          <w:iCs/>
          <w:lang w:val="sv-SE"/>
        </w:rPr>
        <w:br w:type="page"/>
      </w:r>
      <w:r w:rsidRPr="00123357">
        <w:rPr>
          <w:bCs/>
          <w:iCs/>
          <w:lang w:val="sv-SE"/>
        </w:rPr>
        <w:lastRenderedPageBreak/>
        <w:t>Portugal particularly increased its standard VAT rate to 21% from 19%, raised taxes on oil and tobacco products and improved the collection of tax revenues, something which is already wielding effects. The 2006 budget also aims at stabilising expenditure in real terms namely through a freeze of transfers to local governments, stricter hiring rules for civil servants as well as a freeze on automatic career promotions. More permanent measures include the phasing out of the civil servants’ pension scheme and t</w:t>
      </w:r>
      <w:r w:rsidRPr="00123357">
        <w:rPr>
          <w:bCs/>
          <w:iCs/>
          <w:lang w:val="sv-SE"/>
        </w:rPr>
        <w:t xml:space="preserve">heir integration into the general regime as well as health-expenditure cuts. </w:t>
      </w:r>
    </w:p>
    <w:p w:rsidR="00E64A39" w:rsidRPr="00123357" w:rsidRDefault="00E64A39">
      <w:pPr>
        <w:pStyle w:val="5Normal"/>
        <w:rPr>
          <w:bCs/>
          <w:iCs/>
          <w:lang w:val="sv-SE"/>
        </w:rPr>
      </w:pPr>
      <w:r w:rsidRPr="00123357">
        <w:rPr>
          <w:bCs/>
          <w:iCs/>
          <w:lang w:val="sv-SE"/>
        </w:rPr>
        <w:t xml:space="preserve">While there remain uncertainties about the effectiveness of the expenditure- containment measures and mechanisms, preliminary data on budgetary execution suggest that the plans have been broadly observed so far this year. </w:t>
      </w:r>
    </w:p>
    <w:p w:rsidR="00E64A39" w:rsidRPr="00123357" w:rsidRDefault="00E64A39">
      <w:pPr>
        <w:pStyle w:val="5Normal"/>
        <w:rPr>
          <w:lang w:val="sv-SE"/>
        </w:rPr>
      </w:pPr>
      <w:r w:rsidRPr="00123357">
        <w:rPr>
          <w:bCs/>
          <w:iCs/>
          <w:lang w:val="sv-SE"/>
        </w:rPr>
        <w:t xml:space="preserve">As a result, the Commission considers that no further steps under the excessive deficit procedure are needed at present. At the same time, it stresses that there are significant risks and uncertainties surrounding the objective of correcting the excessive deficit by 2008 – the chief proviso being that the budgetary outcomes can be achieved only if all the announced corrective measures are effectively implemented. It notes that, should the planned measures prove ineffective, further corrective efforts will </w:t>
      </w:r>
      <w:r w:rsidRPr="00123357">
        <w:rPr>
          <w:bCs/>
          <w:iCs/>
          <w:lang w:val="sv-SE"/>
        </w:rPr>
        <w:t>be needed in order to attain the fiscal targets. The Commission will continue to monitor budgetary developments in Portugal closely, in particular in the light of the fragile situation of its public finances</w:t>
      </w:r>
      <w:r w:rsidRPr="00123357">
        <w:rPr>
          <w:lang w:val="sv-SE"/>
        </w:rPr>
        <w:t xml:space="preserve">. </w:t>
      </w:r>
    </w:p>
    <w:p w:rsidR="00E64A39" w:rsidRPr="00123357" w:rsidRDefault="00E64A39">
      <w:pPr>
        <w:pStyle w:val="5Normal"/>
        <w:spacing w:after="0"/>
        <w:rPr>
          <w:lang w:val="sv-SE"/>
        </w:rPr>
      </w:pPr>
      <w:r w:rsidRPr="00123357">
        <w:rPr>
          <w:lang w:val="sv-SE"/>
        </w:rPr>
        <w:t>The Commission’s communication to the Council is available at:</w:t>
      </w:r>
    </w:p>
    <w:p w:rsidR="00E64A39" w:rsidRPr="00123357" w:rsidRDefault="00E64A39">
      <w:pPr>
        <w:pStyle w:val="5Normal"/>
        <w:rPr>
          <w:sz w:val="20"/>
          <w:lang w:val="sv-SE"/>
        </w:rPr>
      </w:pPr>
      <w:hyperlink r:id="rId7" w:history="1">
        <w:r w:rsidRPr="00123357">
          <w:rPr>
            <w:rStyle w:val="Hyperlnk"/>
            <w:sz w:val="20"/>
            <w:lang w:val="sv-SE"/>
          </w:rPr>
          <w:t>http://www.europa.eu.i</w:t>
        </w:r>
        <w:r w:rsidRPr="00123357">
          <w:rPr>
            <w:rStyle w:val="Hyperlnk"/>
            <w:sz w:val="20"/>
            <w:lang w:val="sv-SE"/>
          </w:rPr>
          <w:t>n</w:t>
        </w:r>
        <w:r w:rsidRPr="00123357">
          <w:rPr>
            <w:rStyle w:val="Hyperlnk"/>
            <w:sz w:val="20"/>
            <w:lang w:val="sv-SE"/>
          </w:rPr>
          <w:t>t/comm/economy_finance/about/activitie</w:t>
        </w:r>
        <w:r w:rsidRPr="00123357">
          <w:rPr>
            <w:rStyle w:val="Hyperlnk"/>
            <w:sz w:val="20"/>
            <w:lang w:val="sv-SE"/>
          </w:rPr>
          <w:t>s</w:t>
        </w:r>
        <w:r w:rsidRPr="00123357">
          <w:rPr>
            <w:rStyle w:val="Hyperlnk"/>
            <w:sz w:val="20"/>
            <w:lang w:val="sv-SE"/>
          </w:rPr>
          <w:t>/sgp/edp/edppt_en.htm</w:t>
        </w:r>
      </w:hyperlink>
      <w:r w:rsidRPr="00123357">
        <w:rPr>
          <w:sz w:val="20"/>
          <w:lang w:val="sv-SE"/>
        </w:rPr>
        <w:t xml:space="preserve"> </w:t>
      </w:r>
    </w:p>
    <w:p w:rsidR="00E64A39" w:rsidRPr="00123357" w:rsidRDefault="00E64A39">
      <w:pPr>
        <w:pStyle w:val="5Normal"/>
        <w:rPr>
          <w:lang w:val="sv-SE"/>
        </w:rPr>
      </w:pPr>
      <w:r w:rsidRPr="00123357">
        <w:rPr>
          <w:lang w:val="sv-SE"/>
        </w:rPr>
        <w:t xml:space="preserve">The following table compares Portugal’s budgetary targets contained in the December and June 2005 Stability Programmes as well as the Commission’s services spring economic forecasts of May 8 this year.  </w:t>
      </w:r>
    </w:p>
    <w:p w:rsidR="00E64A39" w:rsidRPr="00123357" w:rsidRDefault="00E64A39">
      <w:pPr>
        <w:jc w:val="both"/>
      </w:pPr>
      <w:r w:rsidRPr="00123357">
        <w:br w:type="page"/>
      </w:r>
    </w:p>
    <w:p w:rsidR="00E64A39" w:rsidRPr="00123357" w:rsidRDefault="00E64A39">
      <w:pPr>
        <w:spacing w:after="120"/>
        <w:rPr>
          <w:b/>
          <w:sz w:val="18"/>
          <w:szCs w:val="18"/>
        </w:rPr>
      </w:pPr>
      <w:r w:rsidRPr="00123357">
        <w:rPr>
          <w:b/>
          <w:sz w:val="18"/>
          <w:szCs w:val="18"/>
        </w:rPr>
        <w:t>Comparison of key macroeconomic and budgetary projections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580"/>
        <w:gridCol w:w="729"/>
        <w:gridCol w:w="764"/>
        <w:gridCol w:w="763"/>
        <w:gridCol w:w="764"/>
        <w:gridCol w:w="763"/>
        <w:gridCol w:w="727"/>
      </w:tblGrid>
      <w:tr w:rsidR="00000000" w:rsidRPr="00123357">
        <w:trPr>
          <w:trHeight w:val="245"/>
        </w:trPr>
        <w:tc>
          <w:tcPr>
            <w:tcW w:w="3764" w:type="dxa"/>
            <w:gridSpan w:val="2"/>
            <w:tcBorders>
              <w:top w:val="double" w:sz="4" w:space="0" w:color="auto"/>
              <w:left w:val="double" w:sz="4" w:space="0" w:color="auto"/>
              <w:bottom w:val="single" w:sz="12" w:space="0" w:color="auto"/>
            </w:tcBorders>
            <w:vAlign w:val="center"/>
          </w:tcPr>
          <w:p w:rsidR="00E64A39" w:rsidRPr="00123357" w:rsidRDefault="00E64A39">
            <w:pPr>
              <w:rPr>
                <w:sz w:val="18"/>
                <w:szCs w:val="18"/>
              </w:rPr>
            </w:pPr>
          </w:p>
        </w:tc>
        <w:tc>
          <w:tcPr>
            <w:tcW w:w="741" w:type="dxa"/>
            <w:tcBorders>
              <w:top w:val="double" w:sz="4" w:space="0" w:color="auto"/>
              <w:bottom w:val="single" w:sz="12" w:space="0" w:color="auto"/>
            </w:tcBorders>
            <w:vAlign w:val="center"/>
          </w:tcPr>
          <w:p w:rsidR="00E64A39" w:rsidRPr="00123357" w:rsidRDefault="00E64A39">
            <w:pPr>
              <w:jc w:val="center"/>
              <w:rPr>
                <w:b/>
                <w:sz w:val="18"/>
                <w:szCs w:val="18"/>
              </w:rPr>
            </w:pPr>
            <w:r w:rsidRPr="00123357">
              <w:rPr>
                <w:b/>
                <w:sz w:val="18"/>
                <w:szCs w:val="18"/>
              </w:rPr>
              <w:t>2004</w:t>
            </w:r>
          </w:p>
        </w:tc>
        <w:tc>
          <w:tcPr>
            <w:tcW w:w="779" w:type="dxa"/>
            <w:tcBorders>
              <w:top w:val="double" w:sz="4" w:space="0" w:color="auto"/>
              <w:bottom w:val="single" w:sz="12" w:space="0" w:color="auto"/>
            </w:tcBorders>
            <w:vAlign w:val="center"/>
          </w:tcPr>
          <w:p w:rsidR="00E64A39" w:rsidRPr="00123357" w:rsidRDefault="00E64A39">
            <w:pPr>
              <w:jc w:val="center"/>
              <w:rPr>
                <w:b/>
                <w:sz w:val="18"/>
                <w:szCs w:val="18"/>
              </w:rPr>
            </w:pPr>
            <w:r w:rsidRPr="00123357">
              <w:rPr>
                <w:b/>
                <w:sz w:val="18"/>
                <w:szCs w:val="18"/>
              </w:rPr>
              <w:t>2005</w:t>
            </w:r>
          </w:p>
        </w:tc>
        <w:tc>
          <w:tcPr>
            <w:tcW w:w="778" w:type="dxa"/>
            <w:tcBorders>
              <w:top w:val="double" w:sz="4" w:space="0" w:color="auto"/>
              <w:bottom w:val="single" w:sz="12" w:space="0" w:color="auto"/>
            </w:tcBorders>
            <w:vAlign w:val="center"/>
          </w:tcPr>
          <w:p w:rsidR="00E64A39" w:rsidRPr="00123357" w:rsidRDefault="00E64A39">
            <w:pPr>
              <w:jc w:val="center"/>
              <w:rPr>
                <w:b/>
                <w:sz w:val="18"/>
                <w:szCs w:val="18"/>
              </w:rPr>
            </w:pPr>
            <w:r w:rsidRPr="00123357">
              <w:rPr>
                <w:b/>
                <w:sz w:val="18"/>
                <w:szCs w:val="18"/>
              </w:rPr>
              <w:t>2006</w:t>
            </w:r>
          </w:p>
        </w:tc>
        <w:tc>
          <w:tcPr>
            <w:tcW w:w="779" w:type="dxa"/>
            <w:tcBorders>
              <w:top w:val="double" w:sz="4" w:space="0" w:color="auto"/>
              <w:bottom w:val="single" w:sz="12" w:space="0" w:color="auto"/>
            </w:tcBorders>
            <w:vAlign w:val="center"/>
          </w:tcPr>
          <w:p w:rsidR="00E64A39" w:rsidRPr="00123357" w:rsidRDefault="00E64A39">
            <w:pPr>
              <w:jc w:val="center"/>
              <w:rPr>
                <w:b/>
                <w:sz w:val="18"/>
                <w:szCs w:val="18"/>
              </w:rPr>
            </w:pPr>
            <w:r w:rsidRPr="00123357">
              <w:rPr>
                <w:b/>
                <w:sz w:val="18"/>
                <w:szCs w:val="18"/>
              </w:rPr>
              <w:t>2007</w:t>
            </w:r>
          </w:p>
        </w:tc>
        <w:tc>
          <w:tcPr>
            <w:tcW w:w="778" w:type="dxa"/>
            <w:tcBorders>
              <w:top w:val="double" w:sz="4" w:space="0" w:color="auto"/>
              <w:bottom w:val="single" w:sz="12" w:space="0" w:color="auto"/>
            </w:tcBorders>
            <w:vAlign w:val="center"/>
          </w:tcPr>
          <w:p w:rsidR="00E64A39" w:rsidRPr="00123357" w:rsidRDefault="00E64A39">
            <w:pPr>
              <w:jc w:val="center"/>
              <w:rPr>
                <w:b/>
                <w:sz w:val="18"/>
                <w:szCs w:val="18"/>
              </w:rPr>
            </w:pPr>
            <w:r w:rsidRPr="00123357">
              <w:rPr>
                <w:b/>
                <w:sz w:val="18"/>
                <w:szCs w:val="18"/>
              </w:rPr>
              <w:t>2008</w:t>
            </w:r>
          </w:p>
        </w:tc>
        <w:tc>
          <w:tcPr>
            <w:tcW w:w="739" w:type="dxa"/>
            <w:tcBorders>
              <w:top w:val="double" w:sz="4" w:space="0" w:color="auto"/>
              <w:bottom w:val="single" w:sz="12" w:space="0" w:color="auto"/>
              <w:right w:val="double" w:sz="4" w:space="0" w:color="auto"/>
            </w:tcBorders>
            <w:vAlign w:val="center"/>
          </w:tcPr>
          <w:p w:rsidR="00E64A39" w:rsidRPr="00123357" w:rsidRDefault="00E64A39">
            <w:pPr>
              <w:jc w:val="center"/>
              <w:rPr>
                <w:b/>
                <w:sz w:val="18"/>
                <w:szCs w:val="18"/>
              </w:rPr>
            </w:pPr>
            <w:r w:rsidRPr="00123357">
              <w:rPr>
                <w:b/>
                <w:sz w:val="18"/>
                <w:szCs w:val="18"/>
              </w:rPr>
              <w:t>2009</w:t>
            </w:r>
          </w:p>
        </w:tc>
      </w:tr>
      <w:tr w:rsidR="00000000" w:rsidRPr="00123357">
        <w:trPr>
          <w:cantSplit/>
          <w:trHeight w:val="227"/>
        </w:trPr>
        <w:tc>
          <w:tcPr>
            <w:tcW w:w="2128" w:type="dxa"/>
            <w:vMerge w:val="restart"/>
            <w:tcBorders>
              <w:top w:val="single" w:sz="12" w:space="0" w:color="auto"/>
              <w:left w:val="double" w:sz="4" w:space="0" w:color="auto"/>
            </w:tcBorders>
            <w:vAlign w:val="center"/>
          </w:tcPr>
          <w:p w:rsidR="00E64A39" w:rsidRPr="00123357" w:rsidRDefault="00E64A39">
            <w:pPr>
              <w:jc w:val="center"/>
              <w:rPr>
                <w:sz w:val="18"/>
                <w:szCs w:val="18"/>
              </w:rPr>
            </w:pPr>
            <w:r w:rsidRPr="00123357">
              <w:rPr>
                <w:sz w:val="18"/>
                <w:szCs w:val="18"/>
              </w:rPr>
              <w:t>Real GDP</w:t>
            </w:r>
          </w:p>
          <w:p w:rsidR="00E64A39" w:rsidRPr="00123357" w:rsidRDefault="00E64A39">
            <w:pPr>
              <w:jc w:val="center"/>
              <w:rPr>
                <w:sz w:val="18"/>
                <w:szCs w:val="18"/>
              </w:rPr>
            </w:pPr>
            <w:r w:rsidRPr="00123357">
              <w:rPr>
                <w:sz w:val="18"/>
                <w:szCs w:val="18"/>
              </w:rPr>
              <w:t>(% change)</w:t>
            </w:r>
          </w:p>
        </w:tc>
        <w:tc>
          <w:tcPr>
            <w:tcW w:w="1636" w:type="dxa"/>
            <w:tcBorders>
              <w:top w:val="single" w:sz="12" w:space="0" w:color="auto"/>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p>
        </w:tc>
        <w:tc>
          <w:tcPr>
            <w:tcW w:w="741" w:type="dxa"/>
            <w:tcBorders>
              <w:top w:val="single" w:sz="12" w:space="0" w:color="auto"/>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1.2</w:t>
            </w:r>
          </w:p>
        </w:tc>
        <w:tc>
          <w:tcPr>
            <w:tcW w:w="779" w:type="dxa"/>
            <w:tcBorders>
              <w:top w:val="single" w:sz="12" w:space="0" w:color="auto"/>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0.5</w:t>
            </w:r>
          </w:p>
        </w:tc>
        <w:tc>
          <w:tcPr>
            <w:tcW w:w="778" w:type="dxa"/>
            <w:tcBorders>
              <w:top w:val="single" w:sz="12"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1.1</w:t>
            </w:r>
          </w:p>
        </w:tc>
        <w:tc>
          <w:tcPr>
            <w:tcW w:w="779" w:type="dxa"/>
            <w:tcBorders>
              <w:top w:val="single" w:sz="12"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1.8</w:t>
            </w:r>
          </w:p>
        </w:tc>
        <w:tc>
          <w:tcPr>
            <w:tcW w:w="778" w:type="dxa"/>
            <w:tcBorders>
              <w:top w:val="single" w:sz="12"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2.4</w:t>
            </w:r>
          </w:p>
        </w:tc>
        <w:tc>
          <w:tcPr>
            <w:tcW w:w="739" w:type="dxa"/>
            <w:tcBorders>
              <w:top w:val="single" w:sz="12" w:space="0" w:color="auto"/>
              <w:bottom w:val="nil"/>
              <w:right w:val="double" w:sz="4" w:space="0" w:color="auto"/>
            </w:tcBorders>
            <w:vAlign w:val="bottom"/>
          </w:tcPr>
          <w:p w:rsidR="00E64A39" w:rsidRPr="00123357" w:rsidRDefault="00E64A39">
            <w:pPr>
              <w:tabs>
                <w:tab w:val="clear" w:pos="567"/>
                <w:tab w:val="left" w:pos="381"/>
              </w:tabs>
              <w:ind w:right="-5"/>
              <w:jc w:val="center"/>
              <w:rPr>
                <w:sz w:val="18"/>
                <w:szCs w:val="18"/>
              </w:rPr>
            </w:pPr>
            <w:r w:rsidRPr="00123357">
              <w:rPr>
                <w:sz w:val="18"/>
                <w:szCs w:val="18"/>
              </w:rPr>
              <w:t>3.0</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1.1</w:t>
            </w:r>
          </w:p>
        </w:tc>
        <w:tc>
          <w:tcPr>
            <w:tcW w:w="779" w:type="dxa"/>
            <w:tcBorders>
              <w:top w:val="nil"/>
              <w:bottom w:val="nil"/>
            </w:tcBorders>
          </w:tcPr>
          <w:p w:rsidR="00E64A39" w:rsidRPr="00123357" w:rsidRDefault="00E64A39">
            <w:pPr>
              <w:tabs>
                <w:tab w:val="clear" w:pos="284"/>
                <w:tab w:val="clear" w:pos="567"/>
                <w:tab w:val="left" w:pos="65"/>
              </w:tabs>
              <w:ind w:right="-5"/>
              <w:jc w:val="center"/>
              <w:rPr>
                <w:sz w:val="18"/>
                <w:szCs w:val="18"/>
              </w:rPr>
            </w:pPr>
            <w:r w:rsidRPr="00123357">
              <w:rPr>
                <w:sz w:val="18"/>
                <w:szCs w:val="18"/>
              </w:rPr>
              <w:t>0.3</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0.9</w:t>
            </w:r>
          </w:p>
        </w:tc>
        <w:tc>
          <w:tcPr>
            <w:tcW w:w="779"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1.1</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1.0</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0.8</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1.4</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2.2</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2.6</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3.0</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HICP inflation</w:t>
            </w:r>
          </w:p>
          <w:p w:rsidR="00E64A39" w:rsidRPr="00123357" w:rsidRDefault="00E64A39">
            <w:pPr>
              <w:jc w:val="center"/>
              <w:rPr>
                <w:sz w:val="18"/>
                <w:szCs w:val="18"/>
              </w:rPr>
            </w:pPr>
            <w:r w:rsidRPr="00123357">
              <w:rPr>
                <w:sz w:val="18"/>
                <w:szCs w:val="18"/>
              </w:rPr>
              <w:t>(%)</w:t>
            </w:r>
          </w:p>
        </w:tc>
        <w:tc>
          <w:tcPr>
            <w:tcW w:w="1636" w:type="dxa"/>
            <w:tcBorders>
              <w:bottom w:val="nil"/>
            </w:tcBorders>
          </w:tcPr>
          <w:p w:rsidR="00E64A39" w:rsidRPr="00123357" w:rsidRDefault="00E64A39">
            <w:pPr>
              <w:tabs>
                <w:tab w:val="clear" w:pos="284"/>
                <w:tab w:val="left" w:pos="174"/>
              </w:tabs>
              <w:ind w:left="33"/>
              <w:rPr>
                <w:b/>
                <w:sz w:val="18"/>
                <w:szCs w:val="18"/>
                <w:vertAlign w:val="superscript"/>
              </w:rPr>
            </w:pPr>
            <w:r w:rsidRPr="00123357">
              <w:rPr>
                <w:b/>
                <w:sz w:val="18"/>
                <w:szCs w:val="18"/>
              </w:rPr>
              <w:t>SP Dec 2005</w:t>
            </w:r>
            <w:r w:rsidRPr="00123357">
              <w:rPr>
                <w:b/>
                <w:sz w:val="18"/>
                <w:szCs w:val="18"/>
                <w:vertAlign w:val="superscript"/>
              </w:rPr>
              <w:t>*</w:t>
            </w:r>
          </w:p>
        </w:tc>
        <w:tc>
          <w:tcPr>
            <w:tcW w:w="741" w:type="dxa"/>
            <w:tcBorders>
              <w:bottom w:val="nil"/>
            </w:tcBorders>
            <w:vAlign w:val="center"/>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2.4</w:t>
            </w:r>
          </w:p>
        </w:tc>
        <w:tc>
          <w:tcPr>
            <w:tcW w:w="779" w:type="dxa"/>
            <w:tcBorders>
              <w:bottom w:val="nil"/>
            </w:tcBorders>
            <w:vAlign w:val="center"/>
          </w:tcPr>
          <w:p w:rsidR="00E64A39" w:rsidRPr="00123357" w:rsidRDefault="00E64A39">
            <w:pPr>
              <w:tabs>
                <w:tab w:val="clear" w:pos="284"/>
                <w:tab w:val="clear" w:pos="567"/>
                <w:tab w:val="left" w:pos="65"/>
              </w:tabs>
              <w:ind w:right="-5"/>
              <w:jc w:val="center"/>
              <w:rPr>
                <w:sz w:val="18"/>
                <w:szCs w:val="18"/>
              </w:rPr>
            </w:pPr>
            <w:r w:rsidRPr="00123357">
              <w:rPr>
                <w:sz w:val="18"/>
                <w:szCs w:val="18"/>
              </w:rPr>
              <w:t>2.3</w:t>
            </w:r>
          </w:p>
        </w:tc>
        <w:tc>
          <w:tcPr>
            <w:tcW w:w="778" w:type="dxa"/>
            <w:tcBorders>
              <w:bottom w:val="nil"/>
            </w:tcBorders>
            <w:vAlign w:val="center"/>
          </w:tcPr>
          <w:p w:rsidR="00E64A39" w:rsidRPr="00123357" w:rsidRDefault="00E64A39">
            <w:pPr>
              <w:tabs>
                <w:tab w:val="clear" w:pos="567"/>
                <w:tab w:val="left" w:pos="381"/>
              </w:tabs>
              <w:ind w:right="-5"/>
              <w:jc w:val="center"/>
              <w:rPr>
                <w:sz w:val="18"/>
                <w:szCs w:val="18"/>
              </w:rPr>
            </w:pPr>
            <w:r w:rsidRPr="00123357">
              <w:rPr>
                <w:sz w:val="18"/>
                <w:szCs w:val="18"/>
              </w:rPr>
              <w:t>2.3</w:t>
            </w:r>
          </w:p>
        </w:tc>
        <w:tc>
          <w:tcPr>
            <w:tcW w:w="779" w:type="dxa"/>
            <w:tcBorders>
              <w:bottom w:val="nil"/>
            </w:tcBorders>
            <w:vAlign w:val="center"/>
          </w:tcPr>
          <w:p w:rsidR="00E64A39" w:rsidRPr="00123357" w:rsidRDefault="00E64A39">
            <w:pPr>
              <w:tabs>
                <w:tab w:val="clear" w:pos="567"/>
                <w:tab w:val="left" w:pos="381"/>
              </w:tabs>
              <w:ind w:right="-5"/>
              <w:jc w:val="center"/>
              <w:rPr>
                <w:sz w:val="18"/>
                <w:szCs w:val="18"/>
              </w:rPr>
            </w:pPr>
            <w:r w:rsidRPr="00123357">
              <w:rPr>
                <w:sz w:val="18"/>
                <w:szCs w:val="18"/>
              </w:rPr>
              <w:t>2.2</w:t>
            </w:r>
          </w:p>
        </w:tc>
        <w:tc>
          <w:tcPr>
            <w:tcW w:w="778" w:type="dxa"/>
            <w:tcBorders>
              <w:bottom w:val="nil"/>
            </w:tcBorders>
            <w:vAlign w:val="center"/>
          </w:tcPr>
          <w:p w:rsidR="00E64A39" w:rsidRPr="00123357" w:rsidRDefault="00E64A39">
            <w:pPr>
              <w:tabs>
                <w:tab w:val="clear" w:pos="567"/>
                <w:tab w:val="left" w:pos="381"/>
              </w:tabs>
              <w:ind w:right="-5"/>
              <w:jc w:val="center"/>
              <w:rPr>
                <w:sz w:val="18"/>
                <w:szCs w:val="18"/>
              </w:rPr>
            </w:pPr>
            <w:r w:rsidRPr="00123357">
              <w:rPr>
                <w:sz w:val="18"/>
                <w:szCs w:val="18"/>
              </w:rPr>
              <w:t>2.2</w:t>
            </w:r>
          </w:p>
        </w:tc>
        <w:tc>
          <w:tcPr>
            <w:tcW w:w="739" w:type="dxa"/>
            <w:tcBorders>
              <w:bottom w:val="nil"/>
              <w:right w:val="double" w:sz="4" w:space="0" w:color="auto"/>
            </w:tcBorders>
            <w:vAlign w:val="center"/>
          </w:tcPr>
          <w:p w:rsidR="00E64A39" w:rsidRPr="00123357" w:rsidRDefault="00E64A39">
            <w:pPr>
              <w:tabs>
                <w:tab w:val="clear" w:pos="567"/>
                <w:tab w:val="left" w:pos="381"/>
              </w:tabs>
              <w:ind w:right="-5"/>
              <w:jc w:val="center"/>
              <w:rPr>
                <w:sz w:val="18"/>
                <w:szCs w:val="18"/>
              </w:rPr>
            </w:pPr>
            <w:r w:rsidRPr="00123357">
              <w:rPr>
                <w:sz w:val="18"/>
                <w:szCs w:val="18"/>
              </w:rPr>
              <w:t>2.1</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2.5</w:t>
            </w:r>
          </w:p>
        </w:tc>
        <w:tc>
          <w:tcPr>
            <w:tcW w:w="779" w:type="dxa"/>
            <w:tcBorders>
              <w:top w:val="nil"/>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2.1</w:t>
            </w:r>
          </w:p>
        </w:tc>
        <w:tc>
          <w:tcPr>
            <w:tcW w:w="778"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2.7</w:t>
            </w:r>
          </w:p>
        </w:tc>
        <w:tc>
          <w:tcPr>
            <w:tcW w:w="779"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2.4</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2.5</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2.5</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2.9</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2.5</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2.5</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2.4</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Output gap</w:t>
            </w:r>
          </w:p>
          <w:p w:rsidR="00E64A39" w:rsidRPr="00123357" w:rsidRDefault="00E64A39">
            <w:pPr>
              <w:jc w:val="center"/>
              <w:rPr>
                <w:sz w:val="18"/>
                <w:szCs w:val="18"/>
                <w:vertAlign w:val="superscript"/>
              </w:rPr>
            </w:pPr>
            <w:r w:rsidRPr="00123357">
              <w:rPr>
                <w:sz w:val="18"/>
                <w:szCs w:val="18"/>
              </w:rPr>
              <w:t>(% of potential GDP)</w:t>
            </w:r>
          </w:p>
        </w:tc>
        <w:tc>
          <w:tcPr>
            <w:tcW w:w="1636" w:type="dxa"/>
            <w:tcBorders>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r w:rsidRPr="00123357">
              <w:rPr>
                <w:b/>
                <w:sz w:val="18"/>
                <w:szCs w:val="18"/>
                <w:vertAlign w:val="superscript"/>
              </w:rPr>
              <w:t>1</w:t>
            </w:r>
          </w:p>
        </w:tc>
        <w:tc>
          <w:tcPr>
            <w:tcW w:w="741" w:type="dxa"/>
            <w:tcBorders>
              <w:bottom w:val="nil"/>
            </w:tcBorders>
          </w:tcPr>
          <w:p w:rsidR="00E64A39" w:rsidRPr="00123357" w:rsidRDefault="00E64A39">
            <w:pPr>
              <w:tabs>
                <w:tab w:val="clear" w:pos="284"/>
                <w:tab w:val="clear" w:pos="567"/>
                <w:tab w:val="right" w:pos="381"/>
                <w:tab w:val="center" w:pos="665"/>
              </w:tabs>
              <w:ind w:right="-5"/>
              <w:jc w:val="center"/>
              <w:rPr>
                <w:b/>
                <w:sz w:val="18"/>
                <w:szCs w:val="18"/>
              </w:rPr>
            </w:pPr>
            <w:r w:rsidRPr="00123357">
              <w:rPr>
                <w:b/>
                <w:sz w:val="18"/>
                <w:szCs w:val="18"/>
              </w:rPr>
              <w:t>-1.5</w:t>
            </w:r>
          </w:p>
        </w:tc>
        <w:tc>
          <w:tcPr>
            <w:tcW w:w="779" w:type="dxa"/>
            <w:tcBorders>
              <w:bottom w:val="nil"/>
            </w:tcBorders>
          </w:tcPr>
          <w:p w:rsidR="00E64A39" w:rsidRPr="00123357" w:rsidRDefault="00E64A39">
            <w:pPr>
              <w:tabs>
                <w:tab w:val="clear" w:pos="284"/>
                <w:tab w:val="clear" w:pos="567"/>
                <w:tab w:val="left" w:pos="65"/>
              </w:tabs>
              <w:ind w:right="-5"/>
              <w:jc w:val="center"/>
              <w:rPr>
                <w:b/>
                <w:sz w:val="18"/>
                <w:szCs w:val="18"/>
              </w:rPr>
            </w:pPr>
            <w:r w:rsidRPr="00123357">
              <w:rPr>
                <w:b/>
                <w:sz w:val="18"/>
                <w:szCs w:val="18"/>
              </w:rPr>
              <w:t>-2.3</w:t>
            </w:r>
          </w:p>
        </w:tc>
        <w:tc>
          <w:tcPr>
            <w:tcW w:w="778"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-2.7</w:t>
            </w:r>
          </w:p>
        </w:tc>
        <w:tc>
          <w:tcPr>
            <w:tcW w:w="779"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-2.5</w:t>
            </w:r>
          </w:p>
        </w:tc>
        <w:tc>
          <w:tcPr>
            <w:tcW w:w="778"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-1.8</w:t>
            </w:r>
          </w:p>
        </w:tc>
        <w:tc>
          <w:tcPr>
            <w:tcW w:w="739" w:type="dxa"/>
            <w:tcBorders>
              <w:bottom w:val="nil"/>
              <w:right w:val="double" w:sz="4" w:space="0" w:color="auto"/>
            </w:tcBorders>
          </w:tcPr>
          <w:p w:rsidR="00E64A39" w:rsidRPr="00123357" w:rsidRDefault="00E64A39">
            <w:pPr>
              <w:tabs>
                <w:tab w:val="clear" w:pos="567"/>
                <w:tab w:val="left" w:pos="381"/>
              </w:tabs>
              <w:ind w:right="-5"/>
              <w:jc w:val="center"/>
              <w:rPr>
                <w:b/>
                <w:sz w:val="18"/>
                <w:szCs w:val="18"/>
              </w:rPr>
            </w:pPr>
            <w:r w:rsidRPr="00123357">
              <w:rPr>
                <w:b/>
                <w:sz w:val="18"/>
                <w:szCs w:val="18"/>
              </w:rPr>
              <w:t>-0.7</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r w:rsidRPr="00123357">
              <w:rPr>
                <w:i/>
                <w:sz w:val="18"/>
                <w:szCs w:val="18"/>
                <w:vertAlign w:val="superscript"/>
              </w:rPr>
              <w:t>6</w:t>
            </w:r>
          </w:p>
        </w:tc>
        <w:tc>
          <w:tcPr>
            <w:tcW w:w="741" w:type="dxa"/>
            <w:tcBorders>
              <w:top w:val="nil"/>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-1.2</w:t>
            </w:r>
          </w:p>
        </w:tc>
        <w:tc>
          <w:tcPr>
            <w:tcW w:w="779" w:type="dxa"/>
            <w:tcBorders>
              <w:top w:val="nil"/>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-1.9</w:t>
            </w:r>
          </w:p>
        </w:tc>
        <w:tc>
          <w:tcPr>
            <w:tcW w:w="778"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-2.2</w:t>
            </w:r>
          </w:p>
        </w:tc>
        <w:tc>
          <w:tcPr>
            <w:tcW w:w="779"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-2.3</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r w:rsidRPr="00123357">
              <w:rPr>
                <w:i/>
                <w:sz w:val="18"/>
                <w:szCs w:val="18"/>
                <w:vertAlign w:val="superscript"/>
              </w:rPr>
              <w:t>1</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-2.1</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-2.7</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-2.8</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-2.3</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-1.6</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b/>
                <w:sz w:val="18"/>
                <w:szCs w:val="18"/>
              </w:rPr>
            </w:pPr>
            <w:r w:rsidRPr="00123357">
              <w:rPr>
                <w:i/>
                <w:sz w:val="18"/>
                <w:szCs w:val="18"/>
              </w:rPr>
              <w:t>-0.7</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General government balance</w:t>
            </w:r>
          </w:p>
          <w:p w:rsidR="00E64A39" w:rsidRPr="00123357" w:rsidRDefault="00E64A39">
            <w:pPr>
              <w:jc w:val="center"/>
              <w:rPr>
                <w:sz w:val="18"/>
                <w:szCs w:val="18"/>
              </w:rPr>
            </w:pPr>
            <w:r w:rsidRPr="00123357">
              <w:rPr>
                <w:sz w:val="18"/>
                <w:szCs w:val="18"/>
              </w:rPr>
              <w:t>(% of GDP)</w:t>
            </w:r>
          </w:p>
        </w:tc>
        <w:tc>
          <w:tcPr>
            <w:tcW w:w="1636" w:type="dxa"/>
            <w:tcBorders>
              <w:top w:val="single" w:sz="4" w:space="0" w:color="auto"/>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p>
        </w:tc>
        <w:tc>
          <w:tcPr>
            <w:tcW w:w="741" w:type="dxa"/>
            <w:tcBorders>
              <w:top w:val="single" w:sz="4" w:space="0" w:color="auto"/>
              <w:bottom w:val="nil"/>
            </w:tcBorders>
          </w:tcPr>
          <w:p w:rsidR="00E64A39" w:rsidRPr="00123357" w:rsidRDefault="00E64A39">
            <w:pPr>
              <w:tabs>
                <w:tab w:val="clear" w:pos="284"/>
                <w:tab w:val="clear" w:pos="567"/>
                <w:tab w:val="right" w:pos="381"/>
                <w:tab w:val="center" w:pos="665"/>
              </w:tabs>
              <w:ind w:right="-5"/>
              <w:jc w:val="center"/>
              <w:rPr>
                <w:b/>
                <w:sz w:val="18"/>
                <w:szCs w:val="18"/>
              </w:rPr>
            </w:pPr>
            <w:r w:rsidRPr="00123357">
              <w:rPr>
                <w:b/>
                <w:sz w:val="18"/>
                <w:szCs w:val="18"/>
              </w:rPr>
              <w:t>-3.0</w:t>
            </w:r>
          </w:p>
        </w:tc>
        <w:tc>
          <w:tcPr>
            <w:tcW w:w="779" w:type="dxa"/>
            <w:tcBorders>
              <w:top w:val="single" w:sz="4" w:space="0" w:color="auto"/>
              <w:bottom w:val="nil"/>
            </w:tcBorders>
          </w:tcPr>
          <w:p w:rsidR="00E64A39" w:rsidRPr="00123357" w:rsidRDefault="00E64A39">
            <w:pPr>
              <w:tabs>
                <w:tab w:val="clear" w:pos="284"/>
                <w:tab w:val="clear" w:pos="567"/>
                <w:tab w:val="left" w:pos="65"/>
              </w:tabs>
              <w:ind w:right="-5"/>
              <w:jc w:val="center"/>
              <w:rPr>
                <w:b/>
                <w:sz w:val="18"/>
                <w:szCs w:val="18"/>
              </w:rPr>
            </w:pPr>
            <w:r w:rsidRPr="00123357">
              <w:rPr>
                <w:b/>
                <w:sz w:val="18"/>
                <w:szCs w:val="18"/>
              </w:rPr>
              <w:t>-6.0</w:t>
            </w:r>
          </w:p>
        </w:tc>
        <w:tc>
          <w:tcPr>
            <w:tcW w:w="778"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-4.6</w:t>
            </w:r>
          </w:p>
        </w:tc>
        <w:tc>
          <w:tcPr>
            <w:tcW w:w="779"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-3.7</w:t>
            </w:r>
          </w:p>
        </w:tc>
        <w:tc>
          <w:tcPr>
            <w:tcW w:w="778"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-2.6</w:t>
            </w:r>
          </w:p>
        </w:tc>
        <w:tc>
          <w:tcPr>
            <w:tcW w:w="739" w:type="dxa"/>
            <w:tcBorders>
              <w:top w:val="single" w:sz="4" w:space="0" w:color="auto"/>
              <w:bottom w:val="nil"/>
              <w:right w:val="double" w:sz="4" w:space="0" w:color="auto"/>
            </w:tcBorders>
          </w:tcPr>
          <w:p w:rsidR="00E64A39" w:rsidRPr="00123357" w:rsidRDefault="00E64A39">
            <w:pPr>
              <w:tabs>
                <w:tab w:val="clear" w:pos="567"/>
                <w:tab w:val="left" w:pos="381"/>
              </w:tabs>
              <w:ind w:right="-5"/>
              <w:jc w:val="center"/>
              <w:rPr>
                <w:b/>
                <w:sz w:val="18"/>
                <w:szCs w:val="18"/>
              </w:rPr>
            </w:pPr>
            <w:r w:rsidRPr="00123357">
              <w:rPr>
                <w:b/>
                <w:sz w:val="18"/>
                <w:szCs w:val="18"/>
              </w:rPr>
              <w:t>-1.5</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-3.2</w:t>
            </w:r>
          </w:p>
        </w:tc>
        <w:tc>
          <w:tcPr>
            <w:tcW w:w="779" w:type="dxa"/>
            <w:tcBorders>
              <w:top w:val="nil"/>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-6.0</w:t>
            </w:r>
          </w:p>
        </w:tc>
        <w:tc>
          <w:tcPr>
            <w:tcW w:w="778"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-5.0</w:t>
            </w:r>
          </w:p>
        </w:tc>
        <w:tc>
          <w:tcPr>
            <w:tcW w:w="779"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-4.9</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-2.9</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-6.2</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-4.8</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-3.9</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-2.8</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-1.6</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Primary balance</w:t>
            </w:r>
          </w:p>
          <w:p w:rsidR="00E64A39" w:rsidRPr="00123357" w:rsidRDefault="00E64A39">
            <w:pPr>
              <w:jc w:val="center"/>
              <w:rPr>
                <w:sz w:val="18"/>
                <w:szCs w:val="18"/>
              </w:rPr>
            </w:pPr>
            <w:r w:rsidRPr="00123357">
              <w:rPr>
                <w:sz w:val="18"/>
                <w:szCs w:val="18"/>
              </w:rPr>
              <w:t>(% of GDP)</w:t>
            </w:r>
          </w:p>
        </w:tc>
        <w:tc>
          <w:tcPr>
            <w:tcW w:w="1636" w:type="dxa"/>
            <w:tcBorders>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p>
        </w:tc>
        <w:tc>
          <w:tcPr>
            <w:tcW w:w="741" w:type="dxa"/>
            <w:tcBorders>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-0.3</w:t>
            </w:r>
          </w:p>
        </w:tc>
        <w:tc>
          <w:tcPr>
            <w:tcW w:w="779" w:type="dxa"/>
            <w:tcBorders>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-3.2</w:t>
            </w:r>
          </w:p>
        </w:tc>
        <w:tc>
          <w:tcPr>
            <w:tcW w:w="778" w:type="dxa"/>
            <w:tcBorders>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-1.7</w:t>
            </w:r>
          </w:p>
        </w:tc>
        <w:tc>
          <w:tcPr>
            <w:tcW w:w="779" w:type="dxa"/>
            <w:tcBorders>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-0.6</w:t>
            </w:r>
          </w:p>
        </w:tc>
        <w:tc>
          <w:tcPr>
            <w:tcW w:w="778" w:type="dxa"/>
            <w:tcBorders>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0.6</w:t>
            </w:r>
          </w:p>
        </w:tc>
        <w:tc>
          <w:tcPr>
            <w:tcW w:w="739" w:type="dxa"/>
            <w:tcBorders>
              <w:bottom w:val="nil"/>
              <w:right w:val="double" w:sz="4" w:space="0" w:color="auto"/>
            </w:tcBorders>
            <w:vAlign w:val="bottom"/>
          </w:tcPr>
          <w:p w:rsidR="00E64A39" w:rsidRPr="00123357" w:rsidRDefault="00E64A39">
            <w:pPr>
              <w:tabs>
                <w:tab w:val="clear" w:pos="567"/>
                <w:tab w:val="left" w:pos="381"/>
              </w:tabs>
              <w:ind w:right="-5"/>
              <w:jc w:val="center"/>
              <w:rPr>
                <w:sz w:val="18"/>
                <w:szCs w:val="18"/>
              </w:rPr>
            </w:pPr>
            <w:r w:rsidRPr="00123357">
              <w:rPr>
                <w:sz w:val="18"/>
                <w:szCs w:val="18"/>
              </w:rPr>
              <w:t>1.5</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-0.5</w:t>
            </w:r>
          </w:p>
        </w:tc>
        <w:tc>
          <w:tcPr>
            <w:tcW w:w="779" w:type="dxa"/>
            <w:tcBorders>
              <w:top w:val="nil"/>
              <w:bottom w:val="nil"/>
            </w:tcBorders>
          </w:tcPr>
          <w:p w:rsidR="00E64A39" w:rsidRPr="00123357" w:rsidRDefault="00E64A39">
            <w:pPr>
              <w:tabs>
                <w:tab w:val="clear" w:pos="284"/>
                <w:tab w:val="clear" w:pos="567"/>
                <w:tab w:val="left" w:pos="65"/>
              </w:tabs>
              <w:ind w:right="-5"/>
              <w:jc w:val="center"/>
              <w:rPr>
                <w:sz w:val="18"/>
                <w:szCs w:val="18"/>
              </w:rPr>
            </w:pPr>
            <w:r w:rsidRPr="00123357">
              <w:rPr>
                <w:sz w:val="18"/>
                <w:szCs w:val="18"/>
              </w:rPr>
              <w:t>-3.3</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-2.1</w:t>
            </w:r>
          </w:p>
        </w:tc>
        <w:tc>
          <w:tcPr>
            <w:tcW w:w="779"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-1.8</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-0.1</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-3.3</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-1.6</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-0.5</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0.7</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sz w:val="18"/>
                <w:szCs w:val="18"/>
              </w:rPr>
            </w:pPr>
            <w:r w:rsidRPr="00123357">
              <w:rPr>
                <w:i/>
                <w:sz w:val="18"/>
                <w:szCs w:val="18"/>
              </w:rPr>
              <w:t>1.8</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Cyclically-adjusted balance</w:t>
            </w:r>
          </w:p>
          <w:p w:rsidR="00E64A39" w:rsidRPr="00123357" w:rsidRDefault="00E64A39">
            <w:pPr>
              <w:jc w:val="center"/>
              <w:rPr>
                <w:sz w:val="18"/>
                <w:szCs w:val="18"/>
              </w:rPr>
            </w:pPr>
            <w:r w:rsidRPr="00123357">
              <w:rPr>
                <w:sz w:val="18"/>
                <w:szCs w:val="18"/>
              </w:rPr>
              <w:t>(% of GDP)</w:t>
            </w:r>
          </w:p>
        </w:tc>
        <w:tc>
          <w:tcPr>
            <w:tcW w:w="1636" w:type="dxa"/>
            <w:tcBorders>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r w:rsidRPr="00123357">
              <w:rPr>
                <w:b/>
                <w:sz w:val="18"/>
                <w:szCs w:val="18"/>
                <w:vertAlign w:val="superscript"/>
              </w:rPr>
              <w:t>1</w:t>
            </w:r>
          </w:p>
        </w:tc>
        <w:tc>
          <w:tcPr>
            <w:tcW w:w="741" w:type="dxa"/>
            <w:tcBorders>
              <w:bottom w:val="nil"/>
            </w:tcBorders>
          </w:tcPr>
          <w:p w:rsidR="00E64A39" w:rsidRPr="00123357" w:rsidRDefault="00E64A39">
            <w:pPr>
              <w:tabs>
                <w:tab w:val="clear" w:pos="284"/>
                <w:tab w:val="clear" w:pos="567"/>
                <w:tab w:val="right" w:pos="381"/>
                <w:tab w:val="center" w:pos="665"/>
              </w:tabs>
              <w:ind w:right="-5"/>
              <w:jc w:val="center"/>
              <w:rPr>
                <w:b/>
                <w:sz w:val="18"/>
                <w:szCs w:val="18"/>
              </w:rPr>
            </w:pPr>
            <w:r w:rsidRPr="00123357">
              <w:rPr>
                <w:b/>
                <w:sz w:val="18"/>
                <w:szCs w:val="18"/>
              </w:rPr>
              <w:t>-2.3</w:t>
            </w:r>
          </w:p>
        </w:tc>
        <w:tc>
          <w:tcPr>
            <w:tcW w:w="779" w:type="dxa"/>
            <w:tcBorders>
              <w:bottom w:val="nil"/>
            </w:tcBorders>
          </w:tcPr>
          <w:p w:rsidR="00E64A39" w:rsidRPr="00123357" w:rsidRDefault="00E64A39">
            <w:pPr>
              <w:tabs>
                <w:tab w:val="clear" w:pos="284"/>
                <w:tab w:val="clear" w:pos="567"/>
                <w:tab w:val="left" w:pos="65"/>
              </w:tabs>
              <w:ind w:right="-5"/>
              <w:jc w:val="center"/>
              <w:rPr>
                <w:b/>
                <w:sz w:val="18"/>
                <w:szCs w:val="18"/>
              </w:rPr>
            </w:pPr>
            <w:r w:rsidRPr="00123357">
              <w:rPr>
                <w:b/>
                <w:sz w:val="18"/>
                <w:szCs w:val="18"/>
              </w:rPr>
              <w:t>-5.0</w:t>
            </w:r>
          </w:p>
        </w:tc>
        <w:tc>
          <w:tcPr>
            <w:tcW w:w="778"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-3.4</w:t>
            </w:r>
          </w:p>
        </w:tc>
        <w:tc>
          <w:tcPr>
            <w:tcW w:w="779"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-2.6</w:t>
            </w:r>
          </w:p>
        </w:tc>
        <w:tc>
          <w:tcPr>
            <w:tcW w:w="778" w:type="dxa"/>
            <w:tcBorders>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-1.8</w:t>
            </w:r>
          </w:p>
        </w:tc>
        <w:tc>
          <w:tcPr>
            <w:tcW w:w="739" w:type="dxa"/>
            <w:tcBorders>
              <w:bottom w:val="nil"/>
              <w:right w:val="double" w:sz="4" w:space="0" w:color="auto"/>
            </w:tcBorders>
          </w:tcPr>
          <w:p w:rsidR="00E64A39" w:rsidRPr="00123357" w:rsidRDefault="00E64A39">
            <w:pPr>
              <w:tabs>
                <w:tab w:val="clear" w:pos="567"/>
                <w:tab w:val="left" w:pos="381"/>
              </w:tabs>
              <w:ind w:right="-5"/>
              <w:jc w:val="center"/>
              <w:rPr>
                <w:b/>
                <w:sz w:val="18"/>
                <w:szCs w:val="18"/>
              </w:rPr>
            </w:pPr>
            <w:r w:rsidRPr="00123357">
              <w:rPr>
                <w:b/>
                <w:sz w:val="18"/>
                <w:szCs w:val="18"/>
              </w:rPr>
              <w:t>-1.2</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-2.7</w:t>
            </w:r>
          </w:p>
        </w:tc>
        <w:tc>
          <w:tcPr>
            <w:tcW w:w="779" w:type="dxa"/>
            <w:tcBorders>
              <w:top w:val="nil"/>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-5.1</w:t>
            </w:r>
          </w:p>
        </w:tc>
        <w:tc>
          <w:tcPr>
            <w:tcW w:w="778"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-4.0</w:t>
            </w:r>
          </w:p>
        </w:tc>
        <w:tc>
          <w:tcPr>
            <w:tcW w:w="779"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-3.8</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bottom w:val="sing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r w:rsidRPr="00123357">
              <w:rPr>
                <w:i/>
                <w:sz w:val="18"/>
                <w:szCs w:val="18"/>
                <w:vertAlign w:val="superscript"/>
              </w:rPr>
              <w:t>1</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-2.2</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-5.3</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-3.8</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-3.1</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-2.3</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-1.4</w:t>
            </w:r>
          </w:p>
        </w:tc>
      </w:tr>
      <w:tr w:rsidR="00000000" w:rsidRPr="00123357">
        <w:trPr>
          <w:cantSplit/>
          <w:trHeight w:val="227"/>
        </w:trPr>
        <w:tc>
          <w:tcPr>
            <w:tcW w:w="2128" w:type="dxa"/>
            <w:vMerge w:val="restart"/>
            <w:tcBorders>
              <w:left w:val="double" w:sz="4" w:space="0" w:color="auto"/>
            </w:tcBorders>
            <w:vAlign w:val="center"/>
          </w:tcPr>
          <w:p w:rsidR="00E64A39" w:rsidRPr="00123357" w:rsidRDefault="00E64A39">
            <w:pPr>
              <w:jc w:val="center"/>
              <w:rPr>
                <w:sz w:val="18"/>
                <w:szCs w:val="18"/>
              </w:rPr>
            </w:pPr>
            <w:r w:rsidRPr="00123357">
              <w:rPr>
                <w:sz w:val="18"/>
                <w:szCs w:val="18"/>
              </w:rPr>
              <w:t>Structural balance</w:t>
            </w:r>
            <w:r w:rsidRPr="00123357">
              <w:rPr>
                <w:sz w:val="18"/>
                <w:szCs w:val="18"/>
                <w:vertAlign w:val="superscript"/>
              </w:rPr>
              <w:t>2</w:t>
            </w:r>
          </w:p>
          <w:p w:rsidR="00E64A39" w:rsidRPr="00123357" w:rsidRDefault="00E64A39">
            <w:pPr>
              <w:jc w:val="center"/>
              <w:rPr>
                <w:sz w:val="18"/>
                <w:szCs w:val="18"/>
              </w:rPr>
            </w:pPr>
            <w:r w:rsidRPr="00123357">
              <w:rPr>
                <w:sz w:val="18"/>
                <w:szCs w:val="18"/>
              </w:rPr>
              <w:t>(% of GDP)</w:t>
            </w:r>
          </w:p>
        </w:tc>
        <w:tc>
          <w:tcPr>
            <w:tcW w:w="1636" w:type="dxa"/>
            <w:tcBorders>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r w:rsidRPr="00123357">
              <w:rPr>
                <w:b/>
                <w:sz w:val="18"/>
                <w:szCs w:val="18"/>
                <w:vertAlign w:val="superscript"/>
              </w:rPr>
              <w:t>3</w:t>
            </w:r>
          </w:p>
        </w:tc>
        <w:tc>
          <w:tcPr>
            <w:tcW w:w="741" w:type="dxa"/>
            <w:tcBorders>
              <w:bottom w:val="nil"/>
            </w:tcBorders>
          </w:tcPr>
          <w:p w:rsidR="00E64A39" w:rsidRPr="00123357" w:rsidRDefault="00E64A39">
            <w:pPr>
              <w:tabs>
                <w:tab w:val="clear" w:pos="284"/>
                <w:tab w:val="clear" w:pos="567"/>
                <w:tab w:val="right" w:pos="381"/>
                <w:tab w:val="center" w:pos="665"/>
              </w:tabs>
              <w:ind w:right="-5"/>
              <w:jc w:val="center"/>
              <w:rPr>
                <w:b/>
                <w:sz w:val="18"/>
                <w:szCs w:val="18"/>
              </w:rPr>
            </w:pPr>
            <w:r w:rsidRPr="00123357">
              <w:rPr>
                <w:b/>
                <w:sz w:val="18"/>
                <w:szCs w:val="18"/>
              </w:rPr>
              <w:t>n.a.</w:t>
            </w:r>
          </w:p>
        </w:tc>
        <w:tc>
          <w:tcPr>
            <w:tcW w:w="779" w:type="dxa"/>
            <w:tcBorders>
              <w:top w:val="single" w:sz="4" w:space="0" w:color="auto"/>
              <w:bottom w:val="nil"/>
            </w:tcBorders>
          </w:tcPr>
          <w:p w:rsidR="00E64A39" w:rsidRPr="00123357" w:rsidRDefault="00E64A39">
            <w:pPr>
              <w:tabs>
                <w:tab w:val="clear" w:pos="284"/>
                <w:tab w:val="clear" w:pos="567"/>
                <w:tab w:val="left" w:pos="65"/>
              </w:tabs>
              <w:ind w:right="-5"/>
              <w:jc w:val="center"/>
              <w:rPr>
                <w:b/>
                <w:sz w:val="18"/>
                <w:szCs w:val="18"/>
              </w:rPr>
            </w:pPr>
            <w:r w:rsidRPr="00123357">
              <w:rPr>
                <w:b/>
                <w:sz w:val="18"/>
                <w:szCs w:val="18"/>
              </w:rPr>
              <w:t>-5.0</w:t>
            </w:r>
          </w:p>
        </w:tc>
        <w:tc>
          <w:tcPr>
            <w:tcW w:w="778"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-3.4</w:t>
            </w:r>
          </w:p>
        </w:tc>
        <w:tc>
          <w:tcPr>
            <w:tcW w:w="779"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-2.6</w:t>
            </w:r>
          </w:p>
        </w:tc>
        <w:tc>
          <w:tcPr>
            <w:tcW w:w="778" w:type="dxa"/>
            <w:tcBorders>
              <w:top w:val="single" w:sz="4" w:space="0" w:color="auto"/>
              <w:bottom w:val="nil"/>
            </w:tcBorders>
          </w:tcPr>
          <w:p w:rsidR="00E64A39" w:rsidRPr="00123357" w:rsidRDefault="00E64A39">
            <w:pPr>
              <w:tabs>
                <w:tab w:val="clear" w:pos="567"/>
                <w:tab w:val="left" w:pos="381"/>
              </w:tabs>
              <w:ind w:right="-5"/>
              <w:jc w:val="center"/>
              <w:rPr>
                <w:b/>
                <w:sz w:val="18"/>
                <w:szCs w:val="18"/>
              </w:rPr>
            </w:pPr>
            <w:r w:rsidRPr="00123357">
              <w:rPr>
                <w:b/>
                <w:sz w:val="18"/>
                <w:szCs w:val="18"/>
              </w:rPr>
              <w:t>-1.8</w:t>
            </w:r>
          </w:p>
        </w:tc>
        <w:tc>
          <w:tcPr>
            <w:tcW w:w="739" w:type="dxa"/>
            <w:tcBorders>
              <w:top w:val="single" w:sz="4" w:space="0" w:color="auto"/>
              <w:bottom w:val="nil"/>
              <w:right w:val="double" w:sz="4" w:space="0" w:color="auto"/>
            </w:tcBorders>
          </w:tcPr>
          <w:p w:rsidR="00E64A39" w:rsidRPr="00123357" w:rsidRDefault="00E64A39">
            <w:pPr>
              <w:tabs>
                <w:tab w:val="clear" w:pos="567"/>
                <w:tab w:val="left" w:pos="381"/>
              </w:tabs>
              <w:ind w:right="-5"/>
              <w:jc w:val="center"/>
              <w:rPr>
                <w:b/>
                <w:sz w:val="18"/>
                <w:szCs w:val="18"/>
              </w:rPr>
            </w:pPr>
            <w:r w:rsidRPr="00123357">
              <w:rPr>
                <w:b/>
                <w:sz w:val="18"/>
                <w:szCs w:val="18"/>
              </w:rPr>
              <w:t>-1.2</w:t>
            </w:r>
          </w:p>
        </w:tc>
      </w:tr>
      <w:tr w:rsidR="00000000" w:rsidRPr="00123357">
        <w:trPr>
          <w:cantSplit/>
          <w:trHeight w:val="227"/>
        </w:trPr>
        <w:tc>
          <w:tcPr>
            <w:tcW w:w="2128" w:type="dxa"/>
            <w:vMerge/>
            <w:tcBorders>
              <w:left w:val="double" w:sz="4" w:space="0" w:color="auto"/>
            </w:tcBorders>
            <w:vAlign w:val="center"/>
          </w:tcPr>
          <w:p w:rsidR="00E64A39" w:rsidRPr="00123357" w:rsidRDefault="00E64A39">
            <w:pPr>
              <w:jc w:val="center"/>
              <w:rPr>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r w:rsidRPr="00123357">
              <w:rPr>
                <w:sz w:val="18"/>
                <w:szCs w:val="18"/>
                <w:vertAlign w:val="superscript"/>
              </w:rPr>
              <w:t>4</w:t>
            </w:r>
          </w:p>
        </w:tc>
        <w:tc>
          <w:tcPr>
            <w:tcW w:w="741" w:type="dxa"/>
            <w:tcBorders>
              <w:top w:val="nil"/>
              <w:bottom w:val="nil"/>
            </w:tcBorders>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-4.8</w:t>
            </w:r>
          </w:p>
        </w:tc>
        <w:tc>
          <w:tcPr>
            <w:tcW w:w="779" w:type="dxa"/>
            <w:tcBorders>
              <w:top w:val="nil"/>
              <w:bottom w:val="nil"/>
            </w:tcBorders>
          </w:tcPr>
          <w:p w:rsidR="00E64A39" w:rsidRPr="00123357" w:rsidRDefault="00E64A39">
            <w:pPr>
              <w:tabs>
                <w:tab w:val="clear" w:pos="284"/>
                <w:tab w:val="clear" w:pos="567"/>
                <w:tab w:val="left" w:pos="65"/>
              </w:tabs>
              <w:ind w:right="-5"/>
              <w:jc w:val="center"/>
              <w:rPr>
                <w:sz w:val="18"/>
                <w:szCs w:val="18"/>
              </w:rPr>
            </w:pPr>
            <w:r w:rsidRPr="00123357">
              <w:rPr>
                <w:sz w:val="18"/>
                <w:szCs w:val="18"/>
              </w:rPr>
              <w:t>-5.2</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-4.1</w:t>
            </w:r>
          </w:p>
        </w:tc>
        <w:tc>
          <w:tcPr>
            <w:tcW w:w="779"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-3.9</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bottom w:val="single" w:sz="4" w:space="0" w:color="auto"/>
            </w:tcBorders>
            <w:vAlign w:val="center"/>
          </w:tcPr>
          <w:p w:rsidR="00E64A39" w:rsidRPr="00123357" w:rsidRDefault="00E64A39">
            <w:pPr>
              <w:jc w:val="center"/>
              <w:rPr>
                <w:sz w:val="18"/>
                <w:szCs w:val="18"/>
              </w:rPr>
            </w:pPr>
          </w:p>
        </w:tc>
        <w:tc>
          <w:tcPr>
            <w:tcW w:w="1636" w:type="dxa"/>
            <w:tcBorders>
              <w:top w:val="nil"/>
              <w:bottom w:val="single" w:sz="4" w:space="0" w:color="auto"/>
            </w:tcBorders>
          </w:tcPr>
          <w:p w:rsidR="00E64A39" w:rsidRPr="00123357" w:rsidRDefault="00E64A39">
            <w:pPr>
              <w:tabs>
                <w:tab w:val="clear" w:pos="284"/>
                <w:tab w:val="left" w:pos="174"/>
              </w:tabs>
              <w:ind w:left="33"/>
              <w:rPr>
                <w:i/>
                <w:sz w:val="18"/>
                <w:szCs w:val="18"/>
              </w:rPr>
            </w:pPr>
            <w:r w:rsidRPr="00123357">
              <w:rPr>
                <w:i/>
                <w:sz w:val="18"/>
                <w:szCs w:val="18"/>
              </w:rPr>
              <w:t>SP Jun 2005</w:t>
            </w:r>
            <w:r w:rsidRPr="00123357">
              <w:rPr>
                <w:i/>
                <w:sz w:val="18"/>
                <w:szCs w:val="18"/>
                <w:vertAlign w:val="superscript"/>
              </w:rPr>
              <w:t>5</w:t>
            </w:r>
          </w:p>
        </w:tc>
        <w:tc>
          <w:tcPr>
            <w:tcW w:w="741" w:type="dxa"/>
            <w:tcBorders>
              <w:top w:val="nil"/>
              <w:bottom w:val="single" w:sz="4" w:space="0" w:color="auto"/>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-4.5</w:t>
            </w:r>
          </w:p>
        </w:tc>
        <w:tc>
          <w:tcPr>
            <w:tcW w:w="779" w:type="dxa"/>
            <w:tcBorders>
              <w:top w:val="nil"/>
              <w:bottom w:val="single" w:sz="4" w:space="0" w:color="auto"/>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-5.5</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-3.8</w:t>
            </w:r>
          </w:p>
        </w:tc>
        <w:tc>
          <w:tcPr>
            <w:tcW w:w="779"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-3.1</w:t>
            </w:r>
          </w:p>
        </w:tc>
        <w:tc>
          <w:tcPr>
            <w:tcW w:w="778" w:type="dxa"/>
            <w:tcBorders>
              <w:top w:val="nil"/>
              <w:bottom w:val="sing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-2.3</w:t>
            </w:r>
          </w:p>
        </w:tc>
        <w:tc>
          <w:tcPr>
            <w:tcW w:w="739" w:type="dxa"/>
            <w:tcBorders>
              <w:top w:val="nil"/>
              <w:bottom w:val="single" w:sz="4" w:space="0" w:color="auto"/>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-1.4</w:t>
            </w:r>
          </w:p>
        </w:tc>
      </w:tr>
      <w:tr w:rsidR="00000000" w:rsidRPr="00123357">
        <w:trPr>
          <w:cantSplit/>
          <w:trHeight w:val="227"/>
        </w:trPr>
        <w:tc>
          <w:tcPr>
            <w:tcW w:w="2128" w:type="dxa"/>
            <w:vMerge w:val="restart"/>
            <w:tcBorders>
              <w:top w:val="single" w:sz="4" w:space="0" w:color="auto"/>
              <w:left w:val="double" w:sz="4" w:space="0" w:color="auto"/>
            </w:tcBorders>
            <w:vAlign w:val="center"/>
          </w:tcPr>
          <w:p w:rsidR="00E64A39" w:rsidRPr="00123357" w:rsidRDefault="00E64A39">
            <w:pPr>
              <w:jc w:val="center"/>
              <w:rPr>
                <w:sz w:val="18"/>
                <w:szCs w:val="18"/>
              </w:rPr>
            </w:pPr>
            <w:r w:rsidRPr="00123357">
              <w:rPr>
                <w:sz w:val="18"/>
                <w:szCs w:val="18"/>
              </w:rPr>
              <w:t>Government gross debt</w:t>
            </w:r>
          </w:p>
          <w:p w:rsidR="00E64A39" w:rsidRPr="00123357" w:rsidRDefault="00E64A39">
            <w:pPr>
              <w:jc w:val="center"/>
              <w:rPr>
                <w:sz w:val="18"/>
                <w:szCs w:val="18"/>
              </w:rPr>
            </w:pPr>
            <w:r w:rsidRPr="00123357">
              <w:rPr>
                <w:sz w:val="18"/>
                <w:szCs w:val="18"/>
              </w:rPr>
              <w:t>(% of GDP)</w:t>
            </w:r>
          </w:p>
        </w:tc>
        <w:tc>
          <w:tcPr>
            <w:tcW w:w="1636" w:type="dxa"/>
            <w:tcBorders>
              <w:top w:val="single" w:sz="4" w:space="0" w:color="auto"/>
              <w:bottom w:val="nil"/>
            </w:tcBorders>
          </w:tcPr>
          <w:p w:rsidR="00E64A39" w:rsidRPr="00123357" w:rsidRDefault="00E64A39">
            <w:pPr>
              <w:tabs>
                <w:tab w:val="clear" w:pos="284"/>
                <w:tab w:val="left" w:pos="174"/>
              </w:tabs>
              <w:ind w:left="33"/>
              <w:rPr>
                <w:b/>
                <w:sz w:val="18"/>
                <w:szCs w:val="18"/>
              </w:rPr>
            </w:pPr>
            <w:r w:rsidRPr="00123357">
              <w:rPr>
                <w:b/>
                <w:sz w:val="18"/>
                <w:szCs w:val="18"/>
              </w:rPr>
              <w:t>SP Dec 2005</w:t>
            </w:r>
          </w:p>
        </w:tc>
        <w:tc>
          <w:tcPr>
            <w:tcW w:w="741" w:type="dxa"/>
            <w:tcBorders>
              <w:top w:val="single" w:sz="4" w:space="0" w:color="auto"/>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59.4</w:t>
            </w:r>
          </w:p>
        </w:tc>
        <w:tc>
          <w:tcPr>
            <w:tcW w:w="779" w:type="dxa"/>
            <w:tcBorders>
              <w:top w:val="single" w:sz="4" w:space="0" w:color="auto"/>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65.5</w:t>
            </w:r>
          </w:p>
        </w:tc>
        <w:tc>
          <w:tcPr>
            <w:tcW w:w="778" w:type="dxa"/>
            <w:tcBorders>
              <w:top w:val="single" w:sz="4"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68.7</w:t>
            </w:r>
          </w:p>
        </w:tc>
        <w:tc>
          <w:tcPr>
            <w:tcW w:w="779" w:type="dxa"/>
            <w:tcBorders>
              <w:top w:val="single" w:sz="4"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69.3</w:t>
            </w:r>
          </w:p>
        </w:tc>
        <w:tc>
          <w:tcPr>
            <w:tcW w:w="778" w:type="dxa"/>
            <w:tcBorders>
              <w:top w:val="single" w:sz="4" w:space="0" w:color="auto"/>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68.4</w:t>
            </w:r>
          </w:p>
        </w:tc>
        <w:tc>
          <w:tcPr>
            <w:tcW w:w="739" w:type="dxa"/>
            <w:tcBorders>
              <w:top w:val="single" w:sz="4" w:space="0" w:color="auto"/>
              <w:bottom w:val="nil"/>
              <w:right w:val="double" w:sz="4" w:space="0" w:color="auto"/>
            </w:tcBorders>
            <w:vAlign w:val="bottom"/>
          </w:tcPr>
          <w:p w:rsidR="00E64A39" w:rsidRPr="00123357" w:rsidRDefault="00E64A39">
            <w:pPr>
              <w:tabs>
                <w:tab w:val="clear" w:pos="567"/>
                <w:tab w:val="left" w:pos="381"/>
              </w:tabs>
              <w:ind w:right="-5"/>
              <w:jc w:val="center"/>
              <w:rPr>
                <w:sz w:val="18"/>
                <w:szCs w:val="18"/>
              </w:rPr>
            </w:pPr>
            <w:r w:rsidRPr="00123357">
              <w:rPr>
                <w:sz w:val="18"/>
                <w:szCs w:val="18"/>
              </w:rPr>
              <w:t>66.2</w:t>
            </w:r>
          </w:p>
        </w:tc>
      </w:tr>
      <w:tr w:rsidR="00000000" w:rsidRPr="00123357">
        <w:trPr>
          <w:cantSplit/>
          <w:trHeight w:val="227"/>
        </w:trPr>
        <w:tc>
          <w:tcPr>
            <w:tcW w:w="2128" w:type="dxa"/>
            <w:vMerge/>
            <w:tcBorders>
              <w:left w:val="double" w:sz="4" w:space="0" w:color="auto"/>
            </w:tcBorders>
          </w:tcPr>
          <w:p w:rsidR="00E64A39" w:rsidRPr="00123357" w:rsidRDefault="00E64A39">
            <w:pPr>
              <w:rPr>
                <w:b/>
                <w:sz w:val="18"/>
                <w:szCs w:val="18"/>
              </w:rPr>
            </w:pPr>
          </w:p>
        </w:tc>
        <w:tc>
          <w:tcPr>
            <w:tcW w:w="1636" w:type="dxa"/>
            <w:tcBorders>
              <w:top w:val="nil"/>
              <w:bottom w:val="nil"/>
            </w:tcBorders>
          </w:tcPr>
          <w:p w:rsidR="00E64A39" w:rsidRPr="00123357" w:rsidRDefault="00E64A39">
            <w:pPr>
              <w:tabs>
                <w:tab w:val="clear" w:pos="284"/>
                <w:tab w:val="left" w:pos="174"/>
              </w:tabs>
              <w:ind w:left="33"/>
              <w:rPr>
                <w:sz w:val="18"/>
                <w:szCs w:val="18"/>
              </w:rPr>
            </w:pPr>
            <w:r w:rsidRPr="00123357">
              <w:rPr>
                <w:sz w:val="18"/>
                <w:szCs w:val="18"/>
              </w:rPr>
              <w:t>Spring forecasts</w:t>
            </w:r>
          </w:p>
        </w:tc>
        <w:tc>
          <w:tcPr>
            <w:tcW w:w="741" w:type="dxa"/>
            <w:tcBorders>
              <w:top w:val="nil"/>
              <w:bottom w:val="nil"/>
            </w:tcBorders>
            <w:vAlign w:val="bottom"/>
          </w:tcPr>
          <w:p w:rsidR="00E64A39" w:rsidRPr="00123357" w:rsidRDefault="00E64A39">
            <w:pPr>
              <w:tabs>
                <w:tab w:val="clear" w:pos="284"/>
                <w:tab w:val="clear" w:pos="567"/>
                <w:tab w:val="right" w:pos="381"/>
                <w:tab w:val="center" w:pos="665"/>
              </w:tabs>
              <w:ind w:right="-5"/>
              <w:jc w:val="center"/>
              <w:rPr>
                <w:sz w:val="18"/>
                <w:szCs w:val="18"/>
              </w:rPr>
            </w:pPr>
            <w:r w:rsidRPr="00123357">
              <w:rPr>
                <w:sz w:val="18"/>
                <w:szCs w:val="18"/>
              </w:rPr>
              <w:t>58.7</w:t>
            </w:r>
          </w:p>
        </w:tc>
        <w:tc>
          <w:tcPr>
            <w:tcW w:w="779" w:type="dxa"/>
            <w:tcBorders>
              <w:top w:val="nil"/>
              <w:bottom w:val="nil"/>
            </w:tcBorders>
            <w:vAlign w:val="bottom"/>
          </w:tcPr>
          <w:p w:rsidR="00E64A39" w:rsidRPr="00123357" w:rsidRDefault="00E64A39">
            <w:pPr>
              <w:tabs>
                <w:tab w:val="clear" w:pos="284"/>
                <w:tab w:val="clear" w:pos="567"/>
                <w:tab w:val="left" w:pos="65"/>
              </w:tabs>
              <w:ind w:right="-5"/>
              <w:jc w:val="center"/>
              <w:rPr>
                <w:sz w:val="18"/>
                <w:szCs w:val="18"/>
              </w:rPr>
            </w:pPr>
            <w:r w:rsidRPr="00123357">
              <w:rPr>
                <w:sz w:val="18"/>
                <w:szCs w:val="18"/>
              </w:rPr>
              <w:t>63.9</w:t>
            </w:r>
          </w:p>
        </w:tc>
        <w:tc>
          <w:tcPr>
            <w:tcW w:w="778"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68.4</w:t>
            </w:r>
          </w:p>
        </w:tc>
        <w:tc>
          <w:tcPr>
            <w:tcW w:w="779" w:type="dxa"/>
            <w:tcBorders>
              <w:top w:val="nil"/>
              <w:bottom w:val="nil"/>
            </w:tcBorders>
            <w:vAlign w:val="bottom"/>
          </w:tcPr>
          <w:p w:rsidR="00E64A39" w:rsidRPr="00123357" w:rsidRDefault="00E64A39">
            <w:pPr>
              <w:tabs>
                <w:tab w:val="clear" w:pos="567"/>
                <w:tab w:val="left" w:pos="381"/>
              </w:tabs>
              <w:ind w:right="-5"/>
              <w:jc w:val="center"/>
              <w:rPr>
                <w:sz w:val="18"/>
                <w:szCs w:val="18"/>
              </w:rPr>
            </w:pPr>
            <w:r w:rsidRPr="00123357">
              <w:rPr>
                <w:sz w:val="18"/>
                <w:szCs w:val="18"/>
              </w:rPr>
              <w:t>70.6</w:t>
            </w:r>
          </w:p>
        </w:tc>
        <w:tc>
          <w:tcPr>
            <w:tcW w:w="778" w:type="dxa"/>
            <w:tcBorders>
              <w:top w:val="nil"/>
              <w:bottom w:val="nil"/>
            </w:tcBorders>
          </w:tcPr>
          <w:p w:rsidR="00E64A39" w:rsidRPr="00123357" w:rsidRDefault="00E64A39">
            <w:pPr>
              <w:tabs>
                <w:tab w:val="clear" w:pos="567"/>
                <w:tab w:val="left" w:pos="381"/>
              </w:tabs>
              <w:ind w:right="-5"/>
              <w:jc w:val="center"/>
              <w:rPr>
                <w:sz w:val="18"/>
                <w:szCs w:val="18"/>
              </w:rPr>
            </w:pPr>
            <w:r w:rsidRPr="00123357">
              <w:rPr>
                <w:sz w:val="18"/>
                <w:szCs w:val="18"/>
              </w:rPr>
              <w:t>n.a.</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sz w:val="18"/>
                <w:szCs w:val="18"/>
              </w:rPr>
            </w:pPr>
            <w:r w:rsidRPr="00123357">
              <w:rPr>
                <w:sz w:val="18"/>
                <w:szCs w:val="18"/>
              </w:rPr>
              <w:t>n.a.</w:t>
            </w:r>
          </w:p>
        </w:tc>
      </w:tr>
      <w:tr w:rsidR="00000000" w:rsidRPr="00123357">
        <w:trPr>
          <w:cantSplit/>
          <w:trHeight w:val="227"/>
        </w:trPr>
        <w:tc>
          <w:tcPr>
            <w:tcW w:w="2128" w:type="dxa"/>
            <w:vMerge/>
            <w:tcBorders>
              <w:left w:val="double" w:sz="4" w:space="0" w:color="auto"/>
            </w:tcBorders>
          </w:tcPr>
          <w:p w:rsidR="00E64A39" w:rsidRPr="00123357" w:rsidRDefault="00E64A39">
            <w:pPr>
              <w:rPr>
                <w:b/>
                <w:sz w:val="18"/>
                <w:szCs w:val="18"/>
              </w:rPr>
            </w:pPr>
          </w:p>
        </w:tc>
        <w:tc>
          <w:tcPr>
            <w:tcW w:w="1636" w:type="dxa"/>
            <w:tcBorders>
              <w:top w:val="nil"/>
              <w:bottom w:val="nil"/>
            </w:tcBorders>
          </w:tcPr>
          <w:p w:rsidR="00E64A39" w:rsidRPr="00123357" w:rsidRDefault="00E64A39">
            <w:pPr>
              <w:tabs>
                <w:tab w:val="clear" w:pos="284"/>
                <w:tab w:val="left" w:pos="174"/>
              </w:tabs>
              <w:ind w:left="33"/>
              <w:rPr>
                <w:i/>
                <w:sz w:val="18"/>
                <w:szCs w:val="18"/>
              </w:rPr>
            </w:pPr>
            <w:r w:rsidRPr="00123357">
              <w:rPr>
                <w:i/>
                <w:sz w:val="18"/>
                <w:szCs w:val="18"/>
              </w:rPr>
              <w:t>SP Jun 2005</w:t>
            </w:r>
          </w:p>
        </w:tc>
        <w:tc>
          <w:tcPr>
            <w:tcW w:w="741" w:type="dxa"/>
            <w:tcBorders>
              <w:top w:val="nil"/>
              <w:bottom w:val="nil"/>
            </w:tcBorders>
          </w:tcPr>
          <w:p w:rsidR="00E64A39" w:rsidRPr="00123357" w:rsidRDefault="00E64A39">
            <w:pPr>
              <w:tabs>
                <w:tab w:val="clear" w:pos="284"/>
                <w:tab w:val="clear" w:pos="567"/>
                <w:tab w:val="right" w:pos="381"/>
                <w:tab w:val="center" w:pos="665"/>
              </w:tabs>
              <w:ind w:right="-5"/>
              <w:jc w:val="center"/>
              <w:rPr>
                <w:i/>
                <w:sz w:val="18"/>
                <w:szCs w:val="18"/>
              </w:rPr>
            </w:pPr>
            <w:r w:rsidRPr="00123357">
              <w:rPr>
                <w:i/>
                <w:sz w:val="18"/>
                <w:szCs w:val="18"/>
              </w:rPr>
              <w:t>61.9</w:t>
            </w:r>
          </w:p>
        </w:tc>
        <w:tc>
          <w:tcPr>
            <w:tcW w:w="779" w:type="dxa"/>
            <w:tcBorders>
              <w:top w:val="nil"/>
              <w:bottom w:val="nil"/>
            </w:tcBorders>
          </w:tcPr>
          <w:p w:rsidR="00E64A39" w:rsidRPr="00123357" w:rsidRDefault="00E64A39">
            <w:pPr>
              <w:tabs>
                <w:tab w:val="clear" w:pos="284"/>
                <w:tab w:val="clear" w:pos="567"/>
                <w:tab w:val="left" w:pos="65"/>
              </w:tabs>
              <w:ind w:right="-5"/>
              <w:jc w:val="center"/>
              <w:rPr>
                <w:i/>
                <w:sz w:val="18"/>
                <w:szCs w:val="18"/>
              </w:rPr>
            </w:pPr>
            <w:r w:rsidRPr="00123357">
              <w:rPr>
                <w:i/>
                <w:sz w:val="18"/>
                <w:szCs w:val="18"/>
              </w:rPr>
              <w:t>66.5</w:t>
            </w:r>
          </w:p>
        </w:tc>
        <w:tc>
          <w:tcPr>
            <w:tcW w:w="778" w:type="dxa"/>
            <w:tcBorders>
              <w:top w:val="nil"/>
              <w:bottom w:val="nil"/>
            </w:tcBorders>
          </w:tcPr>
          <w:p w:rsidR="00E64A39" w:rsidRPr="00123357" w:rsidRDefault="00E64A39">
            <w:pPr>
              <w:tabs>
                <w:tab w:val="clear" w:pos="567"/>
                <w:tab w:val="left" w:pos="381"/>
              </w:tabs>
              <w:ind w:right="-5"/>
              <w:jc w:val="center"/>
              <w:rPr>
                <w:i/>
                <w:sz w:val="18"/>
                <w:szCs w:val="18"/>
              </w:rPr>
            </w:pPr>
            <w:r w:rsidRPr="00123357">
              <w:rPr>
                <w:i/>
                <w:sz w:val="18"/>
                <w:szCs w:val="18"/>
              </w:rPr>
              <w:t>67.5</w:t>
            </w:r>
          </w:p>
        </w:tc>
        <w:tc>
          <w:tcPr>
            <w:tcW w:w="779" w:type="dxa"/>
            <w:tcBorders>
              <w:top w:val="nil"/>
              <w:bottom w:val="nil"/>
            </w:tcBorders>
          </w:tcPr>
          <w:p w:rsidR="00E64A39" w:rsidRPr="00123357" w:rsidRDefault="00E64A39">
            <w:pPr>
              <w:tabs>
                <w:tab w:val="clear" w:pos="567"/>
                <w:tab w:val="left" w:pos="381"/>
              </w:tabs>
              <w:ind w:right="-5"/>
              <w:jc w:val="center"/>
              <w:rPr>
                <w:i/>
                <w:sz w:val="18"/>
                <w:szCs w:val="18"/>
              </w:rPr>
            </w:pPr>
            <w:r w:rsidRPr="00123357">
              <w:rPr>
                <w:i/>
                <w:sz w:val="18"/>
                <w:szCs w:val="18"/>
              </w:rPr>
              <w:t>67.8</w:t>
            </w:r>
          </w:p>
        </w:tc>
        <w:tc>
          <w:tcPr>
            <w:tcW w:w="778" w:type="dxa"/>
            <w:tcBorders>
              <w:top w:val="nil"/>
              <w:bottom w:val="nil"/>
            </w:tcBorders>
          </w:tcPr>
          <w:p w:rsidR="00E64A39" w:rsidRPr="00123357" w:rsidRDefault="00E64A39">
            <w:pPr>
              <w:tabs>
                <w:tab w:val="clear" w:pos="567"/>
                <w:tab w:val="left" w:pos="381"/>
              </w:tabs>
              <w:ind w:right="-5"/>
              <w:jc w:val="center"/>
              <w:rPr>
                <w:i/>
                <w:sz w:val="18"/>
                <w:szCs w:val="18"/>
              </w:rPr>
            </w:pPr>
            <w:r w:rsidRPr="00123357">
              <w:rPr>
                <w:i/>
                <w:sz w:val="18"/>
                <w:szCs w:val="18"/>
              </w:rPr>
              <w:t>66.8</w:t>
            </w:r>
          </w:p>
        </w:tc>
        <w:tc>
          <w:tcPr>
            <w:tcW w:w="739" w:type="dxa"/>
            <w:tcBorders>
              <w:top w:val="nil"/>
              <w:bottom w:val="nil"/>
              <w:right w:val="double" w:sz="4" w:space="0" w:color="auto"/>
            </w:tcBorders>
          </w:tcPr>
          <w:p w:rsidR="00E64A39" w:rsidRPr="00123357" w:rsidRDefault="00E64A39">
            <w:pPr>
              <w:tabs>
                <w:tab w:val="clear" w:pos="567"/>
                <w:tab w:val="left" w:pos="381"/>
              </w:tabs>
              <w:ind w:right="-5"/>
              <w:jc w:val="center"/>
              <w:rPr>
                <w:i/>
                <w:sz w:val="18"/>
                <w:szCs w:val="18"/>
              </w:rPr>
            </w:pPr>
            <w:r w:rsidRPr="00123357">
              <w:rPr>
                <w:i/>
                <w:sz w:val="18"/>
                <w:szCs w:val="18"/>
              </w:rPr>
              <w:t>64.5</w:t>
            </w:r>
          </w:p>
        </w:tc>
      </w:tr>
      <w:tr w:rsidR="00000000" w:rsidRPr="00123357">
        <w:trPr>
          <w:cantSplit/>
          <w:trHeight w:val="785"/>
        </w:trPr>
        <w:tc>
          <w:tcPr>
            <w:tcW w:w="8358" w:type="dxa"/>
            <w:gridSpan w:val="8"/>
            <w:tcBorders>
              <w:left w:val="double" w:sz="4" w:space="0" w:color="auto"/>
              <w:bottom w:val="double" w:sz="4" w:space="0" w:color="auto"/>
              <w:right w:val="double" w:sz="4" w:space="0" w:color="auto"/>
            </w:tcBorders>
          </w:tcPr>
          <w:p w:rsidR="00E64A39" w:rsidRPr="00123357" w:rsidRDefault="00E64A39">
            <w:pPr>
              <w:rPr>
                <w:sz w:val="18"/>
                <w:szCs w:val="18"/>
              </w:rPr>
            </w:pPr>
            <w:r w:rsidRPr="00123357">
              <w:rPr>
                <w:sz w:val="18"/>
                <w:szCs w:val="18"/>
                <w:u w:val="single"/>
              </w:rPr>
              <w:t>Notes</w:t>
            </w:r>
            <w:r w:rsidRPr="00123357">
              <w:rPr>
                <w:sz w:val="18"/>
                <w:szCs w:val="18"/>
              </w:rPr>
              <w:t>:</w:t>
            </w:r>
          </w:p>
          <w:p w:rsidR="00E64A39" w:rsidRPr="00123357" w:rsidRDefault="00E64A39">
            <w:pPr>
              <w:rPr>
                <w:sz w:val="18"/>
                <w:szCs w:val="18"/>
              </w:rPr>
            </w:pPr>
            <w:r w:rsidRPr="00123357">
              <w:rPr>
                <w:sz w:val="18"/>
                <w:szCs w:val="18"/>
                <w:vertAlign w:val="superscript"/>
              </w:rPr>
              <w:t>1</w:t>
            </w:r>
            <w:r w:rsidRPr="00123357">
              <w:rPr>
                <w:sz w:val="18"/>
                <w:szCs w:val="18"/>
              </w:rPr>
              <w:t>Commission services calculations on the basis of the information in the programme.</w:t>
            </w:r>
          </w:p>
          <w:p w:rsidR="00E64A39" w:rsidRPr="00123357" w:rsidRDefault="00E64A39">
            <w:pPr>
              <w:rPr>
                <w:sz w:val="18"/>
                <w:szCs w:val="18"/>
              </w:rPr>
            </w:pPr>
            <w:r w:rsidRPr="00123357">
              <w:rPr>
                <w:sz w:val="18"/>
                <w:szCs w:val="18"/>
                <w:vertAlign w:val="superscript"/>
              </w:rPr>
              <w:t>2</w:t>
            </w:r>
            <w:r w:rsidRPr="00123357">
              <w:rPr>
                <w:sz w:val="18"/>
                <w:szCs w:val="18"/>
              </w:rPr>
              <w:t>Cyclically-adjusted balance (as in the previous rows) excluding one-off and other temporary measures.</w:t>
            </w:r>
          </w:p>
          <w:p w:rsidR="00E64A39" w:rsidRPr="00123357" w:rsidRDefault="00E64A39">
            <w:pPr>
              <w:rPr>
                <w:sz w:val="18"/>
                <w:szCs w:val="18"/>
              </w:rPr>
            </w:pPr>
            <w:r w:rsidRPr="00123357">
              <w:rPr>
                <w:sz w:val="18"/>
                <w:szCs w:val="18"/>
                <w:vertAlign w:val="superscript"/>
              </w:rPr>
              <w:t>3</w:t>
            </w:r>
            <w:r w:rsidRPr="00123357">
              <w:rPr>
                <w:sz w:val="18"/>
                <w:szCs w:val="18"/>
              </w:rPr>
              <w:t>There are no one-off and other temporary measures in the programme.</w:t>
            </w:r>
          </w:p>
          <w:p w:rsidR="00E64A39" w:rsidRPr="00123357" w:rsidRDefault="00E64A39">
            <w:pPr>
              <w:rPr>
                <w:sz w:val="18"/>
                <w:szCs w:val="18"/>
              </w:rPr>
            </w:pPr>
            <w:r w:rsidRPr="00123357">
              <w:rPr>
                <w:sz w:val="18"/>
                <w:szCs w:val="18"/>
                <w:vertAlign w:val="superscript"/>
              </w:rPr>
              <w:t>4</w:t>
            </w:r>
            <w:r w:rsidRPr="00123357">
              <w:rPr>
                <w:sz w:val="18"/>
                <w:szCs w:val="18"/>
              </w:rPr>
              <w:t>One-off and other temporary measures taken from the Commission services’ spring 2006 forecast: 2.1% of GDP in 2004, 0.1% of GDP in 2005 and 0.1% of GDP in 2006 and 0.1% of GDP in 2007; all deficit-reducing.</w:t>
            </w:r>
          </w:p>
          <w:p w:rsidR="00E64A39" w:rsidRPr="00123357" w:rsidRDefault="00E64A39">
            <w:pPr>
              <w:rPr>
                <w:sz w:val="18"/>
                <w:szCs w:val="18"/>
              </w:rPr>
            </w:pPr>
            <w:r w:rsidRPr="00123357">
              <w:rPr>
                <w:sz w:val="18"/>
                <w:szCs w:val="18"/>
                <w:vertAlign w:val="superscript"/>
              </w:rPr>
              <w:t>5</w:t>
            </w:r>
            <w:r w:rsidRPr="00123357">
              <w:rPr>
                <w:sz w:val="18"/>
                <w:szCs w:val="18"/>
              </w:rPr>
              <w:t>One-off operations taken from the June 2005 programme: 2.3% of GDP in 2004 and 0.2% of GDP in 2005; all deficit-reducing.</w:t>
            </w:r>
          </w:p>
          <w:p w:rsidR="00E64A39" w:rsidRPr="00123357" w:rsidRDefault="00E64A39">
            <w:pPr>
              <w:rPr>
                <w:sz w:val="18"/>
                <w:szCs w:val="18"/>
              </w:rPr>
            </w:pPr>
            <w:r w:rsidRPr="00123357">
              <w:rPr>
                <w:sz w:val="18"/>
                <w:szCs w:val="18"/>
                <w:vertAlign w:val="superscript"/>
              </w:rPr>
              <w:t>6</w:t>
            </w:r>
            <w:r w:rsidRPr="00123357">
              <w:rPr>
                <w:sz w:val="18"/>
                <w:szCs w:val="18"/>
              </w:rPr>
              <w:t xml:space="preserve">Based on estimated potential growth of 1.3%, 1.1%, 1.2% and 1.4% respectively in the period 2004-2007. </w:t>
            </w:r>
          </w:p>
          <w:p w:rsidR="00E64A39" w:rsidRPr="00123357" w:rsidRDefault="00E64A39">
            <w:pPr>
              <w:rPr>
                <w:sz w:val="18"/>
                <w:szCs w:val="18"/>
              </w:rPr>
            </w:pPr>
            <w:r w:rsidRPr="00123357">
              <w:rPr>
                <w:sz w:val="18"/>
                <w:szCs w:val="18"/>
              </w:rPr>
              <w:t>*Private consumption deflator</w:t>
            </w:r>
          </w:p>
          <w:p w:rsidR="00E64A39" w:rsidRPr="00123357" w:rsidRDefault="00E64A39">
            <w:pPr>
              <w:rPr>
                <w:sz w:val="18"/>
                <w:szCs w:val="18"/>
              </w:rPr>
            </w:pPr>
          </w:p>
          <w:p w:rsidR="00E64A39" w:rsidRPr="00123357" w:rsidRDefault="00E64A39">
            <w:pPr>
              <w:rPr>
                <w:i/>
                <w:sz w:val="18"/>
                <w:szCs w:val="18"/>
                <w:u w:val="single"/>
              </w:rPr>
            </w:pPr>
            <w:r w:rsidRPr="00123357">
              <w:rPr>
                <w:i/>
                <w:sz w:val="18"/>
                <w:szCs w:val="18"/>
                <w:u w:val="single"/>
              </w:rPr>
              <w:t>Source:</w:t>
            </w:r>
          </w:p>
          <w:p w:rsidR="00E64A39" w:rsidRPr="00123357" w:rsidRDefault="00E64A39">
            <w:pPr>
              <w:rPr>
                <w:i/>
                <w:sz w:val="18"/>
                <w:szCs w:val="18"/>
              </w:rPr>
            </w:pPr>
            <w:r w:rsidRPr="00123357">
              <w:rPr>
                <w:i/>
                <w:sz w:val="18"/>
                <w:szCs w:val="18"/>
              </w:rPr>
              <w:t>Stability programme (SP); Commission services’ spring 2006 economic forecasts (COM); Commission services’ calculations</w:t>
            </w:r>
          </w:p>
        </w:tc>
      </w:tr>
    </w:tbl>
    <w:p w:rsidR="00E64A39" w:rsidRPr="00123357" w:rsidRDefault="00E64A39"/>
    <w:sectPr w:rsidR="00E64A39" w:rsidRPr="00123357">
      <w:footerReference w:type="default" r:id="rId8"/>
      <w:pgSz w:w="11907" w:h="16840" w:code="9"/>
      <w:pgMar w:top="1021" w:right="1191" w:bottom="1644" w:left="2608" w:header="0"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A39" w:rsidRPr="00123357" w:rsidRDefault="00E64A39">
      <w:r w:rsidRPr="00123357">
        <w:separator/>
      </w:r>
    </w:p>
  </w:endnote>
  <w:endnote w:type="continuationSeparator" w:id="0">
    <w:p w:rsidR="00E64A39" w:rsidRPr="00123357" w:rsidRDefault="00E64A39">
      <w:r w:rsidRPr="00123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39" w:rsidRPr="00123357" w:rsidRDefault="00E64A39">
    <w:pPr>
      <w:pStyle w:val="Sidfot"/>
      <w:jc w:val="center"/>
      <w:rPr>
        <w:lang w:val="sv-SE"/>
      </w:rPr>
    </w:pPr>
    <w:r w:rsidRPr="00123357">
      <w:rPr>
        <w:rStyle w:val="Sidnummer"/>
        <w:lang w:val="sv-SE"/>
      </w:rPr>
      <w:fldChar w:fldCharType="begin" w:fldLock="1"/>
    </w:r>
    <w:r w:rsidRPr="00123357">
      <w:rPr>
        <w:rStyle w:val="Sidnummer"/>
        <w:lang w:val="sv-SE"/>
      </w:rPr>
      <w:instrText xml:space="preserve"> PAGE </w:instrText>
    </w:r>
    <w:r w:rsidRPr="00123357">
      <w:rPr>
        <w:rStyle w:val="Sidnummer"/>
        <w:lang w:val="sv-SE"/>
      </w:rPr>
      <w:fldChar w:fldCharType="separate"/>
    </w:r>
    <w:r w:rsidRPr="00123357">
      <w:rPr>
        <w:rStyle w:val="Sidnummer"/>
        <w:lang w:val="sv-SE"/>
      </w:rPr>
      <w:t>2</w:t>
    </w:r>
    <w:r w:rsidRPr="00123357">
      <w:rPr>
        <w:rStyle w:val="Sidnummer"/>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A39" w:rsidRPr="00123357" w:rsidRDefault="00E64A39">
      <w:r w:rsidRPr="00123357">
        <w:separator/>
      </w:r>
    </w:p>
  </w:footnote>
  <w:footnote w:type="continuationSeparator" w:id="0">
    <w:p w:rsidR="00E64A39" w:rsidRPr="00123357" w:rsidRDefault="00E64A39">
      <w:r w:rsidRPr="001233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2" w15:restartNumberingAfterBreak="0">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3" w15:restartNumberingAfterBreak="0">
    <w:nsid w:val="3A894E1E"/>
    <w:multiLevelType w:val="multilevel"/>
    <w:tmpl w:val="5AB4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hint="default"/>
      </w:rPr>
    </w:lvl>
  </w:abstractNum>
  <w:abstractNum w:abstractNumId="5" w15:restartNumberingAfterBreak="0">
    <w:nsid w:val="5E715ED0"/>
    <w:multiLevelType w:val="hybridMultilevel"/>
    <w:tmpl w:val="259E63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3D3843"/>
    <w:multiLevelType w:val="multilevel"/>
    <w:tmpl w:val="F8C0685A"/>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690838747">
    <w:abstractNumId w:val="4"/>
  </w:num>
  <w:num w:numId="2" w16cid:durableId="1786802839">
    <w:abstractNumId w:val="1"/>
  </w:num>
  <w:num w:numId="3" w16cid:durableId="178064344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16cid:durableId="558132628">
    <w:abstractNumId w:val="2"/>
  </w:num>
  <w:num w:numId="5" w16cid:durableId="427779147">
    <w:abstractNumId w:val="6"/>
  </w:num>
  <w:num w:numId="6" w16cid:durableId="1333145461">
    <w:abstractNumId w:val="3"/>
  </w:num>
  <w:num w:numId="7" w16cid:durableId="1593660871">
    <w:abstractNumId w:val="5"/>
  </w:num>
  <w:num w:numId="8" w16cid:durableId="1818841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IP_EN"/>
  </w:docVars>
  <w:rsids>
    <w:rsidRoot w:val="00AF1340"/>
    <w:rsid w:val="00123357"/>
    <w:rsid w:val="00AF1340"/>
    <w:rsid w:val="00E64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A2145-5D40-4825-BD15-06C168E1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lang w:val="sv-SE" w:eastAsia="en-GB"/>
    </w:rPr>
  </w:style>
  <w:style w:type="character" w:default="1" w:styleId="Standardstycketeckensnitt">
    <w:name w:val="Default Paragraph Font"/>
    <w:aliases w:val=" Char Char1 Char Char Char Char Char Char Char"/>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NNote">
    <w:name w:val="1 N° Note"/>
    <w:basedOn w:val="Normal"/>
    <w:next w:val="2Date"/>
    <w:pPr>
      <w:jc w:val="right"/>
    </w:pPr>
    <w:rPr>
      <w:b/>
      <w:caps/>
      <w:sz w:val="24"/>
    </w:rPr>
  </w:style>
  <w:style w:type="paragraph" w:customStyle="1" w:styleId="2Date">
    <w:name w:val="2 Date"/>
    <w:basedOn w:val="Normal"/>
    <w:next w:val="3Titre"/>
    <w:pPr>
      <w:spacing w:before="240"/>
      <w:jc w:val="right"/>
    </w:pPr>
    <w:rPr>
      <w:lang w:val="en-GB"/>
    </w:rPr>
  </w:style>
  <w:style w:type="paragraph" w:customStyle="1" w:styleId="3Titre">
    <w:name w:val="3 Titre"/>
    <w:basedOn w:val="Normal"/>
    <w:next w:val="4Chapeau"/>
    <w:autoRedefine/>
    <w:pPr>
      <w:spacing w:before="960"/>
      <w:jc w:val="both"/>
    </w:pPr>
    <w:rPr>
      <w:b/>
      <w:sz w:val="32"/>
      <w:lang w:val="en-GB"/>
    </w:rPr>
  </w:style>
  <w:style w:type="paragraph" w:styleId="Sidfot">
    <w:name w:val="footer"/>
    <w:basedOn w:val="Normal"/>
    <w:semiHidden/>
    <w:pPr>
      <w:tabs>
        <w:tab w:val="center" w:pos="4153"/>
        <w:tab w:val="right" w:pos="8306"/>
      </w:tabs>
    </w:pPr>
    <w:rPr>
      <w:lang w:val="en-GB"/>
    </w:rPr>
  </w:style>
  <w:style w:type="character" w:styleId="Sidnummer">
    <w:name w:val="page number"/>
    <w:basedOn w:val="Standardstycketeckensnitt"/>
    <w:semiHidden/>
  </w:style>
  <w:style w:type="paragraph" w:customStyle="1" w:styleId="4Chapeau">
    <w:name w:val="4 Chapeau"/>
    <w:basedOn w:val="Normal"/>
    <w:next w:val="5Normal"/>
    <w:autoRedefine/>
    <w:pPr>
      <w:spacing w:before="480" w:after="240"/>
      <w:jc w:val="both"/>
    </w:pPr>
    <w:rPr>
      <w:b/>
      <w:i/>
      <w:lang w:val="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character" w:styleId="Fotnotsreferens">
    <w:name w:val="footnote reference"/>
    <w:basedOn w:val="Standardstycketeckensnitt"/>
    <w:semiHidden/>
    <w:rPr>
      <w:rFonts w:ascii="Arial" w:hAnsi="Arial"/>
      <w:b/>
      <w:kern w:val="0"/>
      <w:sz w:val="20"/>
      <w:vertAlign w:val="superscript"/>
    </w:rPr>
  </w:style>
  <w:style w:type="paragraph" w:styleId="Fotnotstext">
    <w:name w:val="footnote text"/>
    <w:basedOn w:val="Normal"/>
    <w:semiHidden/>
    <w:pPr>
      <w:ind w:left="170" w:hanging="170"/>
    </w:pPr>
    <w:rPr>
      <w:sz w:val="20"/>
    </w:rPr>
  </w:style>
  <w:style w:type="paragraph" w:styleId="Sidhuvud">
    <w:name w:val="header"/>
    <w:basedOn w:val="Normal"/>
    <w:semiHidden/>
    <w:pPr>
      <w:tabs>
        <w:tab w:val="center" w:pos="4153"/>
        <w:tab w:val="right" w:pos="8306"/>
      </w:tabs>
    </w:pPr>
    <w:rPr>
      <w:lang w:val="en-GB"/>
    </w:rPr>
  </w:style>
  <w:style w:type="paragraph" w:customStyle="1" w:styleId="Sous-titre1">
    <w:name w:val="Sous-titre 1"/>
    <w:basedOn w:val="Normal"/>
    <w:next w:val="5Normal"/>
    <w:autoRedefine/>
    <w:pPr>
      <w:spacing w:before="120" w:after="80"/>
      <w:jc w:val="both"/>
    </w:pPr>
    <w:rPr>
      <w:b/>
      <w:sz w:val="24"/>
    </w:rPr>
  </w:style>
  <w:style w:type="paragraph" w:customStyle="1" w:styleId="Sous-titre2">
    <w:name w:val="Sous-titre 2"/>
    <w:basedOn w:val="Normal"/>
    <w:next w:val="Texte2"/>
    <w:autoRedefine/>
    <w:pPr>
      <w:spacing w:before="120" w:after="80"/>
      <w:ind w:left="284"/>
    </w:pPr>
    <w:rPr>
      <w:b/>
    </w:rPr>
  </w:style>
  <w:style w:type="paragraph" w:customStyle="1" w:styleId="Sous-titre3">
    <w:name w:val="Sous-titre 3"/>
    <w:basedOn w:val="Normal"/>
    <w:next w:val="Texte3"/>
    <w:autoRedefine/>
    <w:pPr>
      <w:spacing w:before="120" w:after="80"/>
      <w:ind w:left="567"/>
    </w:pPr>
    <w:rPr>
      <w:b/>
      <w:i/>
    </w:rPr>
  </w:style>
  <w:style w:type="paragraph" w:customStyle="1" w:styleId="Texte1">
    <w:name w:val="Texte 1"/>
    <w:basedOn w:val="Normal"/>
    <w:pPr>
      <w:spacing w:after="80"/>
      <w:jc w:val="both"/>
    </w:pPr>
  </w:style>
  <w:style w:type="paragraph" w:customStyle="1" w:styleId="Texte2">
    <w:name w:val="Texte 2"/>
    <w:basedOn w:val="Normal"/>
    <w:pPr>
      <w:tabs>
        <w:tab w:val="left" w:pos="720"/>
      </w:tabs>
      <w:suppressAutoHyphens/>
      <w:spacing w:after="80"/>
      <w:ind w:left="284"/>
      <w:jc w:val="both"/>
    </w:pPr>
  </w:style>
  <w:style w:type="paragraph" w:customStyle="1" w:styleId="Texte3">
    <w:name w:val="Texte 3"/>
    <w:basedOn w:val="Normal"/>
    <w:pPr>
      <w:ind w:left="567"/>
      <w:jc w:val="both"/>
    </w:pPr>
  </w:style>
  <w:style w:type="paragraph" w:customStyle="1" w:styleId="Tiret1">
    <w:name w:val="Tiret 1"/>
    <w:basedOn w:val="Texte1"/>
    <w:autoRedefine/>
    <w:pPr>
      <w:numPr>
        <w:numId w:val="1"/>
      </w:numPr>
      <w:tabs>
        <w:tab w:val="clear" w:pos="360"/>
      </w:tabs>
      <w:spacing w:after="40"/>
    </w:pPr>
  </w:style>
  <w:style w:type="paragraph" w:customStyle="1" w:styleId="Tiret2">
    <w:name w:val="Tiret 2"/>
    <w:basedOn w:val="Texte2"/>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pPr>
      <w:numPr>
        <w:numId w:val="4"/>
      </w:numPr>
      <w:spacing w:after="40"/>
    </w:pPr>
  </w:style>
  <w:style w:type="paragraph" w:styleId="Numreradlista">
    <w:name w:val="List Number"/>
    <w:basedOn w:val="Normal"/>
    <w:semiHidden/>
    <w:pPr>
      <w:numPr>
        <w:numId w:val="5"/>
      </w:numPr>
      <w:tabs>
        <w:tab w:val="clear" w:pos="284"/>
        <w:tab w:val="clear" w:pos="567"/>
        <w:tab w:val="clear" w:pos="709"/>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2">
    <w:name w:val="List Number (Level 2)"/>
    <w:basedOn w:val="Normal"/>
    <w:pPr>
      <w:numPr>
        <w:ilvl w:val="1"/>
        <w:numId w:val="5"/>
      </w:numPr>
      <w:tabs>
        <w:tab w:val="clear" w:pos="284"/>
        <w:tab w:val="clear" w:pos="567"/>
        <w:tab w:val="clear" w:pos="851"/>
        <w:tab w:val="clear" w:pos="1134"/>
        <w:tab w:val="clear" w:pos="1417"/>
        <w:tab w:val="clear" w:pos="1701"/>
        <w:tab w:val="clear" w:pos="1985"/>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3">
    <w:name w:val="List Number (Level 3)"/>
    <w:basedOn w:val="Normal"/>
    <w:pPr>
      <w:numPr>
        <w:ilvl w:val="2"/>
        <w:numId w:val="5"/>
      </w:numPr>
      <w:tabs>
        <w:tab w:val="clear" w:pos="284"/>
        <w:tab w:val="clear" w:pos="567"/>
        <w:tab w:val="clear" w:pos="851"/>
        <w:tab w:val="clear" w:pos="1134"/>
        <w:tab w:val="clear" w:pos="1418"/>
        <w:tab w:val="clear" w:pos="1701"/>
        <w:tab w:val="clear" w:pos="1985"/>
        <w:tab w:val="clear" w:pos="2126"/>
        <w:tab w:val="clear" w:pos="2268"/>
        <w:tab w:val="clear" w:pos="2552"/>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ListNumberLevel4">
    <w:name w:val="List Number (Level 4)"/>
    <w:basedOn w:val="Normal"/>
    <w:pPr>
      <w:numPr>
        <w:ilvl w:val="3"/>
        <w:numId w:val="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4253"/>
        <w:tab w:val="clear" w:pos="5954"/>
        <w:tab w:val="clear" w:pos="8222"/>
        <w:tab w:val="clear" w:pos="11057"/>
        <w:tab w:val="num" w:pos="360"/>
      </w:tabs>
      <w:spacing w:before="120" w:after="120"/>
      <w:ind w:left="0" w:firstLine="0"/>
      <w:jc w:val="both"/>
    </w:pPr>
    <w:rPr>
      <w:rFonts w:ascii="Times New Roman" w:hAnsi="Times New Roman"/>
      <w:sz w:val="24"/>
    </w:rPr>
  </w:style>
  <w:style w:type="paragraph" w:customStyle="1" w:styleId="CharChar1CharCharCharCharCharChar">
    <w:name w:val=" Char Char1 Char Char Char Char Char Char"/>
    <w:basedOn w:val="Normal"/>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after="160" w:line="240" w:lineRule="exact"/>
    </w:pPr>
    <w:rPr>
      <w:rFonts w:ascii="Tahoma" w:hAnsi="Tahoma"/>
      <w:sz w:val="20"/>
      <w:lang w:val="en-US" w:eastAsia="en-US"/>
    </w:rPr>
  </w:style>
  <w:style w:type="character" w:styleId="Hyperlnk">
    <w:name w:val="Hyperlink"/>
    <w:basedOn w:val="Standardstycketeckensnitt"/>
    <w:semiHidden/>
    <w:rPr>
      <w:color w:val="0000FF"/>
      <w:u w:val="single"/>
    </w:rPr>
  </w:style>
  <w:style w:type="paragraph" w:styleId="Normalwebb">
    <w:name w:val="Normal (Web)"/>
    <w:aliases w:val=" webb"/>
    <w:basedOn w:val="Normal"/>
    <w:semiHidden/>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00" w:beforeAutospacing="1" w:after="100" w:afterAutospacing="1"/>
    </w:pPr>
    <w:rPr>
      <w:rFonts w:ascii="Verdana" w:hAnsi="Verdana"/>
      <w:color w:val="000066"/>
      <w:sz w:val="14"/>
      <w:szCs w:val="14"/>
    </w:rPr>
  </w:style>
  <w:style w:type="paragraph" w:customStyle="1" w:styleId="Char1CharCharChar">
    <w:name w:val=" Char1 Char Char Char"/>
    <w:basedOn w:val="Normal"/>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after="160" w:line="240" w:lineRule="exact"/>
    </w:pPr>
    <w:rPr>
      <w:rFonts w:ascii="Tahoma" w:hAnsi="Tahoma"/>
      <w:sz w:val="20"/>
      <w:lang w:val="en-US" w:eastAsia="en-US"/>
    </w:rPr>
  </w:style>
  <w:style w:type="paragraph" w:customStyle="1" w:styleId="ListDash">
    <w:name w:val="List Dash"/>
    <w:basedOn w:val="Normal"/>
    <w:pPr>
      <w:numPr>
        <w:numId w:val="8"/>
      </w:numPr>
      <w:tabs>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20" w:after="120"/>
      <w:jc w:val="both"/>
    </w:pPr>
    <w:rPr>
      <w:rFonts w:ascii="Times New Roman" w:hAnsi="Times New Roman"/>
      <w:sz w:val="24"/>
      <w:lang w:eastAsia="zh-CN"/>
    </w:rPr>
  </w:style>
  <w:style w:type="character" w:styleId="AnvndHyperlnk">
    <w:name w:val="FollowedHyperlink"/>
    <w:basedOn w:val="Standardstycketeckensnitt"/>
    <w:semiHidden/>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pa.eu.int/comm/economy_finance/about/activities/sgp/edp/edppt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Templates\Ip_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Ip_en.dot</Template>
  <TotalTime>0</TotalTime>
  <Pages>2</Pages>
  <Words>1174</Words>
  <Characters>6239</Characters>
  <Application>Microsoft Office Word</Application>
  <DocSecurity>4</DocSecurity>
  <Lines>311</Lines>
  <Paragraphs>255</Paragraphs>
  <ScaleCrop>false</ScaleCrop>
  <HeadingPairs>
    <vt:vector size="2" baseType="variant">
      <vt:variant>
        <vt:lpstr>Titel</vt:lpstr>
      </vt:variant>
      <vt:variant>
        <vt:i4>1</vt:i4>
      </vt:variant>
    </vt:vector>
  </HeadingPairs>
  <TitlesOfParts>
    <vt:vector size="1" baseType="lpstr">
      <vt:lpstr>Top margin 1</vt:lpstr>
    </vt:vector>
  </TitlesOfParts>
  <Company> </Company>
  <LinksUpToDate>false</LinksUpToDate>
  <CharactersWithSpaces>7158</CharactersWithSpaces>
  <SharedDoc>false</SharedDoc>
  <HLinks>
    <vt:vector size="6" baseType="variant">
      <vt:variant>
        <vt:i4>5832789</vt:i4>
      </vt:variant>
      <vt:variant>
        <vt:i4>0</vt:i4>
      </vt:variant>
      <vt:variant>
        <vt:i4>0</vt:i4>
      </vt:variant>
      <vt:variant>
        <vt:i4>5</vt:i4>
      </vt:variant>
      <vt:variant>
        <vt:lpwstr>http://www.europa.eu.int/comm/economy_finance/about/activities/sgp/edp/edppt_en.htm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margin 1</dc:title>
  <dc:subject>Top margin 1</dc:subject>
  <dc:creator>Riksdagen</dc:creator>
  <cp:keywords>Riksdagen</cp:keywords>
  <dc:description/>
  <cp:lastModifiedBy>Lars Brink</cp:lastModifiedBy>
  <cp:revision>2</cp:revision>
  <cp:lastPrinted>2006-06-21T08:58:00Z</cp:lastPrinted>
  <dcterms:created xsi:type="dcterms:W3CDTF">2025-12-16T23:15:00Z</dcterms:created>
  <dcterms:modified xsi:type="dcterms:W3CDTF">2025-12-16T23:15:00Z</dcterms:modified>
</cp:coreProperties>
</file>