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4E8" w:rsidRPr="00114156" w:rsidRDefault="006374E8" w:rsidP="006374E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374E8" w:rsidRPr="00114156" w:rsidTr="008811FC">
        <w:tc>
          <w:tcPr>
            <w:tcW w:w="9141" w:type="dxa"/>
          </w:tcPr>
          <w:p w:rsidR="006374E8" w:rsidRPr="00114156" w:rsidRDefault="006374E8" w:rsidP="008811FC">
            <w:pPr>
              <w:rPr>
                <w:sz w:val="22"/>
                <w:szCs w:val="22"/>
              </w:rPr>
            </w:pPr>
            <w:r w:rsidRPr="00114156">
              <w:rPr>
                <w:sz w:val="22"/>
                <w:szCs w:val="22"/>
              </w:rPr>
              <w:t>RIKSDAGEN</w:t>
            </w:r>
          </w:p>
          <w:p w:rsidR="006374E8" w:rsidRPr="00114156" w:rsidRDefault="006374E8" w:rsidP="008811FC">
            <w:pPr>
              <w:rPr>
                <w:sz w:val="22"/>
                <w:szCs w:val="22"/>
              </w:rPr>
            </w:pPr>
            <w:r w:rsidRPr="00114156">
              <w:rPr>
                <w:sz w:val="22"/>
                <w:szCs w:val="22"/>
              </w:rPr>
              <w:t>TRAFIKUTSKOTTET</w:t>
            </w:r>
          </w:p>
        </w:tc>
      </w:tr>
    </w:tbl>
    <w:p w:rsidR="006374E8" w:rsidRPr="00114156" w:rsidRDefault="006374E8" w:rsidP="006374E8">
      <w:pPr>
        <w:rPr>
          <w:sz w:val="22"/>
          <w:szCs w:val="22"/>
        </w:rPr>
      </w:pPr>
    </w:p>
    <w:p w:rsidR="006374E8" w:rsidRPr="00114156" w:rsidRDefault="006374E8" w:rsidP="006374E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374E8" w:rsidRPr="00114156" w:rsidTr="008811FC">
        <w:trPr>
          <w:cantSplit/>
          <w:trHeight w:val="742"/>
        </w:trPr>
        <w:tc>
          <w:tcPr>
            <w:tcW w:w="1985" w:type="dxa"/>
          </w:tcPr>
          <w:p w:rsidR="006374E8" w:rsidRPr="00114156" w:rsidRDefault="006374E8" w:rsidP="008811FC">
            <w:pPr>
              <w:rPr>
                <w:b/>
                <w:sz w:val="22"/>
                <w:szCs w:val="22"/>
              </w:rPr>
            </w:pPr>
            <w:r w:rsidRPr="00114156">
              <w:rPr>
                <w:b/>
                <w:sz w:val="22"/>
                <w:szCs w:val="22"/>
              </w:rPr>
              <w:t xml:space="preserve">PROTOKOLL </w:t>
            </w:r>
          </w:p>
        </w:tc>
        <w:tc>
          <w:tcPr>
            <w:tcW w:w="6463" w:type="dxa"/>
          </w:tcPr>
          <w:p w:rsidR="006374E8" w:rsidRPr="00114156" w:rsidRDefault="006374E8" w:rsidP="008811FC">
            <w:pPr>
              <w:rPr>
                <w:b/>
                <w:sz w:val="22"/>
                <w:szCs w:val="22"/>
              </w:rPr>
            </w:pPr>
            <w:r w:rsidRPr="00114156">
              <w:rPr>
                <w:b/>
                <w:sz w:val="22"/>
                <w:szCs w:val="22"/>
              </w:rPr>
              <w:t>UTSKOTTSSAMMANTRÄDE 2021/22:3</w:t>
            </w:r>
          </w:p>
          <w:p w:rsidR="006374E8" w:rsidRPr="00114156" w:rsidRDefault="006374E8" w:rsidP="008811FC">
            <w:pPr>
              <w:rPr>
                <w:b/>
                <w:sz w:val="22"/>
                <w:szCs w:val="22"/>
              </w:rPr>
            </w:pPr>
          </w:p>
        </w:tc>
      </w:tr>
      <w:tr w:rsidR="006374E8" w:rsidRPr="00114156" w:rsidTr="008811FC">
        <w:tc>
          <w:tcPr>
            <w:tcW w:w="1985" w:type="dxa"/>
          </w:tcPr>
          <w:p w:rsidR="006374E8" w:rsidRPr="00114156" w:rsidRDefault="006374E8" w:rsidP="008811FC">
            <w:pPr>
              <w:rPr>
                <w:sz w:val="22"/>
                <w:szCs w:val="22"/>
              </w:rPr>
            </w:pPr>
            <w:r w:rsidRPr="00114156">
              <w:rPr>
                <w:sz w:val="22"/>
                <w:szCs w:val="22"/>
              </w:rPr>
              <w:t>DATUM</w:t>
            </w:r>
          </w:p>
        </w:tc>
        <w:tc>
          <w:tcPr>
            <w:tcW w:w="6463" w:type="dxa"/>
          </w:tcPr>
          <w:p w:rsidR="006374E8" w:rsidRPr="00114156" w:rsidRDefault="006374E8" w:rsidP="008811FC">
            <w:pPr>
              <w:rPr>
                <w:sz w:val="22"/>
                <w:szCs w:val="22"/>
              </w:rPr>
            </w:pPr>
            <w:r w:rsidRPr="00114156">
              <w:rPr>
                <w:sz w:val="22"/>
                <w:szCs w:val="22"/>
              </w:rPr>
              <w:t>2021-10-12</w:t>
            </w:r>
          </w:p>
        </w:tc>
      </w:tr>
      <w:tr w:rsidR="006374E8" w:rsidRPr="00114156" w:rsidTr="008811FC">
        <w:tc>
          <w:tcPr>
            <w:tcW w:w="1985" w:type="dxa"/>
          </w:tcPr>
          <w:p w:rsidR="006374E8" w:rsidRPr="00114156" w:rsidRDefault="006374E8" w:rsidP="008811FC">
            <w:pPr>
              <w:rPr>
                <w:sz w:val="22"/>
                <w:szCs w:val="22"/>
              </w:rPr>
            </w:pPr>
            <w:r w:rsidRPr="00114156">
              <w:rPr>
                <w:sz w:val="22"/>
                <w:szCs w:val="22"/>
              </w:rPr>
              <w:t>TID</w:t>
            </w:r>
          </w:p>
        </w:tc>
        <w:tc>
          <w:tcPr>
            <w:tcW w:w="6463" w:type="dxa"/>
          </w:tcPr>
          <w:p w:rsidR="006374E8" w:rsidRPr="00114156" w:rsidRDefault="006374E8" w:rsidP="008811FC">
            <w:pPr>
              <w:rPr>
                <w:sz w:val="22"/>
                <w:szCs w:val="22"/>
              </w:rPr>
            </w:pPr>
            <w:r w:rsidRPr="00114156">
              <w:rPr>
                <w:sz w:val="22"/>
                <w:szCs w:val="22"/>
              </w:rPr>
              <w:t>10.00 – 12.1</w:t>
            </w:r>
            <w:r w:rsidR="00574242">
              <w:rPr>
                <w:sz w:val="22"/>
                <w:szCs w:val="22"/>
              </w:rPr>
              <w:t>0</w:t>
            </w:r>
          </w:p>
          <w:p w:rsidR="006374E8" w:rsidRPr="00114156" w:rsidRDefault="006374E8" w:rsidP="008811FC">
            <w:pPr>
              <w:rPr>
                <w:sz w:val="22"/>
                <w:szCs w:val="22"/>
              </w:rPr>
            </w:pPr>
          </w:p>
          <w:p w:rsidR="006374E8" w:rsidRPr="00114156" w:rsidRDefault="006374E8" w:rsidP="008811FC">
            <w:pPr>
              <w:rPr>
                <w:sz w:val="22"/>
                <w:szCs w:val="22"/>
              </w:rPr>
            </w:pPr>
          </w:p>
          <w:p w:rsidR="006374E8" w:rsidRPr="00114156" w:rsidRDefault="006374E8" w:rsidP="008811FC">
            <w:pPr>
              <w:rPr>
                <w:sz w:val="22"/>
                <w:szCs w:val="22"/>
              </w:rPr>
            </w:pPr>
          </w:p>
        </w:tc>
      </w:tr>
      <w:tr w:rsidR="006374E8" w:rsidRPr="00114156" w:rsidTr="008811FC">
        <w:tc>
          <w:tcPr>
            <w:tcW w:w="1985" w:type="dxa"/>
          </w:tcPr>
          <w:p w:rsidR="006374E8" w:rsidRPr="00114156" w:rsidRDefault="006374E8" w:rsidP="008811FC">
            <w:pPr>
              <w:rPr>
                <w:sz w:val="22"/>
                <w:szCs w:val="22"/>
              </w:rPr>
            </w:pPr>
            <w:r w:rsidRPr="00114156">
              <w:rPr>
                <w:sz w:val="22"/>
                <w:szCs w:val="22"/>
              </w:rPr>
              <w:t>NÄRVARANDE</w:t>
            </w:r>
          </w:p>
        </w:tc>
        <w:tc>
          <w:tcPr>
            <w:tcW w:w="6463" w:type="dxa"/>
          </w:tcPr>
          <w:p w:rsidR="006374E8" w:rsidRPr="00114156" w:rsidRDefault="006374E8" w:rsidP="008811FC">
            <w:pPr>
              <w:rPr>
                <w:sz w:val="22"/>
                <w:szCs w:val="22"/>
              </w:rPr>
            </w:pPr>
            <w:r w:rsidRPr="00114156">
              <w:rPr>
                <w:sz w:val="22"/>
                <w:szCs w:val="22"/>
              </w:rPr>
              <w:t>Se bilaga 1</w:t>
            </w:r>
          </w:p>
        </w:tc>
      </w:tr>
    </w:tbl>
    <w:p w:rsidR="006374E8" w:rsidRPr="00114156" w:rsidRDefault="006374E8" w:rsidP="006374E8">
      <w:pPr>
        <w:rPr>
          <w:sz w:val="22"/>
          <w:szCs w:val="22"/>
        </w:rPr>
      </w:pPr>
    </w:p>
    <w:p w:rsidR="006374E8" w:rsidRPr="00114156" w:rsidRDefault="006374E8" w:rsidP="006374E8">
      <w:pPr>
        <w:tabs>
          <w:tab w:val="left" w:pos="1701"/>
        </w:tabs>
        <w:rPr>
          <w:snapToGrid w:val="0"/>
          <w:color w:val="000000"/>
          <w:sz w:val="22"/>
          <w:szCs w:val="22"/>
        </w:rPr>
      </w:pPr>
    </w:p>
    <w:p w:rsidR="006374E8" w:rsidRPr="00114156" w:rsidRDefault="006374E8" w:rsidP="006374E8">
      <w:pPr>
        <w:tabs>
          <w:tab w:val="left" w:pos="1701"/>
        </w:tabs>
        <w:rPr>
          <w:snapToGrid w:val="0"/>
          <w:color w:val="000000"/>
          <w:sz w:val="22"/>
          <w:szCs w:val="22"/>
        </w:rPr>
      </w:pPr>
    </w:p>
    <w:p w:rsidR="006374E8" w:rsidRPr="00114156" w:rsidRDefault="006374E8" w:rsidP="006374E8">
      <w:pPr>
        <w:tabs>
          <w:tab w:val="left" w:pos="1701"/>
        </w:tabs>
        <w:rPr>
          <w:snapToGrid w:val="0"/>
          <w:color w:val="000000"/>
          <w:sz w:val="22"/>
          <w:szCs w:val="22"/>
        </w:rPr>
      </w:pPr>
    </w:p>
    <w:p w:rsidR="006374E8" w:rsidRPr="00114156" w:rsidRDefault="006374E8" w:rsidP="006374E8">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6374E8" w:rsidRPr="00114156" w:rsidTr="00751425">
        <w:trPr>
          <w:gridBefore w:val="1"/>
          <w:gridAfter w:val="1"/>
          <w:wBefore w:w="1346" w:type="dxa"/>
          <w:wAfter w:w="71" w:type="dxa"/>
        </w:trPr>
        <w:tc>
          <w:tcPr>
            <w:tcW w:w="567" w:type="dxa"/>
            <w:shd w:val="clear" w:color="auto" w:fill="auto"/>
          </w:tcPr>
          <w:p w:rsidR="006374E8" w:rsidRPr="00114156" w:rsidRDefault="006374E8" w:rsidP="008811FC">
            <w:pPr>
              <w:tabs>
                <w:tab w:val="left" w:pos="1701"/>
              </w:tabs>
              <w:rPr>
                <w:b/>
                <w:snapToGrid w:val="0"/>
                <w:sz w:val="22"/>
                <w:szCs w:val="22"/>
              </w:rPr>
            </w:pPr>
            <w:r w:rsidRPr="00114156">
              <w:rPr>
                <w:b/>
                <w:snapToGrid w:val="0"/>
                <w:sz w:val="22"/>
                <w:szCs w:val="22"/>
              </w:rPr>
              <w:t>§ 1</w:t>
            </w:r>
          </w:p>
          <w:p w:rsidR="006374E8" w:rsidRPr="00114156" w:rsidRDefault="006374E8" w:rsidP="008811FC">
            <w:pPr>
              <w:tabs>
                <w:tab w:val="left" w:pos="1701"/>
              </w:tabs>
              <w:rPr>
                <w:b/>
                <w:snapToGrid w:val="0"/>
                <w:sz w:val="22"/>
                <w:szCs w:val="22"/>
              </w:rPr>
            </w:pPr>
          </w:p>
          <w:p w:rsidR="006374E8" w:rsidRDefault="006374E8" w:rsidP="008811FC">
            <w:pPr>
              <w:tabs>
                <w:tab w:val="left" w:pos="1701"/>
              </w:tabs>
              <w:rPr>
                <w:b/>
                <w:snapToGrid w:val="0"/>
                <w:sz w:val="22"/>
                <w:szCs w:val="22"/>
              </w:rPr>
            </w:pPr>
          </w:p>
          <w:p w:rsidR="007F6420" w:rsidRDefault="007F6420" w:rsidP="008811FC">
            <w:pPr>
              <w:tabs>
                <w:tab w:val="left" w:pos="1701"/>
              </w:tabs>
              <w:rPr>
                <w:b/>
                <w:snapToGrid w:val="0"/>
                <w:sz w:val="22"/>
                <w:szCs w:val="22"/>
              </w:rPr>
            </w:pPr>
          </w:p>
          <w:p w:rsidR="007F6420" w:rsidRPr="00114156" w:rsidRDefault="007F6420"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2</w:t>
            </w: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Default="00114156" w:rsidP="008811FC">
            <w:pPr>
              <w:tabs>
                <w:tab w:val="left" w:pos="1701"/>
              </w:tabs>
              <w:rPr>
                <w:b/>
                <w:snapToGrid w:val="0"/>
                <w:sz w:val="22"/>
                <w:szCs w:val="22"/>
              </w:rPr>
            </w:pPr>
          </w:p>
          <w:p w:rsidR="00751425" w:rsidRPr="00114156" w:rsidRDefault="00751425"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114156" w:rsidRPr="00114156" w:rsidRDefault="00114156" w:rsidP="008811FC">
            <w:pPr>
              <w:tabs>
                <w:tab w:val="left" w:pos="1701"/>
              </w:tabs>
              <w:rPr>
                <w:b/>
                <w:snapToGrid w:val="0"/>
                <w:sz w:val="22"/>
                <w:szCs w:val="22"/>
              </w:rPr>
            </w:pPr>
          </w:p>
          <w:p w:rsidR="006374E8" w:rsidRDefault="006374E8"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86510" w:rsidRDefault="00986510" w:rsidP="008811FC">
            <w:pPr>
              <w:tabs>
                <w:tab w:val="left" w:pos="1701"/>
              </w:tabs>
              <w:rPr>
                <w:b/>
                <w:snapToGrid w:val="0"/>
                <w:sz w:val="22"/>
                <w:szCs w:val="22"/>
              </w:rPr>
            </w:pPr>
          </w:p>
          <w:p w:rsidR="00915BD0" w:rsidRDefault="00915BD0" w:rsidP="008811FC">
            <w:pPr>
              <w:tabs>
                <w:tab w:val="left" w:pos="1701"/>
              </w:tabs>
              <w:rPr>
                <w:b/>
                <w:snapToGrid w:val="0"/>
                <w:sz w:val="22"/>
                <w:szCs w:val="22"/>
              </w:rPr>
            </w:pPr>
          </w:p>
          <w:p w:rsidR="00EB6B6C" w:rsidRDefault="00EB6B6C" w:rsidP="008811FC">
            <w:pPr>
              <w:tabs>
                <w:tab w:val="left" w:pos="1701"/>
              </w:tabs>
              <w:rPr>
                <w:b/>
                <w:snapToGrid w:val="0"/>
                <w:sz w:val="22"/>
                <w:szCs w:val="22"/>
              </w:rPr>
            </w:pPr>
          </w:p>
          <w:p w:rsidR="00EB6B6C" w:rsidRPr="00114156" w:rsidRDefault="00EB6B6C" w:rsidP="008811FC">
            <w:pPr>
              <w:tabs>
                <w:tab w:val="left" w:pos="1701"/>
              </w:tabs>
              <w:rPr>
                <w:b/>
                <w:snapToGrid w:val="0"/>
                <w:sz w:val="22"/>
                <w:szCs w:val="22"/>
              </w:rPr>
            </w:pPr>
          </w:p>
          <w:p w:rsidR="006374E8" w:rsidRDefault="006374E8" w:rsidP="008811FC">
            <w:pPr>
              <w:tabs>
                <w:tab w:val="left" w:pos="1701"/>
              </w:tabs>
              <w:rPr>
                <w:b/>
                <w:snapToGrid w:val="0"/>
                <w:sz w:val="22"/>
                <w:szCs w:val="22"/>
              </w:rPr>
            </w:pPr>
          </w:p>
          <w:p w:rsidR="00102A67" w:rsidRDefault="00102A67" w:rsidP="008811FC">
            <w:pPr>
              <w:tabs>
                <w:tab w:val="left" w:pos="1701"/>
              </w:tabs>
              <w:rPr>
                <w:b/>
                <w:snapToGrid w:val="0"/>
                <w:sz w:val="22"/>
                <w:szCs w:val="22"/>
              </w:rPr>
            </w:pPr>
          </w:p>
          <w:p w:rsidR="00102A67" w:rsidRPr="00114156" w:rsidRDefault="00102A67"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3</w:t>
            </w:r>
          </w:p>
          <w:p w:rsidR="006374E8" w:rsidRPr="00114156" w:rsidRDefault="006374E8" w:rsidP="008811FC">
            <w:pPr>
              <w:tabs>
                <w:tab w:val="left" w:pos="1701"/>
              </w:tabs>
              <w:rPr>
                <w:b/>
                <w:snapToGrid w:val="0"/>
                <w:sz w:val="22"/>
                <w:szCs w:val="22"/>
              </w:rPr>
            </w:pPr>
          </w:p>
          <w:p w:rsidR="006374E8" w:rsidRDefault="006374E8"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102A67" w:rsidRDefault="00102A67" w:rsidP="00102A67">
            <w:pPr>
              <w:pStyle w:val="Ingetavstnd"/>
              <w:rPr>
                <w:snapToGrid w:val="0"/>
              </w:rPr>
            </w:pPr>
          </w:p>
          <w:p w:rsidR="0071036B" w:rsidRDefault="0071036B" w:rsidP="0071036B"/>
          <w:p w:rsidR="0071036B" w:rsidRPr="00102A67" w:rsidRDefault="0071036B" w:rsidP="0071036B"/>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EB6B6C" w:rsidRDefault="00EB6B6C" w:rsidP="008811FC">
            <w:pPr>
              <w:tabs>
                <w:tab w:val="left" w:pos="1701"/>
              </w:tabs>
              <w:spacing w:line="276" w:lineRule="auto"/>
              <w:rPr>
                <w:b/>
                <w:snapToGrid w:val="0"/>
                <w:sz w:val="22"/>
                <w:szCs w:val="22"/>
              </w:rPr>
            </w:pPr>
          </w:p>
          <w:p w:rsidR="00114156" w:rsidRDefault="00114156" w:rsidP="008811FC">
            <w:pPr>
              <w:tabs>
                <w:tab w:val="left" w:pos="1701"/>
              </w:tabs>
              <w:rPr>
                <w:b/>
                <w:snapToGrid w:val="0"/>
                <w:sz w:val="22"/>
                <w:szCs w:val="22"/>
              </w:rPr>
            </w:pPr>
          </w:p>
          <w:p w:rsidR="00114156" w:rsidRPr="00114156" w:rsidRDefault="00114156" w:rsidP="0071036B">
            <w:pPr>
              <w:pStyle w:val="Ingetavstnd"/>
              <w:rPr>
                <w:snapToGrid w:val="0"/>
              </w:rPr>
            </w:pPr>
          </w:p>
          <w:p w:rsidR="00114156" w:rsidRPr="00114156" w:rsidRDefault="00114156"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xml:space="preserve">§ 4     </w:t>
            </w:r>
          </w:p>
          <w:p w:rsidR="00114156" w:rsidRDefault="00114156" w:rsidP="00FE3906">
            <w:pPr>
              <w:spacing w:line="360" w:lineRule="auto"/>
              <w:rPr>
                <w:b/>
                <w:snapToGrid w:val="0"/>
                <w:sz w:val="22"/>
                <w:szCs w:val="22"/>
              </w:rPr>
            </w:pPr>
          </w:p>
          <w:p w:rsidR="00FE3906" w:rsidRDefault="00FE3906" w:rsidP="00FE3906">
            <w:pPr>
              <w:spacing w:line="360" w:lineRule="auto"/>
              <w:rPr>
                <w:snapToGrid w:val="0"/>
              </w:rPr>
            </w:pPr>
          </w:p>
          <w:p w:rsidR="0071036B" w:rsidRDefault="0071036B" w:rsidP="0071036B">
            <w:pPr>
              <w:rPr>
                <w:snapToGrid w:val="0"/>
              </w:rPr>
            </w:pPr>
          </w:p>
          <w:p w:rsidR="00574242" w:rsidRPr="00114156" w:rsidRDefault="00574242" w:rsidP="008811FC">
            <w:pPr>
              <w:tabs>
                <w:tab w:val="left" w:pos="1701"/>
              </w:tabs>
              <w:rPr>
                <w:b/>
                <w:snapToGrid w:val="0"/>
                <w:sz w:val="22"/>
                <w:szCs w:val="22"/>
              </w:rPr>
            </w:pPr>
          </w:p>
          <w:p w:rsidR="00114156" w:rsidRPr="00114156" w:rsidRDefault="006374E8" w:rsidP="00114156">
            <w:pPr>
              <w:tabs>
                <w:tab w:val="left" w:pos="1701"/>
              </w:tabs>
              <w:rPr>
                <w:b/>
                <w:snapToGrid w:val="0"/>
                <w:sz w:val="22"/>
                <w:szCs w:val="22"/>
              </w:rPr>
            </w:pPr>
            <w:r w:rsidRPr="00114156">
              <w:rPr>
                <w:b/>
                <w:snapToGrid w:val="0"/>
                <w:sz w:val="22"/>
                <w:szCs w:val="22"/>
              </w:rPr>
              <w:t>§ 5</w:t>
            </w:r>
          </w:p>
          <w:p w:rsidR="00114156" w:rsidRPr="00114156" w:rsidRDefault="00114156" w:rsidP="00114156">
            <w:pPr>
              <w:tabs>
                <w:tab w:val="left" w:pos="1701"/>
              </w:tabs>
              <w:rPr>
                <w:b/>
                <w:snapToGrid w:val="0"/>
                <w:sz w:val="22"/>
                <w:szCs w:val="22"/>
              </w:rPr>
            </w:pPr>
          </w:p>
          <w:p w:rsidR="00114156" w:rsidRPr="00114156" w:rsidRDefault="00114156" w:rsidP="00114156">
            <w:pPr>
              <w:tabs>
                <w:tab w:val="left" w:pos="1701"/>
              </w:tabs>
              <w:rPr>
                <w:b/>
                <w:snapToGrid w:val="0"/>
                <w:sz w:val="22"/>
                <w:szCs w:val="22"/>
              </w:rPr>
            </w:pPr>
          </w:p>
          <w:p w:rsidR="00114156" w:rsidRPr="00114156" w:rsidRDefault="00114156" w:rsidP="00114156">
            <w:pPr>
              <w:tabs>
                <w:tab w:val="left" w:pos="1701"/>
              </w:tabs>
              <w:rPr>
                <w:b/>
                <w:snapToGrid w:val="0"/>
                <w:sz w:val="22"/>
                <w:szCs w:val="22"/>
              </w:rPr>
            </w:pPr>
          </w:p>
          <w:p w:rsidR="006374E8" w:rsidRPr="00114156" w:rsidRDefault="006374E8" w:rsidP="00114156">
            <w:pPr>
              <w:tabs>
                <w:tab w:val="left" w:pos="1701"/>
              </w:tabs>
              <w:rPr>
                <w:b/>
                <w:snapToGrid w:val="0"/>
                <w:sz w:val="22"/>
                <w:szCs w:val="22"/>
              </w:rPr>
            </w:pPr>
            <w:r w:rsidRPr="00114156">
              <w:rPr>
                <w:b/>
                <w:snapToGrid w:val="0"/>
                <w:sz w:val="22"/>
                <w:szCs w:val="22"/>
              </w:rPr>
              <w:t>§ 6</w:t>
            </w:r>
          </w:p>
          <w:p w:rsidR="00114156" w:rsidRDefault="00114156" w:rsidP="00FE3906">
            <w:pPr>
              <w:tabs>
                <w:tab w:val="left" w:pos="1701"/>
              </w:tabs>
              <w:rPr>
                <w:b/>
                <w:snapToGrid w:val="0"/>
                <w:sz w:val="22"/>
                <w:szCs w:val="22"/>
              </w:rPr>
            </w:pPr>
          </w:p>
          <w:p w:rsidR="00FE3906" w:rsidRDefault="00FE3906" w:rsidP="00FE3906">
            <w:pPr>
              <w:tabs>
                <w:tab w:val="left" w:pos="1701"/>
              </w:tabs>
              <w:rPr>
                <w:b/>
                <w:snapToGrid w:val="0"/>
                <w:sz w:val="22"/>
                <w:szCs w:val="22"/>
              </w:rPr>
            </w:pPr>
          </w:p>
          <w:p w:rsidR="00FE3906" w:rsidRDefault="00FE3906" w:rsidP="00FE3906">
            <w:pPr>
              <w:tabs>
                <w:tab w:val="left" w:pos="1701"/>
              </w:tabs>
              <w:rPr>
                <w:b/>
                <w:snapToGrid w:val="0"/>
                <w:sz w:val="22"/>
                <w:szCs w:val="22"/>
              </w:rPr>
            </w:pPr>
          </w:p>
          <w:p w:rsidR="006F5F5C" w:rsidRPr="00114156" w:rsidRDefault="006F5F5C" w:rsidP="008811FC">
            <w:pPr>
              <w:tabs>
                <w:tab w:val="left" w:pos="1701"/>
              </w:tabs>
              <w:rPr>
                <w:b/>
                <w:snapToGrid w:val="0"/>
                <w:sz w:val="22"/>
                <w:szCs w:val="22"/>
              </w:rPr>
            </w:pPr>
          </w:p>
          <w:p w:rsidR="00C249AC" w:rsidRPr="00114156" w:rsidRDefault="00C249AC"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7</w:t>
            </w:r>
          </w:p>
          <w:p w:rsidR="006374E8" w:rsidRPr="00114156" w:rsidRDefault="006374E8" w:rsidP="008811FC">
            <w:pPr>
              <w:tabs>
                <w:tab w:val="left" w:pos="1701"/>
              </w:tabs>
              <w:rPr>
                <w:b/>
                <w:snapToGrid w:val="0"/>
                <w:sz w:val="22"/>
                <w:szCs w:val="22"/>
              </w:rPr>
            </w:pPr>
          </w:p>
          <w:p w:rsidR="00FE3906" w:rsidRDefault="00FE3906" w:rsidP="00FE3906">
            <w:pPr>
              <w:tabs>
                <w:tab w:val="left" w:pos="1701"/>
              </w:tabs>
              <w:spacing w:line="276" w:lineRule="auto"/>
              <w:rPr>
                <w:b/>
                <w:snapToGrid w:val="0"/>
                <w:sz w:val="22"/>
                <w:szCs w:val="22"/>
              </w:rPr>
            </w:pPr>
          </w:p>
          <w:p w:rsidR="00FE3906" w:rsidRDefault="00FE3906" w:rsidP="00FE3906">
            <w:pPr>
              <w:tabs>
                <w:tab w:val="left" w:pos="1701"/>
              </w:tabs>
              <w:spacing w:line="276" w:lineRule="auto"/>
              <w:rPr>
                <w:b/>
                <w:snapToGrid w:val="0"/>
                <w:sz w:val="22"/>
                <w:szCs w:val="22"/>
              </w:rPr>
            </w:pPr>
          </w:p>
          <w:p w:rsidR="006F5F5C" w:rsidRDefault="006F5F5C" w:rsidP="008811FC">
            <w:pPr>
              <w:tabs>
                <w:tab w:val="left" w:pos="1701"/>
              </w:tabs>
              <w:rPr>
                <w:b/>
                <w:snapToGrid w:val="0"/>
                <w:sz w:val="22"/>
                <w:szCs w:val="22"/>
              </w:rPr>
            </w:pPr>
          </w:p>
          <w:p w:rsidR="0071036B" w:rsidRPr="00114156" w:rsidRDefault="0071036B"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8</w:t>
            </w:r>
          </w:p>
          <w:p w:rsidR="006374E8" w:rsidRPr="00114156" w:rsidRDefault="006374E8" w:rsidP="008811FC">
            <w:pPr>
              <w:tabs>
                <w:tab w:val="left" w:pos="1701"/>
              </w:tabs>
              <w:rPr>
                <w:b/>
                <w:snapToGrid w:val="0"/>
                <w:sz w:val="22"/>
                <w:szCs w:val="22"/>
              </w:rPr>
            </w:pPr>
          </w:p>
          <w:p w:rsidR="006374E8" w:rsidRDefault="006374E8" w:rsidP="008811FC">
            <w:pPr>
              <w:tabs>
                <w:tab w:val="left" w:pos="1701"/>
              </w:tabs>
              <w:rPr>
                <w:b/>
                <w:snapToGrid w:val="0"/>
                <w:sz w:val="22"/>
                <w:szCs w:val="22"/>
              </w:rPr>
            </w:pPr>
          </w:p>
          <w:p w:rsidR="006F5F5C" w:rsidRDefault="006F5F5C" w:rsidP="008811FC">
            <w:pPr>
              <w:tabs>
                <w:tab w:val="left" w:pos="1701"/>
              </w:tabs>
              <w:rPr>
                <w:b/>
                <w:snapToGrid w:val="0"/>
                <w:sz w:val="22"/>
                <w:szCs w:val="22"/>
              </w:rPr>
            </w:pPr>
          </w:p>
          <w:p w:rsidR="006F5F5C" w:rsidRDefault="006F5F5C" w:rsidP="008811FC">
            <w:pPr>
              <w:tabs>
                <w:tab w:val="left" w:pos="1701"/>
              </w:tabs>
              <w:rPr>
                <w:b/>
                <w:snapToGrid w:val="0"/>
                <w:sz w:val="22"/>
                <w:szCs w:val="22"/>
              </w:rPr>
            </w:pPr>
          </w:p>
          <w:p w:rsidR="006F5F5C" w:rsidRPr="00114156" w:rsidRDefault="006F5F5C"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r w:rsidRPr="00114156">
              <w:rPr>
                <w:b/>
                <w:snapToGrid w:val="0"/>
                <w:sz w:val="22"/>
                <w:szCs w:val="22"/>
              </w:rPr>
              <w:t>§ 9</w:t>
            </w: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7A3581" w:rsidRDefault="007A3581" w:rsidP="00FE3906">
            <w:pPr>
              <w:tabs>
                <w:tab w:val="left" w:pos="1701"/>
              </w:tabs>
              <w:spacing w:line="276" w:lineRule="auto"/>
              <w:rPr>
                <w:b/>
                <w:snapToGrid w:val="0"/>
                <w:sz w:val="22"/>
                <w:szCs w:val="22"/>
              </w:rPr>
            </w:pPr>
          </w:p>
          <w:p w:rsidR="00FE3906" w:rsidRDefault="00FE3906" w:rsidP="00FE3906">
            <w:pPr>
              <w:tabs>
                <w:tab w:val="left" w:pos="1701"/>
              </w:tabs>
              <w:spacing w:line="276" w:lineRule="auto"/>
              <w:rPr>
                <w:b/>
                <w:snapToGrid w:val="0"/>
                <w:sz w:val="22"/>
                <w:szCs w:val="22"/>
              </w:rPr>
            </w:pPr>
          </w:p>
          <w:p w:rsidR="007A3581" w:rsidRDefault="007A3581" w:rsidP="008811FC">
            <w:pPr>
              <w:tabs>
                <w:tab w:val="left" w:pos="1701"/>
              </w:tabs>
              <w:rPr>
                <w:b/>
                <w:snapToGrid w:val="0"/>
                <w:sz w:val="22"/>
                <w:szCs w:val="22"/>
              </w:rPr>
            </w:pPr>
          </w:p>
          <w:p w:rsidR="000B4771" w:rsidRDefault="000B4771" w:rsidP="008811FC">
            <w:pPr>
              <w:tabs>
                <w:tab w:val="left" w:pos="1701"/>
              </w:tabs>
              <w:rPr>
                <w:b/>
                <w:snapToGrid w:val="0"/>
                <w:sz w:val="22"/>
                <w:szCs w:val="22"/>
              </w:rPr>
            </w:pPr>
          </w:p>
          <w:p w:rsidR="007A3581" w:rsidRDefault="007A3581" w:rsidP="0071036B">
            <w:pPr>
              <w:rPr>
                <w:b/>
                <w:snapToGrid w:val="0"/>
                <w:sz w:val="22"/>
                <w:szCs w:val="22"/>
              </w:rPr>
            </w:pPr>
          </w:p>
          <w:p w:rsidR="0071036B" w:rsidRDefault="0071036B" w:rsidP="0071036B">
            <w:pPr>
              <w:rPr>
                <w:snapToGrid w:val="0"/>
              </w:rPr>
            </w:pPr>
          </w:p>
          <w:p w:rsidR="007A3581" w:rsidRPr="00114156" w:rsidRDefault="007A3581" w:rsidP="008811FC">
            <w:pPr>
              <w:tabs>
                <w:tab w:val="left" w:pos="1701"/>
              </w:tabs>
              <w:rPr>
                <w:b/>
                <w:snapToGrid w:val="0"/>
                <w:sz w:val="22"/>
                <w:szCs w:val="22"/>
              </w:rPr>
            </w:pPr>
            <w:r>
              <w:rPr>
                <w:b/>
                <w:snapToGrid w:val="0"/>
                <w:sz w:val="22"/>
                <w:szCs w:val="22"/>
              </w:rPr>
              <w:t>§ 10</w:t>
            </w:r>
          </w:p>
          <w:p w:rsidR="00751425" w:rsidRDefault="00751425" w:rsidP="000F09D3">
            <w:pPr>
              <w:tabs>
                <w:tab w:val="left" w:pos="1701"/>
              </w:tabs>
              <w:spacing w:line="360" w:lineRule="auto"/>
              <w:rPr>
                <w:b/>
                <w:snapToGrid w:val="0"/>
                <w:sz w:val="22"/>
                <w:szCs w:val="22"/>
              </w:rPr>
            </w:pPr>
          </w:p>
          <w:p w:rsidR="00751425" w:rsidRDefault="00751425" w:rsidP="000F09D3">
            <w:pPr>
              <w:tabs>
                <w:tab w:val="left" w:pos="1701"/>
              </w:tabs>
              <w:spacing w:line="360" w:lineRule="auto"/>
              <w:rPr>
                <w:b/>
                <w:snapToGrid w:val="0"/>
                <w:sz w:val="22"/>
                <w:szCs w:val="22"/>
              </w:rPr>
            </w:pPr>
          </w:p>
          <w:p w:rsidR="00751425" w:rsidRDefault="00751425" w:rsidP="00751425">
            <w:pPr>
              <w:tabs>
                <w:tab w:val="left" w:pos="1701"/>
              </w:tabs>
              <w:spacing w:line="480" w:lineRule="auto"/>
              <w:rPr>
                <w:b/>
                <w:snapToGrid w:val="0"/>
                <w:sz w:val="22"/>
                <w:szCs w:val="22"/>
              </w:rPr>
            </w:pPr>
          </w:p>
          <w:p w:rsidR="000F09D3" w:rsidRDefault="000F09D3" w:rsidP="008811FC">
            <w:pPr>
              <w:tabs>
                <w:tab w:val="left" w:pos="1701"/>
              </w:tabs>
              <w:rPr>
                <w:b/>
                <w:snapToGrid w:val="0"/>
                <w:sz w:val="22"/>
                <w:szCs w:val="22"/>
              </w:rPr>
            </w:pPr>
          </w:p>
          <w:p w:rsidR="000F09D3" w:rsidRPr="00114156" w:rsidRDefault="000F09D3" w:rsidP="008811FC">
            <w:pPr>
              <w:tabs>
                <w:tab w:val="left" w:pos="1701"/>
              </w:tabs>
              <w:rPr>
                <w:b/>
                <w:snapToGrid w:val="0"/>
                <w:sz w:val="22"/>
                <w:szCs w:val="22"/>
              </w:rPr>
            </w:pPr>
            <w:r>
              <w:rPr>
                <w:b/>
                <w:snapToGrid w:val="0"/>
                <w:sz w:val="22"/>
                <w:szCs w:val="22"/>
              </w:rPr>
              <w:t>§ 11</w:t>
            </w:r>
          </w:p>
          <w:p w:rsidR="000F09D3" w:rsidRDefault="000F09D3" w:rsidP="000F09D3">
            <w:pPr>
              <w:tabs>
                <w:tab w:val="left" w:pos="1701"/>
              </w:tabs>
              <w:spacing w:line="276" w:lineRule="auto"/>
              <w:rPr>
                <w:b/>
                <w:snapToGrid w:val="0"/>
                <w:sz w:val="22"/>
                <w:szCs w:val="22"/>
              </w:rPr>
            </w:pPr>
          </w:p>
          <w:p w:rsidR="006374E8" w:rsidRDefault="006374E8" w:rsidP="008811FC">
            <w:pPr>
              <w:tabs>
                <w:tab w:val="left" w:pos="1701"/>
              </w:tabs>
              <w:rPr>
                <w:b/>
                <w:snapToGrid w:val="0"/>
                <w:sz w:val="22"/>
                <w:szCs w:val="22"/>
              </w:rPr>
            </w:pPr>
          </w:p>
          <w:p w:rsidR="000B4771" w:rsidRDefault="000B4771" w:rsidP="008811FC">
            <w:pPr>
              <w:tabs>
                <w:tab w:val="left" w:pos="1701"/>
              </w:tabs>
              <w:rPr>
                <w:b/>
                <w:snapToGrid w:val="0"/>
                <w:sz w:val="22"/>
                <w:szCs w:val="22"/>
              </w:rPr>
            </w:pPr>
          </w:p>
          <w:p w:rsidR="000B4771" w:rsidRPr="00114156" w:rsidRDefault="000B4771"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CC1AF4" w:rsidRDefault="00CC1AF4" w:rsidP="008811FC">
            <w:pPr>
              <w:tabs>
                <w:tab w:val="left" w:pos="1701"/>
              </w:tabs>
              <w:rPr>
                <w:b/>
                <w:snapToGrid w:val="0"/>
                <w:sz w:val="22"/>
                <w:szCs w:val="22"/>
              </w:rPr>
            </w:pPr>
          </w:p>
          <w:p w:rsidR="006374E8" w:rsidRPr="00114156" w:rsidRDefault="000F09D3" w:rsidP="008811FC">
            <w:pPr>
              <w:tabs>
                <w:tab w:val="left" w:pos="1701"/>
              </w:tabs>
              <w:rPr>
                <w:b/>
                <w:snapToGrid w:val="0"/>
                <w:sz w:val="22"/>
                <w:szCs w:val="22"/>
              </w:rPr>
            </w:pPr>
            <w:r>
              <w:rPr>
                <w:b/>
                <w:snapToGrid w:val="0"/>
                <w:sz w:val="22"/>
                <w:szCs w:val="22"/>
              </w:rPr>
              <w:t>§ 12</w:t>
            </w:r>
          </w:p>
          <w:p w:rsidR="006374E8" w:rsidRPr="00114156" w:rsidRDefault="006374E8" w:rsidP="008811FC">
            <w:pPr>
              <w:tabs>
                <w:tab w:val="left" w:pos="1701"/>
              </w:tabs>
              <w:rPr>
                <w:b/>
                <w:snapToGrid w:val="0"/>
                <w:sz w:val="22"/>
                <w:szCs w:val="22"/>
              </w:rPr>
            </w:pPr>
          </w:p>
          <w:p w:rsidR="00603AF0" w:rsidRDefault="00603AF0" w:rsidP="00603AF0">
            <w:pPr>
              <w:tabs>
                <w:tab w:val="left" w:pos="1701"/>
              </w:tabs>
              <w:spacing w:line="360" w:lineRule="auto"/>
              <w:rPr>
                <w:b/>
                <w:snapToGrid w:val="0"/>
                <w:sz w:val="22"/>
                <w:szCs w:val="22"/>
              </w:rPr>
            </w:pPr>
          </w:p>
          <w:p w:rsidR="00603AF0" w:rsidRDefault="00603AF0" w:rsidP="00603AF0">
            <w:pPr>
              <w:tabs>
                <w:tab w:val="left" w:pos="1701"/>
              </w:tabs>
              <w:spacing w:line="360" w:lineRule="auto"/>
              <w:rPr>
                <w:b/>
                <w:snapToGrid w:val="0"/>
                <w:sz w:val="22"/>
                <w:szCs w:val="22"/>
              </w:rPr>
            </w:pPr>
          </w:p>
          <w:p w:rsidR="00FE3906" w:rsidRDefault="00FE3906" w:rsidP="00603AF0">
            <w:pPr>
              <w:tabs>
                <w:tab w:val="left" w:pos="1701"/>
              </w:tabs>
              <w:spacing w:line="360" w:lineRule="auto"/>
              <w:rPr>
                <w:b/>
                <w:snapToGrid w:val="0"/>
                <w:sz w:val="22"/>
                <w:szCs w:val="22"/>
              </w:rPr>
            </w:pPr>
          </w:p>
          <w:p w:rsidR="00603AF0" w:rsidRDefault="00603AF0" w:rsidP="00603AF0">
            <w:pPr>
              <w:tabs>
                <w:tab w:val="left" w:pos="1701"/>
              </w:tabs>
              <w:spacing w:line="360" w:lineRule="auto"/>
              <w:rPr>
                <w:b/>
                <w:snapToGrid w:val="0"/>
                <w:sz w:val="22"/>
                <w:szCs w:val="22"/>
              </w:rPr>
            </w:pPr>
          </w:p>
          <w:p w:rsidR="00751425" w:rsidRPr="00114156" w:rsidRDefault="00751425"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0F09D3" w:rsidP="008811FC">
            <w:pPr>
              <w:tabs>
                <w:tab w:val="left" w:pos="1701"/>
              </w:tabs>
              <w:rPr>
                <w:b/>
                <w:snapToGrid w:val="0"/>
                <w:sz w:val="22"/>
                <w:szCs w:val="22"/>
              </w:rPr>
            </w:pPr>
            <w:r>
              <w:rPr>
                <w:b/>
                <w:snapToGrid w:val="0"/>
                <w:sz w:val="22"/>
                <w:szCs w:val="22"/>
              </w:rPr>
              <w:t>§ 13</w:t>
            </w: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Default="006374E8" w:rsidP="008811FC">
            <w:pPr>
              <w:tabs>
                <w:tab w:val="left" w:pos="1701"/>
              </w:tabs>
              <w:rPr>
                <w:b/>
                <w:snapToGrid w:val="0"/>
                <w:sz w:val="22"/>
                <w:szCs w:val="22"/>
              </w:rPr>
            </w:pPr>
          </w:p>
          <w:p w:rsidR="00CC1AF4" w:rsidRDefault="00CC1AF4" w:rsidP="008811FC">
            <w:pPr>
              <w:tabs>
                <w:tab w:val="left" w:pos="1701"/>
              </w:tabs>
              <w:rPr>
                <w:b/>
                <w:snapToGrid w:val="0"/>
                <w:sz w:val="22"/>
                <w:szCs w:val="22"/>
              </w:rPr>
            </w:pPr>
          </w:p>
          <w:p w:rsidR="00CC1AF4" w:rsidRPr="00114156" w:rsidRDefault="00CC1AF4" w:rsidP="00CC1AF4">
            <w:pPr>
              <w:tabs>
                <w:tab w:val="left" w:pos="1701"/>
              </w:tabs>
              <w:spacing w:line="480" w:lineRule="auto"/>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B82CCB" w:rsidP="008811FC">
            <w:pPr>
              <w:tabs>
                <w:tab w:val="left" w:pos="1701"/>
              </w:tabs>
              <w:rPr>
                <w:b/>
                <w:snapToGrid w:val="0"/>
                <w:sz w:val="22"/>
                <w:szCs w:val="22"/>
              </w:rPr>
            </w:pPr>
            <w:r>
              <w:rPr>
                <w:b/>
                <w:snapToGrid w:val="0"/>
                <w:sz w:val="22"/>
                <w:szCs w:val="22"/>
              </w:rPr>
              <w:t>§ 14</w:t>
            </w: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p w:rsidR="006374E8" w:rsidRPr="00114156" w:rsidRDefault="006374E8" w:rsidP="008811FC">
            <w:pPr>
              <w:tabs>
                <w:tab w:val="left" w:pos="1701"/>
              </w:tabs>
              <w:rPr>
                <w:b/>
                <w:snapToGrid w:val="0"/>
                <w:sz w:val="22"/>
                <w:szCs w:val="22"/>
              </w:rPr>
            </w:pPr>
          </w:p>
        </w:tc>
        <w:tc>
          <w:tcPr>
            <w:tcW w:w="6946" w:type="dxa"/>
            <w:gridSpan w:val="15"/>
          </w:tcPr>
          <w:p w:rsidR="006374E8" w:rsidRDefault="006374E8" w:rsidP="008811FC">
            <w:pPr>
              <w:rPr>
                <w:b/>
                <w:bCs/>
                <w:color w:val="000000"/>
                <w:sz w:val="22"/>
                <w:szCs w:val="22"/>
              </w:rPr>
            </w:pPr>
            <w:r w:rsidRPr="00114156">
              <w:rPr>
                <w:b/>
                <w:bCs/>
                <w:color w:val="000000"/>
                <w:sz w:val="22"/>
                <w:szCs w:val="22"/>
              </w:rPr>
              <w:lastRenderedPageBreak/>
              <w:t>Medgivande för tjänstemän att delta på distans</w:t>
            </w:r>
          </w:p>
          <w:p w:rsidR="007F6420" w:rsidRDefault="007F6420" w:rsidP="008811FC">
            <w:pPr>
              <w:rPr>
                <w:b/>
                <w:bCs/>
                <w:color w:val="000000"/>
                <w:sz w:val="22"/>
                <w:szCs w:val="22"/>
              </w:rPr>
            </w:pPr>
          </w:p>
          <w:p w:rsidR="007F6420" w:rsidRPr="00553841" w:rsidRDefault="007F6420" w:rsidP="007F6420">
            <w:pPr>
              <w:tabs>
                <w:tab w:val="left" w:pos="1701"/>
              </w:tabs>
              <w:rPr>
                <w:sz w:val="22"/>
                <w:szCs w:val="22"/>
              </w:rPr>
            </w:pPr>
            <w:r w:rsidRPr="00553841">
              <w:rPr>
                <w:sz w:val="22"/>
                <w:szCs w:val="22"/>
              </w:rPr>
              <w:t xml:space="preserve">Utskottet medgav deltagande på distans för en tjänsteman från </w:t>
            </w:r>
            <w:r>
              <w:rPr>
                <w:sz w:val="22"/>
                <w:szCs w:val="22"/>
              </w:rPr>
              <w:t>EU-nämnden</w:t>
            </w:r>
            <w:r w:rsidRPr="00553841">
              <w:rPr>
                <w:sz w:val="22"/>
                <w:szCs w:val="22"/>
              </w:rPr>
              <w:t xml:space="preserve"> under punkt</w:t>
            </w:r>
            <w:r w:rsidR="00FE3906">
              <w:rPr>
                <w:sz w:val="22"/>
                <w:szCs w:val="22"/>
              </w:rPr>
              <w:t xml:space="preserve">erna </w:t>
            </w:r>
            <w:proofErr w:type="gramStart"/>
            <w:r>
              <w:rPr>
                <w:sz w:val="22"/>
                <w:szCs w:val="22"/>
              </w:rPr>
              <w:t>2-4</w:t>
            </w:r>
            <w:proofErr w:type="gramEnd"/>
            <w:r w:rsidRPr="00553841">
              <w:rPr>
                <w:sz w:val="22"/>
                <w:szCs w:val="22"/>
              </w:rPr>
              <w:t>.</w:t>
            </w:r>
          </w:p>
          <w:p w:rsidR="006374E8" w:rsidRPr="00114156" w:rsidRDefault="006374E8" w:rsidP="008811FC">
            <w:pPr>
              <w:tabs>
                <w:tab w:val="left" w:pos="1701"/>
              </w:tabs>
              <w:rPr>
                <w:rFonts w:eastAsiaTheme="minorHAnsi"/>
                <w:b/>
                <w:bCs/>
                <w:color w:val="000000"/>
                <w:sz w:val="22"/>
                <w:szCs w:val="22"/>
                <w:lang w:eastAsia="en-US"/>
              </w:rPr>
            </w:pPr>
          </w:p>
          <w:p w:rsidR="006374E8" w:rsidRPr="00751425" w:rsidRDefault="00751425" w:rsidP="008811FC">
            <w:pPr>
              <w:tabs>
                <w:tab w:val="left" w:pos="1701"/>
              </w:tabs>
              <w:rPr>
                <w:rFonts w:eastAsiaTheme="minorHAnsi"/>
                <w:b/>
                <w:bCs/>
                <w:color w:val="000000"/>
                <w:sz w:val="22"/>
                <w:szCs w:val="22"/>
                <w:lang w:eastAsia="en-US"/>
              </w:rPr>
            </w:pPr>
            <w:r w:rsidRPr="00751425">
              <w:rPr>
                <w:rFonts w:eastAsiaTheme="minorHAnsi"/>
                <w:b/>
                <w:bCs/>
                <w:color w:val="000000"/>
                <w:sz w:val="22"/>
                <w:szCs w:val="22"/>
                <w:lang w:eastAsia="en-US"/>
              </w:rPr>
              <w:t>Kommissionens förslag om harmoniserade regler för artificiell intelligens</w:t>
            </w:r>
          </w:p>
          <w:p w:rsidR="006374E8" w:rsidRPr="00114156" w:rsidRDefault="006374E8" w:rsidP="008811FC">
            <w:pPr>
              <w:tabs>
                <w:tab w:val="left" w:pos="1701"/>
              </w:tabs>
              <w:rPr>
                <w:rFonts w:eastAsiaTheme="minorHAnsi"/>
                <w:b/>
                <w:bCs/>
                <w:color w:val="000000"/>
                <w:sz w:val="22"/>
                <w:szCs w:val="22"/>
                <w:lang w:eastAsia="en-US"/>
              </w:rPr>
            </w:pPr>
          </w:p>
          <w:p w:rsidR="006374E8" w:rsidRPr="00114156" w:rsidRDefault="006374E8" w:rsidP="008811FC">
            <w:pPr>
              <w:rPr>
                <w:sz w:val="22"/>
                <w:szCs w:val="22"/>
              </w:rPr>
            </w:pPr>
            <w:r w:rsidRPr="00114156">
              <w:rPr>
                <w:sz w:val="22"/>
                <w:szCs w:val="22"/>
              </w:rPr>
              <w:t xml:space="preserve">Utskottet överlade med digitaliseringsministern, åtföljd av medarbetare från Infrastrukturdepartementet. </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 xml:space="preserve">Underlaget utgjordes av kommissionens förslag </w:t>
            </w:r>
            <w:proofErr w:type="gramStart"/>
            <w:r w:rsidRPr="00114156">
              <w:rPr>
                <w:color w:val="000000"/>
                <w:sz w:val="22"/>
                <w:szCs w:val="22"/>
              </w:rPr>
              <w:t>COM(</w:t>
            </w:r>
            <w:proofErr w:type="gramEnd"/>
            <w:r w:rsidRPr="00114156">
              <w:rPr>
                <w:color w:val="000000"/>
                <w:sz w:val="22"/>
                <w:szCs w:val="22"/>
              </w:rPr>
              <w:t xml:space="preserve">2021) 206 </w:t>
            </w:r>
            <w:r w:rsidRPr="00114156">
              <w:rPr>
                <w:sz w:val="22"/>
                <w:szCs w:val="22"/>
              </w:rPr>
              <w:t xml:space="preserve">och Regeringskansliets faktapromemoria </w:t>
            </w:r>
            <w:r w:rsidRPr="00114156">
              <w:rPr>
                <w:color w:val="000000"/>
                <w:sz w:val="22"/>
                <w:szCs w:val="22"/>
              </w:rPr>
              <w:t>2020/21:FPM109.</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 xml:space="preserve">Infrastrukturministern redogjorde för regeringens ståndpunkt i enlighet med faktapromemorian: </w:t>
            </w:r>
          </w:p>
          <w:p w:rsidR="006374E8" w:rsidRDefault="006374E8" w:rsidP="00F31C9F">
            <w:pPr>
              <w:ind w:right="278"/>
              <w:rPr>
                <w:sz w:val="22"/>
                <w:szCs w:val="22"/>
              </w:rPr>
            </w:pPr>
          </w:p>
          <w:p w:rsidR="00915BD0" w:rsidRPr="00915BD0" w:rsidRDefault="00915BD0" w:rsidP="00F31C9F">
            <w:pPr>
              <w:widowControl/>
              <w:autoSpaceDE w:val="0"/>
              <w:autoSpaceDN w:val="0"/>
              <w:adjustRightInd w:val="0"/>
              <w:ind w:left="280" w:right="278"/>
              <w:rPr>
                <w:rFonts w:ascii="TimesNewRomanPSMT" w:eastAsiaTheme="minorHAnsi" w:hAnsi="TimesNewRomanPSMT" w:cs="TimesNewRomanPSMT"/>
                <w:sz w:val="22"/>
                <w:szCs w:val="22"/>
                <w:lang w:eastAsia="en-US"/>
              </w:rPr>
            </w:pPr>
            <w:r w:rsidRPr="00915BD0">
              <w:rPr>
                <w:rFonts w:ascii="TimesNewRomanPSMT" w:eastAsiaTheme="minorHAnsi" w:hAnsi="TimesNewRomanPSMT" w:cs="TimesNewRomanPSMT"/>
                <w:sz w:val="22"/>
                <w:szCs w:val="22"/>
                <w:lang w:eastAsia="en-US"/>
              </w:rPr>
              <w:t>Regeringen är positiv till kommissionens arbete att skapa enhetlig reglering</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för AI på den inre marknaden för att undvika fragmentering och stärka den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inre marknadens konkurrenskraft och funktion. AI har använts länge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användningen fortsätter öka såväl inom näringslivet som inom offentlig</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sektor. Potentialen är betydande och Sverige ska vara ledande i att ta tillvara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möjligheterna som användningen av AI kan ge och regeringen ser därför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positivt på EU-reglering som stödjer detta. EU behöver på övergripande nivå</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stärka sin kapacitet att utveckla och använda AI. Digitalisering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utveckling av ny teknik bör vara verktyg för att uppnå ett mer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konkurrenskraftigt, inkluderande, säkert och hållbart Europa.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Det är viktigt att samhället har förtroende för ny teknik och regeringen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stödjer därför inriktningen att ta fram regler som ökar transparensen, tydliggör</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ansvarsförhållanden, tydliggör vilka användningsområden som ska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vara förbjudna samt möjliggör tillsyn och efterlevnad. Regeringen noterar att</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flera av de risker som tas upp i förordningen även kan uppstå med annan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teknik eller på grund av mänskligt beslutsfattande. Reglerna måste vara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proportionerliga i förhållande till de syften som anges, utgå från principen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om</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teknikneutralitet, inte vara för detaljerade och inte överlappa med annan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relevant reglering. Det är viktigt att regleringen inte negativt påverkar</w:t>
            </w:r>
            <w:r w:rsidR="00986510">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svenska myndigheters förmåga att bedriva effektiv brottsbekämpning eller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arbetet med nationell säkerhet.</w:t>
            </w:r>
            <w:r w:rsidR="00A9643A">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Regeringen anser vidare att nationell säkerhet och försvar är frågor som är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medlemsstatens egen unika kompetens enligt EUF-fördraget och att åtgärder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som syftar till att skydda nationell säkerhet därmed inte faller under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 xml:space="preserve">regleringens tillämpningsområde, </w:t>
            </w:r>
            <w:r w:rsidRPr="00915BD0">
              <w:rPr>
                <w:rFonts w:ascii="TimesNewRomanPSMT" w:eastAsiaTheme="minorHAnsi" w:hAnsi="TimesNewRomanPSMT" w:cs="TimesNewRomanPSMT"/>
                <w:sz w:val="22"/>
                <w:szCs w:val="22"/>
                <w:lang w:eastAsia="en-US"/>
              </w:rPr>
              <w:lastRenderedPageBreak/>
              <w:t>oavsett om det är staten eller en privat</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aktör som ska vidta åtgärder med ett sådant syfte. Förordningen ska inte</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hindra medlemsstaterna från att vidta de åtgärder som de anser nödvändiga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för att skydda den nationella säkerheten. Detta behöver tydliggöras i</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regleringen.</w:t>
            </w:r>
            <w:r w:rsidR="00A9643A">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Regeringen välkomnar att förslaget tar sin grund i mänskliga rättigheter</w:t>
            </w:r>
            <w:r w:rsidR="00A9643A">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inklusive rätten till privatliv, yttrandefrihet, icke-diskriminering och</w:t>
            </w:r>
            <w:r w:rsidR="00A9643A">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jämställdhet, men även personlig integritet, skydd av fysiska personer i fråga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om behandling av personuppgifter och informations- och cybersäkerhet.</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Respekten för dessa aspekter måste upprätthållas i förslaget.</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Regeringens utgångsläge är att förslaget ska stödja fri konkurrenskraft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global handel. Regeringen välkomnar internationellt samarbete kring AI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understryker vikten av att EU fortsatt samarbetar med likasinnade länder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globala aktörer, det gäller särskilt i arbetet med en likriktad normering och</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standardisering.</w:t>
            </w:r>
            <w:r w:rsidR="00A9643A">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Regeringen ser att en viktig förutsättning för användningen av AI är tillgång</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till data, säker datadelning samt möjligheten att experimentera och forska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även på bristfälliga data och att detta behöver genomsyra förordningen.</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Ibland går det inte att exakt veta hur en AI fattat beslut och ett utrymme för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detta, särskilt för forskning och innovation, måste finnas för att den fulla</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potentialen med AI ska kunna nyttjas. Regeringen menar även att test-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experimentmiljöer, liksom regulatoriska sandlådor, kan vara viktiga för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utvecklingen av tillförlitlig AI. Det är vidare viktigt att de åtgärder för</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kontroll och regelefterlevnad som föreslås är proportionerliga och</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ändamålsenliga och inte förhindrar innovation och utveckling.</w:t>
            </w:r>
            <w:r w:rsidR="00744DF0">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Regeringen anser vidare att det är viktigt att möjliggöra för individens</w:t>
            </w:r>
          </w:p>
          <w:p w:rsidR="00915BD0" w:rsidRPr="00915BD0" w:rsidRDefault="00915BD0" w:rsidP="00F31C9F">
            <w:pPr>
              <w:widowControl/>
              <w:autoSpaceDE w:val="0"/>
              <w:autoSpaceDN w:val="0"/>
              <w:adjustRightInd w:val="0"/>
              <w:ind w:left="280" w:right="278"/>
              <w:rPr>
                <w:rFonts w:ascii="TimesNewRomanPSMT" w:eastAsiaTheme="minorHAnsi" w:hAnsi="TimesNewRomanPSMT" w:cs="TimesNewRomanPSMT"/>
                <w:sz w:val="22"/>
                <w:szCs w:val="22"/>
                <w:lang w:eastAsia="en-US"/>
              </w:rPr>
            </w:pPr>
            <w:r w:rsidRPr="00915BD0">
              <w:rPr>
                <w:rFonts w:ascii="TimesNewRomanPSMT" w:eastAsiaTheme="minorHAnsi" w:hAnsi="TimesNewRomanPSMT" w:cs="TimesNewRomanPSMT"/>
                <w:sz w:val="22"/>
                <w:szCs w:val="22"/>
                <w:lang w:eastAsia="en-US"/>
              </w:rPr>
              <w:t>kontroll och insyn över den data som finns om individen. Sådan kontroll</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behövs för att öka medborgarnas förtroende för ny teknik och hur data</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används inom ramen för AI liksom för att tillförsäkra att individers</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rättigheter efterlevs. För att säkerställa möjligheten till tillsyn och för att</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motverka kränkningar av mänskliga rättigheter, inklusive diskriminering,</w:t>
            </w:r>
            <w:r w:rsidR="00F31C9F">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eller andra negativa utfall instämmer regeringen i att det viktigt med krav på</w:t>
            </w:r>
            <w:r>
              <w:rPr>
                <w:rFonts w:ascii="TimesNewRomanPSMT" w:eastAsiaTheme="minorHAnsi" w:hAnsi="TimesNewRomanPSMT" w:cs="TimesNewRomanPSMT"/>
                <w:sz w:val="22"/>
                <w:szCs w:val="22"/>
                <w:lang w:eastAsia="en-US"/>
              </w:rPr>
              <w:t xml:space="preserve"> </w:t>
            </w:r>
            <w:r w:rsidRPr="00915BD0">
              <w:rPr>
                <w:rFonts w:ascii="TimesNewRomanPSMT" w:eastAsiaTheme="minorHAnsi" w:hAnsi="TimesNewRomanPSMT" w:cs="TimesNewRomanPSMT"/>
                <w:sz w:val="22"/>
                <w:szCs w:val="22"/>
                <w:lang w:eastAsia="en-US"/>
              </w:rPr>
              <w:t>transparens och öppenhet när AI-system används.</w:t>
            </w:r>
          </w:p>
          <w:p w:rsidR="006374E8" w:rsidRPr="00114156" w:rsidRDefault="006374E8" w:rsidP="008811FC">
            <w:pPr>
              <w:ind w:right="850"/>
              <w:jc w:val="both"/>
              <w:rPr>
                <w:sz w:val="22"/>
                <w:szCs w:val="22"/>
              </w:rPr>
            </w:pPr>
          </w:p>
          <w:p w:rsidR="006374E8" w:rsidRDefault="006374E8" w:rsidP="008811FC">
            <w:pPr>
              <w:ind w:right="850"/>
              <w:rPr>
                <w:sz w:val="22"/>
                <w:szCs w:val="22"/>
              </w:rPr>
            </w:pPr>
            <w:r w:rsidRPr="00114156">
              <w:rPr>
                <w:sz w:val="22"/>
                <w:szCs w:val="22"/>
              </w:rPr>
              <w:t xml:space="preserve">Ordföranden konstaterade att det fanns stöd för regeringens ståndpunkt. </w:t>
            </w:r>
          </w:p>
          <w:p w:rsidR="008D7F40" w:rsidRDefault="008D7F40" w:rsidP="008811FC">
            <w:pPr>
              <w:ind w:right="850"/>
              <w:rPr>
                <w:sz w:val="22"/>
                <w:szCs w:val="22"/>
              </w:rPr>
            </w:pPr>
          </w:p>
          <w:p w:rsidR="008D7F40" w:rsidRDefault="008D7F40" w:rsidP="008811FC">
            <w:pPr>
              <w:ind w:right="850"/>
              <w:rPr>
                <w:sz w:val="22"/>
                <w:szCs w:val="22"/>
              </w:rPr>
            </w:pPr>
            <w:r>
              <w:rPr>
                <w:sz w:val="22"/>
                <w:szCs w:val="22"/>
              </w:rPr>
              <w:t>V-ledam</w:t>
            </w:r>
            <w:r w:rsidR="00FE3906">
              <w:rPr>
                <w:sz w:val="22"/>
                <w:szCs w:val="22"/>
              </w:rPr>
              <w:t>oten</w:t>
            </w:r>
            <w:r>
              <w:rPr>
                <w:sz w:val="22"/>
                <w:szCs w:val="22"/>
              </w:rPr>
              <w:t xml:space="preserve"> anmälde följande avvikande ståndpunkt:</w:t>
            </w:r>
          </w:p>
          <w:p w:rsidR="008D7F40" w:rsidRDefault="008D7F40" w:rsidP="008811FC">
            <w:pPr>
              <w:ind w:right="850"/>
              <w:rPr>
                <w:sz w:val="22"/>
                <w:szCs w:val="22"/>
              </w:rPr>
            </w:pPr>
          </w:p>
          <w:p w:rsidR="008D7F40" w:rsidRPr="00102A67" w:rsidRDefault="00FE3906" w:rsidP="00A443BA">
            <w:pPr>
              <w:ind w:left="280" w:right="278"/>
              <w:rPr>
                <w:sz w:val="22"/>
                <w:szCs w:val="22"/>
              </w:rPr>
            </w:pPr>
            <w:r>
              <w:rPr>
                <w:sz w:val="22"/>
                <w:szCs w:val="22"/>
              </w:rPr>
              <w:t>Jag</w:t>
            </w:r>
            <w:r w:rsidR="00102A67" w:rsidRPr="00102A67">
              <w:rPr>
                <w:sz w:val="22"/>
                <w:szCs w:val="22"/>
              </w:rPr>
              <w:t xml:space="preserve"> anser att regeringen bör verka för att förordningen om artificiell intelligens görs om till ett direktiv så att medlemsstaterna får </w:t>
            </w:r>
            <w:r w:rsidR="00A443BA">
              <w:rPr>
                <w:sz w:val="22"/>
                <w:szCs w:val="22"/>
              </w:rPr>
              <w:t>större</w:t>
            </w:r>
            <w:r w:rsidR="00102A67" w:rsidRPr="00102A67">
              <w:rPr>
                <w:sz w:val="22"/>
                <w:szCs w:val="22"/>
              </w:rPr>
              <w:t xml:space="preserve"> flexibilitet vid genomförandet.</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Denna paragraf förklarades omedelbart justerad.</w:t>
            </w:r>
          </w:p>
          <w:p w:rsidR="006374E8" w:rsidRPr="00114156" w:rsidRDefault="006374E8" w:rsidP="008811FC">
            <w:pPr>
              <w:tabs>
                <w:tab w:val="left" w:pos="1701"/>
              </w:tabs>
              <w:rPr>
                <w:rFonts w:eastAsiaTheme="minorHAnsi"/>
                <w:b/>
                <w:bCs/>
                <w:color w:val="000000"/>
                <w:sz w:val="22"/>
                <w:szCs w:val="22"/>
                <w:lang w:eastAsia="en-US"/>
              </w:rPr>
            </w:pPr>
          </w:p>
          <w:p w:rsidR="006374E8" w:rsidRPr="00751425" w:rsidRDefault="00751425" w:rsidP="008811FC">
            <w:pPr>
              <w:tabs>
                <w:tab w:val="left" w:pos="1701"/>
              </w:tabs>
              <w:rPr>
                <w:rFonts w:eastAsiaTheme="minorHAnsi"/>
                <w:b/>
                <w:bCs/>
                <w:color w:val="000000"/>
                <w:sz w:val="22"/>
                <w:szCs w:val="22"/>
                <w:lang w:eastAsia="en-US"/>
              </w:rPr>
            </w:pPr>
            <w:r w:rsidRPr="00751425">
              <w:rPr>
                <w:rFonts w:eastAsiaTheme="minorHAnsi"/>
                <w:b/>
                <w:bCs/>
                <w:color w:val="000000"/>
                <w:sz w:val="22"/>
                <w:szCs w:val="22"/>
                <w:lang w:eastAsia="en-US"/>
              </w:rPr>
              <w:t>Kommissionens förslag om ram för en europeisk digital identitet</w:t>
            </w:r>
          </w:p>
          <w:p w:rsidR="006374E8" w:rsidRPr="00114156" w:rsidRDefault="006374E8" w:rsidP="008811FC">
            <w:pPr>
              <w:tabs>
                <w:tab w:val="left" w:pos="1701"/>
              </w:tabs>
              <w:rPr>
                <w:rFonts w:eastAsiaTheme="minorHAnsi"/>
                <w:b/>
                <w:bCs/>
                <w:color w:val="000000"/>
                <w:sz w:val="22"/>
                <w:szCs w:val="22"/>
                <w:lang w:eastAsia="en-US"/>
              </w:rPr>
            </w:pPr>
          </w:p>
          <w:p w:rsidR="006374E8" w:rsidRPr="00114156" w:rsidRDefault="006374E8" w:rsidP="008811FC">
            <w:pPr>
              <w:rPr>
                <w:sz w:val="22"/>
                <w:szCs w:val="22"/>
              </w:rPr>
            </w:pPr>
            <w:r w:rsidRPr="00114156">
              <w:rPr>
                <w:sz w:val="22"/>
                <w:szCs w:val="22"/>
              </w:rPr>
              <w:t xml:space="preserve">Utskottet överlade med digitaliseringsministern, åtföljd av medarbetare från Infrastrukturdepartementet. </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 xml:space="preserve">Underlaget utgjordes av kommissionens förslag </w:t>
            </w:r>
            <w:proofErr w:type="gramStart"/>
            <w:r w:rsidRPr="00114156">
              <w:rPr>
                <w:color w:val="000000"/>
                <w:sz w:val="22"/>
                <w:szCs w:val="22"/>
              </w:rPr>
              <w:t>COM(</w:t>
            </w:r>
            <w:proofErr w:type="gramEnd"/>
            <w:r w:rsidRPr="00114156">
              <w:rPr>
                <w:color w:val="000000"/>
                <w:sz w:val="22"/>
                <w:szCs w:val="22"/>
              </w:rPr>
              <w:t xml:space="preserve">2021) 281 </w:t>
            </w:r>
            <w:r w:rsidRPr="00114156">
              <w:rPr>
                <w:sz w:val="22"/>
                <w:szCs w:val="22"/>
              </w:rPr>
              <w:t xml:space="preserve">och Regeringskansliets faktapromemoria </w:t>
            </w:r>
            <w:r w:rsidRPr="00114156">
              <w:rPr>
                <w:color w:val="000000"/>
                <w:sz w:val="22"/>
                <w:szCs w:val="22"/>
              </w:rPr>
              <w:t>2020/21:FPM118.</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 xml:space="preserve">Infrastrukturministern redogjorde för regeringens ståndpunkt i enlighet med faktapromemorian: </w:t>
            </w:r>
          </w:p>
          <w:p w:rsidR="006374E8" w:rsidRPr="00114156" w:rsidRDefault="006374E8" w:rsidP="008811FC">
            <w:pPr>
              <w:rPr>
                <w:sz w:val="22"/>
                <w:szCs w:val="22"/>
              </w:rPr>
            </w:pPr>
          </w:p>
          <w:p w:rsidR="006374E8" w:rsidRPr="00772F96" w:rsidRDefault="00EB6B6C" w:rsidP="00F31C9F">
            <w:pPr>
              <w:widowControl/>
              <w:autoSpaceDE w:val="0"/>
              <w:autoSpaceDN w:val="0"/>
              <w:adjustRightInd w:val="0"/>
              <w:ind w:left="280" w:right="278"/>
              <w:rPr>
                <w:rFonts w:ascii="TimesNewRomanPSMT" w:eastAsiaTheme="minorHAnsi" w:hAnsi="TimesNewRomanPSMT" w:cs="TimesNewRomanPSMT"/>
                <w:sz w:val="22"/>
                <w:szCs w:val="22"/>
                <w:lang w:eastAsia="en-US"/>
              </w:rPr>
            </w:pPr>
            <w:r w:rsidRPr="00772F96">
              <w:rPr>
                <w:rFonts w:ascii="TimesNewRomanPSMT" w:eastAsiaTheme="minorHAnsi" w:hAnsi="TimesNewRomanPSMT" w:cs="TimesNewRomanPSMT"/>
                <w:sz w:val="22"/>
                <w:szCs w:val="22"/>
                <w:lang w:eastAsia="en-US"/>
              </w:rPr>
              <w:t>Regeringen välkomnar det förslag som kommissionen har presenterat och är</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positiv till målsättningen att införa en europeisk digita</w:t>
            </w:r>
            <w:r w:rsidR="00772F96">
              <w:rPr>
                <w:rFonts w:ascii="TimesNewRomanPSMT" w:eastAsiaTheme="minorHAnsi" w:hAnsi="TimesNewRomanPSMT" w:cs="TimesNewRomanPSMT"/>
                <w:sz w:val="22"/>
                <w:szCs w:val="22"/>
                <w:lang w:eastAsia="en-US"/>
              </w:rPr>
              <w:t xml:space="preserve">l </w:t>
            </w:r>
            <w:r w:rsidRPr="00772F96">
              <w:rPr>
                <w:rFonts w:ascii="TimesNewRomanPSMT" w:eastAsiaTheme="minorHAnsi" w:hAnsi="TimesNewRomanPSMT" w:cs="TimesNewRomanPSMT"/>
                <w:sz w:val="22"/>
                <w:szCs w:val="22"/>
                <w:lang w:eastAsia="en-US"/>
              </w:rPr>
              <w:t>identitetsplånbok.</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 xml:space="preserve">Regeringen välkomnar särskilt att förslaget, utöver </w:t>
            </w:r>
            <w:r w:rsidRPr="00772F96">
              <w:rPr>
                <w:rFonts w:ascii="TimesNewRomanPSMT" w:eastAsiaTheme="minorHAnsi" w:hAnsi="TimesNewRomanPSMT" w:cs="TimesNewRomanPSMT"/>
                <w:sz w:val="22"/>
                <w:szCs w:val="22"/>
                <w:lang w:eastAsia="en-US"/>
              </w:rPr>
              <w:lastRenderedPageBreak/>
              <w:t>ändamålet att säkerställa</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en väl fungerande inre marknad, samtidigt tar sin utgångspunkt i att öka</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användarens möjligheter till kontroll över sin data. Med säkra gränsöverskridande digitala tjänster finns stor potential för ökad rörlighet för både individer och företag på den inre marknaden samt fler digitala möten och digitala processer vilket främjar konkurrens och hållbar utveckling. I ljuset av den pågående pandemin har behovet av säkra digitala lösningar ytterligare tydliggjorts.</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Regeringen välkomnar att förslaget bl.a. syftar till att värna rätten till</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privatliv, skyddet av den personliga integriteten, skyddet av fysiska personer</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i fråga om behandling av personuppgifter samt informations- och</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cybersäkerheten. För att upprätthålla förtroendet för systemet är</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säkerhetsfrågor av högsta vikt och regeringen välkomnar därför att</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cybersäkerhetscertifiering ska genomföras i enlighet med</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Europaparlamentets och rådets förordning (EU) 2019/881 av den 17 april</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 xml:space="preserve">2019 om </w:t>
            </w:r>
            <w:proofErr w:type="spellStart"/>
            <w:r w:rsidRPr="00772F96">
              <w:rPr>
                <w:rFonts w:ascii="TimesNewRomanPSMT" w:eastAsiaTheme="minorHAnsi" w:hAnsi="TimesNewRomanPSMT" w:cs="TimesNewRomanPSMT"/>
                <w:sz w:val="22"/>
                <w:szCs w:val="22"/>
                <w:lang w:eastAsia="en-US"/>
              </w:rPr>
              <w:t>Enisa</w:t>
            </w:r>
            <w:proofErr w:type="spellEnd"/>
            <w:r w:rsidRPr="00772F96">
              <w:rPr>
                <w:rFonts w:ascii="TimesNewRomanPSMT" w:eastAsiaTheme="minorHAnsi" w:hAnsi="TimesNewRomanPSMT" w:cs="TimesNewRomanPSMT"/>
                <w:sz w:val="22"/>
                <w:szCs w:val="22"/>
                <w:lang w:eastAsia="en-US"/>
              </w:rPr>
              <w:t xml:space="preserve"> (Europeiska unionens säkerhetsbyrå) och om</w:t>
            </w:r>
            <w:r w:rsidR="00A9643A">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cybersäkerhetscertifiering av informations- och kommunikationsteknik och</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om upphävande av förordning (EU) nr 526/2013</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(cybersäkerhetsakten).</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Regeringen kommer särskilt bevaka att förslaget inte riskerar att leda till en</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ökning av välfärdsbrott, bedrägerier eller missbruk och att brottsbekämpande</w:t>
            </w:r>
            <w:r w:rsidR="00772F96">
              <w:rPr>
                <w:rFonts w:ascii="TimesNewRomanPSMT" w:eastAsiaTheme="minorHAnsi" w:hAnsi="TimesNewRomanPSMT" w:cs="TimesNewRomanPSMT"/>
                <w:sz w:val="22"/>
                <w:szCs w:val="22"/>
                <w:lang w:eastAsia="en-US"/>
              </w:rPr>
              <w:t xml:space="preserve"> </w:t>
            </w:r>
            <w:r w:rsidRPr="00772F96">
              <w:rPr>
                <w:rFonts w:ascii="TimesNewRomanPSMT" w:eastAsiaTheme="minorHAnsi" w:hAnsi="TimesNewRomanPSMT" w:cs="TimesNewRomanPSMT"/>
                <w:sz w:val="22"/>
                <w:szCs w:val="22"/>
                <w:lang w:eastAsia="en-US"/>
              </w:rPr>
              <w:t>myndigheters särskilda behov beaktas. Det är vidare viktigt för regeringen att det ställs krav på att betrodda tjänster och andra tjänster som omfattas av förordningen ska vara tillgängliga i enlighet med Europaparlamentets och rådets direktiv (EU) 2019/882 av den 17 april 2019 om tillgänglighetskrav för produkter och tjänster.</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Regeringen instämmer i kommissionens bedömning att det bör vara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obligatoriskt för medlemsstaterna att anmäla en e-legitimation och en digital</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identitetsplånbok. Regeringen anser också att förslaget ska underlätta för att</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använda gemensamma lösningar och standarder för att minska kostnaderna</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per medlemsstat.</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Regeringen anser att förslaget om en europeisk digital identitetsplånbok i</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utgångsläget bör fungera med de systemanpassningar som redan utvecklats i</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medlemsländerna samt övrig utveckling inom EU som syftar till överföring</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av data.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Regeringen är positiv till utvecklingen av existerande och nya betrodda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tjänster. Förslaget innebär nya uppgifter och krav för offentlig sektor,</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inbegripet kommuner och regioner, som kommer att behöva utveckla digitala</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lösningar för att utge och hantera de digitala bevisen och säkerställa</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identitetshantering i enlighet med förslaget. Detta kommer leda till kostnader</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för berörda aktörer. Samtidigt innebär förslaget vinster i form av att</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individen ges ökad kontroll över data och genom att en välfungerande</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europeisk digital infrastruktur främjar den inre marknaden.</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Regeringen menar att förslaget om ett ramverk för europeiska digitala</w:t>
            </w:r>
            <w:r w:rsidR="00F31C9F">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identiteter är ett viktigt steg för att uppnå EU:s ambitioner för den digitala</w:t>
            </w:r>
            <w:r w:rsidR="00F31C9F">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utvecklingen fram till 2030. Vidare är tillgången till säkra och tillförlitliga</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digitala identiteter för fysiska och juridiska personer en viktig förutsättning</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som möjliggöra en mer integrerad inre marknad, ökad handel, tillgång till</w:t>
            </w:r>
            <w:r>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nya marknader och hållbar tillväxt.</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För regeringen är det viktigt att begränsa den administrativa bördan för</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berörda aktörer. En viktig utgångspunkt i detta är att nya regler och andra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krav inte heller blir mer kostnadskrävande än nödvändigt för samtliga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berörda aktörer. Kostnader som förslagen kan leda till för den nationella</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budgeten ska finansieras i linje med de principer om neutralitet för statens</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budget som riksdagen beslutat om (prop. 1994/95:40, bet. 1994/95FiU5, rskr.</w:t>
            </w:r>
            <w:r w:rsidR="00A9643A">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1994/95:67). Utgiftsdrivande åtgärder för EU-budgeten ska finansieras</w:t>
            </w:r>
            <w:r w:rsidR="00772F96">
              <w:rPr>
                <w:rFonts w:ascii="TimesNewRomanPSMT" w:eastAsiaTheme="minorHAnsi" w:hAnsi="TimesNewRomanPSMT" w:cs="TimesNewRomanPSMT"/>
                <w:sz w:val="22"/>
                <w:szCs w:val="22"/>
                <w:lang w:eastAsia="en-US"/>
              </w:rPr>
              <w:t xml:space="preserve"> </w:t>
            </w:r>
            <w:r w:rsidRPr="00EB6B6C">
              <w:rPr>
                <w:rFonts w:ascii="TimesNewRomanPSMT" w:eastAsiaTheme="minorHAnsi" w:hAnsi="TimesNewRomanPSMT" w:cs="TimesNewRomanPSMT"/>
                <w:sz w:val="22"/>
                <w:szCs w:val="22"/>
                <w:lang w:eastAsia="en-US"/>
              </w:rPr>
              <w:t>genom omprioriteringar i den fleråriga budgetramen (MFF).</w:t>
            </w:r>
          </w:p>
          <w:p w:rsidR="00EB6B6C" w:rsidRPr="00114156" w:rsidRDefault="00EB6B6C" w:rsidP="008811FC">
            <w:pPr>
              <w:rPr>
                <w:sz w:val="22"/>
                <w:szCs w:val="22"/>
              </w:rPr>
            </w:pPr>
          </w:p>
          <w:p w:rsidR="006374E8" w:rsidRPr="00114156" w:rsidRDefault="006374E8" w:rsidP="008811FC">
            <w:pPr>
              <w:rPr>
                <w:sz w:val="22"/>
                <w:szCs w:val="22"/>
              </w:rPr>
            </w:pPr>
            <w:r w:rsidRPr="00114156">
              <w:rPr>
                <w:sz w:val="22"/>
                <w:szCs w:val="22"/>
              </w:rPr>
              <w:t xml:space="preserve">Ordföranden konstaterade att det fanns stöd för regeringens ståndpunkt. </w:t>
            </w:r>
          </w:p>
          <w:p w:rsidR="006374E8" w:rsidRPr="00114156" w:rsidRDefault="006374E8" w:rsidP="008811FC">
            <w:pPr>
              <w:rPr>
                <w:sz w:val="22"/>
                <w:szCs w:val="22"/>
              </w:rPr>
            </w:pPr>
          </w:p>
          <w:p w:rsidR="006374E8" w:rsidRPr="00114156" w:rsidRDefault="006374E8" w:rsidP="008811FC">
            <w:pPr>
              <w:rPr>
                <w:sz w:val="22"/>
                <w:szCs w:val="22"/>
              </w:rPr>
            </w:pPr>
            <w:r w:rsidRPr="00114156">
              <w:rPr>
                <w:sz w:val="22"/>
                <w:szCs w:val="22"/>
              </w:rPr>
              <w:t>Denna paragraf förklarades omedelbart justerad.</w:t>
            </w:r>
          </w:p>
          <w:p w:rsidR="006374E8" w:rsidRPr="00114156" w:rsidRDefault="006374E8" w:rsidP="008811FC">
            <w:pPr>
              <w:tabs>
                <w:tab w:val="left" w:pos="1701"/>
              </w:tabs>
              <w:rPr>
                <w:rFonts w:eastAsiaTheme="minorHAnsi"/>
                <w:b/>
                <w:bCs/>
                <w:color w:val="000000"/>
                <w:sz w:val="22"/>
                <w:szCs w:val="22"/>
                <w:lang w:eastAsia="en-US"/>
              </w:rPr>
            </w:pPr>
          </w:p>
          <w:p w:rsidR="00751425" w:rsidRDefault="00751425" w:rsidP="008811FC">
            <w:pPr>
              <w:tabs>
                <w:tab w:val="left" w:pos="1701"/>
              </w:tabs>
              <w:rPr>
                <w:rFonts w:eastAsiaTheme="minorHAnsi"/>
                <w:b/>
                <w:bCs/>
                <w:color w:val="000000"/>
                <w:sz w:val="22"/>
                <w:szCs w:val="22"/>
                <w:lang w:eastAsia="en-US"/>
              </w:rPr>
            </w:pPr>
            <w:r w:rsidRPr="00751425">
              <w:rPr>
                <w:rFonts w:eastAsiaTheme="minorHAnsi"/>
                <w:b/>
                <w:bCs/>
                <w:color w:val="000000"/>
                <w:sz w:val="22"/>
                <w:szCs w:val="22"/>
                <w:lang w:eastAsia="en-US"/>
              </w:rPr>
              <w:t xml:space="preserve">Information från Infrastrukturdepartementet </w:t>
            </w:r>
          </w:p>
          <w:p w:rsidR="00751425" w:rsidRDefault="00751425" w:rsidP="008811FC">
            <w:pPr>
              <w:tabs>
                <w:tab w:val="left" w:pos="1701"/>
              </w:tabs>
              <w:rPr>
                <w:rFonts w:eastAsiaTheme="minorHAnsi"/>
                <w:b/>
                <w:bCs/>
                <w:color w:val="000000"/>
                <w:sz w:val="22"/>
                <w:szCs w:val="22"/>
                <w:lang w:eastAsia="en-US"/>
              </w:rPr>
            </w:pPr>
            <w:r w:rsidRPr="00751425">
              <w:rPr>
                <w:rFonts w:eastAsiaTheme="minorHAnsi"/>
                <w:b/>
                <w:bCs/>
                <w:color w:val="000000"/>
                <w:sz w:val="22"/>
                <w:szCs w:val="22"/>
                <w:lang w:eastAsia="en-US"/>
              </w:rPr>
              <w:br/>
            </w:r>
            <w:r w:rsidRPr="00751425">
              <w:rPr>
                <w:rFonts w:eastAsiaTheme="minorHAnsi"/>
                <w:color w:val="000000"/>
                <w:sz w:val="22"/>
                <w:szCs w:val="22"/>
                <w:lang w:eastAsia="en-US"/>
              </w:rPr>
              <w:t xml:space="preserve">Statsrådet Ander </w:t>
            </w:r>
            <w:proofErr w:type="spellStart"/>
            <w:r w:rsidRPr="00751425">
              <w:rPr>
                <w:rFonts w:eastAsiaTheme="minorHAnsi"/>
                <w:color w:val="000000"/>
                <w:sz w:val="22"/>
                <w:szCs w:val="22"/>
                <w:lang w:eastAsia="en-US"/>
              </w:rPr>
              <w:t>Ygeman</w:t>
            </w:r>
            <w:proofErr w:type="spellEnd"/>
            <w:r w:rsidRPr="00751425">
              <w:rPr>
                <w:rFonts w:eastAsiaTheme="minorHAnsi"/>
                <w:color w:val="000000"/>
                <w:sz w:val="22"/>
                <w:szCs w:val="22"/>
                <w:lang w:eastAsia="en-US"/>
              </w:rPr>
              <w:t xml:space="preserve"> informera</w:t>
            </w:r>
            <w:r>
              <w:rPr>
                <w:rFonts w:eastAsiaTheme="minorHAnsi"/>
                <w:color w:val="000000"/>
                <w:sz w:val="22"/>
                <w:szCs w:val="22"/>
                <w:lang w:eastAsia="en-US"/>
              </w:rPr>
              <w:t>de</w:t>
            </w:r>
            <w:r w:rsidRPr="00751425">
              <w:rPr>
                <w:rFonts w:eastAsiaTheme="minorHAnsi"/>
                <w:color w:val="000000"/>
                <w:sz w:val="22"/>
                <w:szCs w:val="22"/>
                <w:lang w:eastAsia="en-US"/>
              </w:rPr>
              <w:t xml:space="preserve"> om förordningen om en gemensam digital ingång, den digitala kompassen och det svenska ordförandeskapet 2023</w:t>
            </w:r>
            <w:r>
              <w:rPr>
                <w:rFonts w:eastAsiaTheme="minorHAnsi"/>
                <w:color w:val="000000"/>
                <w:sz w:val="22"/>
                <w:szCs w:val="22"/>
                <w:lang w:eastAsia="en-US"/>
              </w:rPr>
              <w:t>.</w:t>
            </w:r>
          </w:p>
          <w:p w:rsidR="00751425" w:rsidRDefault="00751425" w:rsidP="008811FC">
            <w:pPr>
              <w:tabs>
                <w:tab w:val="left" w:pos="1701"/>
              </w:tabs>
              <w:rPr>
                <w:rFonts w:eastAsiaTheme="minorHAnsi"/>
                <w:b/>
                <w:bCs/>
                <w:color w:val="000000"/>
                <w:sz w:val="22"/>
                <w:szCs w:val="22"/>
                <w:lang w:eastAsia="en-US"/>
              </w:rPr>
            </w:pPr>
          </w:p>
          <w:p w:rsidR="00114156" w:rsidRP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Justering av protokoll</w:t>
            </w:r>
          </w:p>
          <w:p w:rsidR="006374E8" w:rsidRPr="00114156" w:rsidRDefault="00114156" w:rsidP="008811FC">
            <w:pPr>
              <w:tabs>
                <w:tab w:val="left" w:pos="1701"/>
              </w:tabs>
              <w:rPr>
                <w:rFonts w:eastAsiaTheme="minorHAnsi"/>
                <w:color w:val="000000"/>
                <w:sz w:val="22"/>
                <w:szCs w:val="22"/>
                <w:lang w:eastAsia="en-US"/>
              </w:rPr>
            </w:pPr>
            <w:r w:rsidRPr="00114156">
              <w:rPr>
                <w:rFonts w:eastAsiaTheme="minorHAnsi"/>
                <w:color w:val="000000"/>
                <w:sz w:val="22"/>
                <w:szCs w:val="22"/>
                <w:lang w:eastAsia="en-US"/>
              </w:rPr>
              <w:br/>
              <w:t>Utskottet justerade protokoll 2021/22:2.</w:t>
            </w:r>
          </w:p>
          <w:p w:rsidR="001F20F5" w:rsidRDefault="001F20F5" w:rsidP="008811FC">
            <w:pPr>
              <w:tabs>
                <w:tab w:val="left" w:pos="1701"/>
              </w:tabs>
              <w:rPr>
                <w:rFonts w:eastAsiaTheme="minorHAnsi"/>
                <w:b/>
                <w:bCs/>
                <w:color w:val="000000"/>
                <w:sz w:val="22"/>
                <w:szCs w:val="22"/>
                <w:lang w:eastAsia="en-US"/>
              </w:rPr>
            </w:pPr>
          </w:p>
          <w:p w:rsidR="00114156" w:rsidRP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Utgiftsram för utgiftsområde 22 Kommunikationer (TU1y)</w:t>
            </w:r>
          </w:p>
          <w:p w:rsidR="006374E8" w:rsidRPr="00114156" w:rsidRDefault="006374E8" w:rsidP="008811FC">
            <w:pPr>
              <w:tabs>
                <w:tab w:val="left" w:pos="1701"/>
              </w:tabs>
              <w:rPr>
                <w:rFonts w:eastAsiaTheme="minorHAnsi"/>
                <w:b/>
                <w:bCs/>
                <w:color w:val="000000"/>
                <w:sz w:val="22"/>
                <w:szCs w:val="22"/>
                <w:lang w:eastAsia="en-US"/>
              </w:rPr>
            </w:pPr>
          </w:p>
          <w:p w:rsidR="00114156" w:rsidRPr="00114156" w:rsidRDefault="00114156" w:rsidP="00114156">
            <w:pPr>
              <w:rPr>
                <w:rFonts w:eastAsiaTheme="minorHAnsi"/>
                <w:color w:val="000000"/>
                <w:sz w:val="22"/>
                <w:szCs w:val="22"/>
                <w:lang w:eastAsia="en-US"/>
              </w:rPr>
            </w:pPr>
            <w:r w:rsidRPr="00114156">
              <w:rPr>
                <w:sz w:val="22"/>
                <w:szCs w:val="22"/>
              </w:rPr>
              <w:t xml:space="preserve">Utskottet behandlade frågan om yttrande till finansutskottet över </w:t>
            </w:r>
            <w:r w:rsidRPr="00114156">
              <w:rPr>
                <w:rFonts w:eastAsiaTheme="minorHAnsi"/>
                <w:color w:val="000000"/>
                <w:sz w:val="22"/>
                <w:szCs w:val="22"/>
                <w:lang w:eastAsia="en-US"/>
              </w:rPr>
              <w:t>proposition 2020/21:1 och motioner.</w:t>
            </w:r>
          </w:p>
          <w:p w:rsidR="00114156" w:rsidRPr="00114156" w:rsidRDefault="00114156" w:rsidP="00114156">
            <w:pPr>
              <w:rPr>
                <w:rFonts w:eastAsiaTheme="minorHAnsi"/>
                <w:color w:val="000000"/>
                <w:sz w:val="22"/>
                <w:szCs w:val="22"/>
                <w:lang w:eastAsia="en-US"/>
              </w:rPr>
            </w:pPr>
          </w:p>
          <w:p w:rsidR="00114156" w:rsidRPr="00114156" w:rsidRDefault="00114156" w:rsidP="00114156">
            <w:pPr>
              <w:rPr>
                <w:sz w:val="22"/>
                <w:szCs w:val="22"/>
              </w:rPr>
            </w:pPr>
            <w:r w:rsidRPr="00114156">
              <w:rPr>
                <w:rFonts w:eastAsiaTheme="minorHAnsi"/>
                <w:color w:val="000000"/>
                <w:sz w:val="22"/>
                <w:szCs w:val="22"/>
                <w:lang w:eastAsia="en-US"/>
              </w:rPr>
              <w:t>Ärendet bordlades.</w:t>
            </w:r>
          </w:p>
          <w:p w:rsidR="00114156" w:rsidRPr="00114156" w:rsidRDefault="00114156" w:rsidP="008811FC">
            <w:pPr>
              <w:tabs>
                <w:tab w:val="left" w:pos="1701"/>
              </w:tabs>
              <w:rPr>
                <w:rFonts w:eastAsiaTheme="minorHAnsi"/>
                <w:b/>
                <w:bCs/>
                <w:color w:val="000000"/>
                <w:sz w:val="22"/>
                <w:szCs w:val="22"/>
                <w:lang w:eastAsia="en-US"/>
              </w:rPr>
            </w:pPr>
          </w:p>
          <w:p w:rsidR="00FE3906" w:rsidRDefault="00FE3906" w:rsidP="00FE3906">
            <w:pPr>
              <w:tabs>
                <w:tab w:val="left" w:pos="1701"/>
              </w:tabs>
              <w:rPr>
                <w:rFonts w:eastAsiaTheme="minorHAnsi"/>
                <w:b/>
                <w:bCs/>
                <w:color w:val="000000"/>
                <w:sz w:val="22"/>
                <w:szCs w:val="22"/>
                <w:lang w:eastAsia="en-US"/>
              </w:rPr>
            </w:pPr>
            <w:r>
              <w:rPr>
                <w:rFonts w:eastAsiaTheme="minorHAnsi"/>
                <w:b/>
                <w:bCs/>
                <w:color w:val="000000"/>
                <w:sz w:val="22"/>
                <w:szCs w:val="22"/>
                <w:lang w:eastAsia="en-US"/>
              </w:rPr>
              <w:t>Höständringsbudget för 2021</w:t>
            </w:r>
          </w:p>
          <w:p w:rsidR="00FE3906" w:rsidRDefault="00FE3906" w:rsidP="00FE3906">
            <w:pPr>
              <w:tabs>
                <w:tab w:val="left" w:pos="1701"/>
              </w:tabs>
              <w:rPr>
                <w:rFonts w:eastAsiaTheme="minorHAnsi"/>
                <w:b/>
                <w:bCs/>
                <w:color w:val="000000"/>
                <w:sz w:val="22"/>
                <w:szCs w:val="22"/>
                <w:lang w:eastAsia="en-US"/>
              </w:rPr>
            </w:pPr>
          </w:p>
          <w:p w:rsidR="00FE3906" w:rsidRPr="00D94081" w:rsidRDefault="00FE3906" w:rsidP="00FE3906">
            <w:pPr>
              <w:rPr>
                <w:rFonts w:eastAsiaTheme="minorHAnsi"/>
                <w:color w:val="000000"/>
                <w:szCs w:val="24"/>
                <w:lang w:eastAsia="en-US"/>
              </w:rPr>
            </w:pPr>
            <w:r w:rsidRPr="00D94081">
              <w:rPr>
                <w:szCs w:val="24"/>
              </w:rPr>
              <w:t xml:space="preserve">Utskottet behandlade frågan om yttrande till finansutskottet över </w:t>
            </w:r>
            <w:r w:rsidRPr="00D94081">
              <w:rPr>
                <w:rFonts w:eastAsiaTheme="minorHAnsi"/>
                <w:color w:val="000000"/>
                <w:szCs w:val="24"/>
                <w:lang w:eastAsia="en-US"/>
              </w:rPr>
              <w:t>proposition 202</w:t>
            </w:r>
            <w:r>
              <w:rPr>
                <w:rFonts w:eastAsiaTheme="minorHAnsi"/>
                <w:color w:val="000000"/>
                <w:szCs w:val="24"/>
                <w:lang w:eastAsia="en-US"/>
              </w:rPr>
              <w:t>1</w:t>
            </w:r>
            <w:r w:rsidRPr="00D94081">
              <w:rPr>
                <w:rFonts w:eastAsiaTheme="minorHAnsi"/>
                <w:color w:val="000000"/>
                <w:szCs w:val="24"/>
                <w:lang w:eastAsia="en-US"/>
              </w:rPr>
              <w:t>/2</w:t>
            </w:r>
            <w:r>
              <w:rPr>
                <w:rFonts w:eastAsiaTheme="minorHAnsi"/>
                <w:color w:val="000000"/>
                <w:szCs w:val="24"/>
                <w:lang w:eastAsia="en-US"/>
              </w:rPr>
              <w:t>2</w:t>
            </w:r>
            <w:r w:rsidRPr="00D94081">
              <w:rPr>
                <w:rFonts w:eastAsiaTheme="minorHAnsi"/>
                <w:color w:val="000000"/>
                <w:szCs w:val="24"/>
                <w:lang w:eastAsia="en-US"/>
              </w:rPr>
              <w:t>:2.</w:t>
            </w:r>
          </w:p>
          <w:p w:rsidR="00FE3906" w:rsidRPr="00D94081" w:rsidRDefault="00FE3906" w:rsidP="00FE3906">
            <w:pPr>
              <w:rPr>
                <w:rFonts w:eastAsiaTheme="minorHAnsi"/>
                <w:color w:val="000000"/>
                <w:szCs w:val="24"/>
                <w:lang w:eastAsia="en-US"/>
              </w:rPr>
            </w:pPr>
          </w:p>
          <w:p w:rsidR="00FE3906" w:rsidRDefault="00FE3906" w:rsidP="00FE3906">
            <w:pPr>
              <w:rPr>
                <w:rFonts w:eastAsiaTheme="minorHAnsi"/>
                <w:color w:val="000000"/>
                <w:szCs w:val="24"/>
                <w:lang w:eastAsia="en-US"/>
              </w:rPr>
            </w:pPr>
            <w:r w:rsidRPr="00D94081">
              <w:rPr>
                <w:rFonts w:eastAsiaTheme="minorHAnsi"/>
                <w:color w:val="000000"/>
                <w:szCs w:val="24"/>
                <w:lang w:eastAsia="en-US"/>
              </w:rPr>
              <w:t>Utskottet beslutade att inte yttra sig.</w:t>
            </w:r>
          </w:p>
          <w:p w:rsidR="00FE3906" w:rsidRPr="00C249AC" w:rsidRDefault="00FE3906" w:rsidP="00FE3906">
            <w:pPr>
              <w:rPr>
                <w:szCs w:val="24"/>
              </w:rPr>
            </w:pPr>
          </w:p>
          <w:p w:rsidR="00114156" w:rsidRP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Uppföljning av riksdagens tillämpning av subsidiaritetsprincipen (TU2y)</w:t>
            </w:r>
          </w:p>
          <w:p w:rsidR="00114156" w:rsidRPr="00114156" w:rsidRDefault="00114156" w:rsidP="008811FC">
            <w:pPr>
              <w:tabs>
                <w:tab w:val="left" w:pos="1701"/>
              </w:tabs>
              <w:rPr>
                <w:rFonts w:eastAsiaTheme="minorHAnsi"/>
                <w:b/>
                <w:bCs/>
                <w:color w:val="000000"/>
                <w:sz w:val="22"/>
                <w:szCs w:val="22"/>
                <w:lang w:eastAsia="en-US"/>
              </w:rPr>
            </w:pPr>
          </w:p>
          <w:p w:rsidR="00114156" w:rsidRPr="00114156" w:rsidRDefault="00114156" w:rsidP="00114156">
            <w:pPr>
              <w:rPr>
                <w:rFonts w:eastAsiaTheme="minorHAnsi"/>
                <w:color w:val="000000"/>
                <w:sz w:val="22"/>
                <w:szCs w:val="22"/>
                <w:lang w:eastAsia="en-US"/>
              </w:rPr>
            </w:pPr>
            <w:r w:rsidRPr="00114156">
              <w:rPr>
                <w:rFonts w:eastAsiaTheme="minorHAnsi"/>
                <w:color w:val="000000"/>
                <w:sz w:val="22"/>
                <w:szCs w:val="22"/>
                <w:lang w:eastAsia="en-US"/>
              </w:rPr>
              <w:t>Utskottet behandlade frågan om yttrande till konstitutionsutskottet.</w:t>
            </w:r>
          </w:p>
          <w:p w:rsidR="00114156" w:rsidRPr="00114156" w:rsidRDefault="00114156" w:rsidP="00114156">
            <w:pPr>
              <w:rPr>
                <w:color w:val="000000"/>
                <w:sz w:val="22"/>
                <w:szCs w:val="22"/>
              </w:rPr>
            </w:pPr>
          </w:p>
          <w:p w:rsidR="00114156" w:rsidRPr="00114156" w:rsidRDefault="00114156" w:rsidP="00114156">
            <w:pPr>
              <w:tabs>
                <w:tab w:val="left" w:pos="1701"/>
              </w:tabs>
              <w:rPr>
                <w:rFonts w:eastAsiaTheme="minorHAnsi"/>
                <w:b/>
                <w:bCs/>
                <w:color w:val="000000"/>
                <w:sz w:val="22"/>
                <w:szCs w:val="22"/>
                <w:lang w:eastAsia="en-US"/>
              </w:rPr>
            </w:pPr>
            <w:r w:rsidRPr="00114156">
              <w:rPr>
                <w:color w:val="000000"/>
                <w:sz w:val="22"/>
                <w:szCs w:val="22"/>
              </w:rPr>
              <w:t>Ärendet bordlades.</w:t>
            </w:r>
          </w:p>
          <w:p w:rsidR="00114156" w:rsidRPr="00114156" w:rsidRDefault="00114156" w:rsidP="008811FC">
            <w:pPr>
              <w:tabs>
                <w:tab w:val="left" w:pos="1701"/>
              </w:tabs>
              <w:rPr>
                <w:rFonts w:eastAsiaTheme="minorHAnsi"/>
                <w:b/>
                <w:bCs/>
                <w:color w:val="000000"/>
                <w:sz w:val="22"/>
                <w:szCs w:val="22"/>
                <w:lang w:eastAsia="en-US"/>
              </w:rPr>
            </w:pPr>
          </w:p>
          <w:p w:rsid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Förslag om ändring av direktiv 2014/53/EU om harmonisering av medlemsstaternas lagstiftning om tillhandahållande på marknaden av radioutrustning</w:t>
            </w:r>
          </w:p>
          <w:p w:rsidR="00114156" w:rsidRDefault="00114156" w:rsidP="008811FC">
            <w:pPr>
              <w:tabs>
                <w:tab w:val="left" w:pos="1701"/>
              </w:tabs>
              <w:rPr>
                <w:rFonts w:eastAsiaTheme="minorHAnsi"/>
                <w:b/>
                <w:bCs/>
                <w:color w:val="000000"/>
                <w:sz w:val="22"/>
                <w:szCs w:val="22"/>
                <w:lang w:eastAsia="en-US"/>
              </w:rPr>
            </w:pPr>
          </w:p>
          <w:p w:rsidR="00114156" w:rsidRPr="00DF38A7"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Utskottet inledde subsidiaritetsprövningen av COM(202</w:t>
            </w:r>
            <w:r w:rsidR="006B649E">
              <w:rPr>
                <w:rFonts w:eastAsiaTheme="minorHAnsi"/>
                <w:bCs/>
                <w:color w:val="000000"/>
                <w:sz w:val="22"/>
                <w:szCs w:val="22"/>
                <w:lang w:eastAsia="en-US"/>
              </w:rPr>
              <w:t>1</w:t>
            </w:r>
            <w:r w:rsidRPr="00DF38A7">
              <w:rPr>
                <w:rFonts w:eastAsiaTheme="minorHAnsi"/>
                <w:bCs/>
                <w:color w:val="000000"/>
                <w:sz w:val="22"/>
                <w:szCs w:val="22"/>
                <w:lang w:eastAsia="en-US"/>
              </w:rPr>
              <w:t>) 5</w:t>
            </w:r>
            <w:r>
              <w:rPr>
                <w:rFonts w:eastAsiaTheme="minorHAnsi"/>
                <w:bCs/>
                <w:color w:val="000000"/>
                <w:sz w:val="22"/>
                <w:szCs w:val="22"/>
                <w:lang w:eastAsia="en-US"/>
              </w:rPr>
              <w:t>47</w:t>
            </w:r>
            <w:r w:rsidRPr="00DF38A7">
              <w:rPr>
                <w:rFonts w:eastAsiaTheme="minorHAnsi"/>
                <w:bCs/>
                <w:color w:val="000000"/>
                <w:sz w:val="22"/>
                <w:szCs w:val="22"/>
                <w:lang w:eastAsia="en-US"/>
              </w:rPr>
              <w:t>.</w:t>
            </w:r>
          </w:p>
          <w:p w:rsidR="00114156" w:rsidRPr="00DF38A7" w:rsidRDefault="00114156" w:rsidP="00114156">
            <w:pPr>
              <w:tabs>
                <w:tab w:val="left" w:pos="1701"/>
              </w:tabs>
              <w:spacing w:line="256" w:lineRule="auto"/>
              <w:rPr>
                <w:rFonts w:eastAsiaTheme="minorHAnsi"/>
                <w:bCs/>
                <w:color w:val="000000"/>
                <w:sz w:val="22"/>
                <w:szCs w:val="22"/>
                <w:lang w:eastAsia="en-US"/>
              </w:rPr>
            </w:pPr>
          </w:p>
          <w:p w:rsidR="00114156"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Utskottet ansåg att förslaget inte strider mot subsidiaritetsprincipen.</w:t>
            </w:r>
          </w:p>
          <w:p w:rsidR="00114156" w:rsidRPr="00114156" w:rsidRDefault="00114156" w:rsidP="00114156">
            <w:pPr>
              <w:tabs>
                <w:tab w:val="left" w:pos="1701"/>
              </w:tabs>
              <w:spacing w:line="256" w:lineRule="auto"/>
              <w:rPr>
                <w:rFonts w:eastAsiaTheme="minorHAnsi"/>
                <w:bCs/>
                <w:color w:val="000000"/>
                <w:sz w:val="22"/>
                <w:szCs w:val="22"/>
                <w:lang w:eastAsia="en-US"/>
              </w:rPr>
            </w:pPr>
          </w:p>
          <w:p w:rsidR="00114156" w:rsidRPr="00114156" w:rsidRDefault="00114156" w:rsidP="008811FC">
            <w:pPr>
              <w:tabs>
                <w:tab w:val="left" w:pos="1701"/>
              </w:tabs>
              <w:rPr>
                <w:rFonts w:eastAsiaTheme="minorHAnsi"/>
                <w:b/>
                <w:bCs/>
                <w:color w:val="000000"/>
                <w:sz w:val="22"/>
                <w:szCs w:val="22"/>
                <w:lang w:eastAsia="en-US"/>
              </w:rPr>
            </w:pPr>
          </w:p>
          <w:p w:rsid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Förslag om utbyggnad av infrastruktur för alternativa bränslen och om upphävande av Europaparlamentets och rådets direktiv 2014/94/EU</w:t>
            </w:r>
          </w:p>
          <w:p w:rsidR="00114156" w:rsidRDefault="00114156" w:rsidP="008811FC">
            <w:pPr>
              <w:tabs>
                <w:tab w:val="left" w:pos="1701"/>
              </w:tabs>
              <w:rPr>
                <w:rFonts w:eastAsiaTheme="minorHAnsi"/>
                <w:b/>
                <w:bCs/>
                <w:color w:val="000000"/>
                <w:sz w:val="22"/>
                <w:szCs w:val="22"/>
                <w:lang w:eastAsia="en-US"/>
              </w:rPr>
            </w:pPr>
          </w:p>
          <w:p w:rsidR="00114156" w:rsidRPr="00DF38A7"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 xml:space="preserve">Utskottet inledde subsidiaritetsprövningen av </w:t>
            </w:r>
            <w:proofErr w:type="gramStart"/>
            <w:r w:rsidRPr="00DF38A7">
              <w:rPr>
                <w:rFonts w:eastAsiaTheme="minorHAnsi"/>
                <w:bCs/>
                <w:color w:val="000000"/>
                <w:sz w:val="22"/>
                <w:szCs w:val="22"/>
                <w:lang w:eastAsia="en-US"/>
              </w:rPr>
              <w:t>COM(</w:t>
            </w:r>
            <w:proofErr w:type="gramEnd"/>
            <w:r w:rsidRPr="00DF38A7">
              <w:rPr>
                <w:rFonts w:eastAsiaTheme="minorHAnsi"/>
                <w:bCs/>
                <w:color w:val="000000"/>
                <w:sz w:val="22"/>
                <w:szCs w:val="22"/>
                <w:lang w:eastAsia="en-US"/>
              </w:rPr>
              <w:t>202</w:t>
            </w:r>
            <w:r w:rsidR="006B649E">
              <w:rPr>
                <w:rFonts w:eastAsiaTheme="minorHAnsi"/>
                <w:bCs/>
                <w:color w:val="000000"/>
                <w:sz w:val="22"/>
                <w:szCs w:val="22"/>
                <w:lang w:eastAsia="en-US"/>
              </w:rPr>
              <w:t>1</w:t>
            </w:r>
            <w:r w:rsidRPr="00DF38A7">
              <w:rPr>
                <w:rFonts w:eastAsiaTheme="minorHAnsi"/>
                <w:bCs/>
                <w:color w:val="000000"/>
                <w:sz w:val="22"/>
                <w:szCs w:val="22"/>
                <w:lang w:eastAsia="en-US"/>
              </w:rPr>
              <w:t>) 5</w:t>
            </w:r>
            <w:r>
              <w:rPr>
                <w:rFonts w:eastAsiaTheme="minorHAnsi"/>
                <w:bCs/>
                <w:color w:val="000000"/>
                <w:sz w:val="22"/>
                <w:szCs w:val="22"/>
                <w:lang w:eastAsia="en-US"/>
              </w:rPr>
              <w:t>59</w:t>
            </w:r>
            <w:r w:rsidRPr="00DF38A7">
              <w:rPr>
                <w:rFonts w:eastAsiaTheme="minorHAnsi"/>
                <w:bCs/>
                <w:color w:val="000000"/>
                <w:sz w:val="22"/>
                <w:szCs w:val="22"/>
                <w:lang w:eastAsia="en-US"/>
              </w:rPr>
              <w:t>.</w:t>
            </w:r>
          </w:p>
          <w:p w:rsidR="00114156" w:rsidRPr="00DF38A7" w:rsidRDefault="00114156" w:rsidP="00114156">
            <w:pPr>
              <w:tabs>
                <w:tab w:val="left" w:pos="1701"/>
              </w:tabs>
              <w:spacing w:line="256" w:lineRule="auto"/>
              <w:rPr>
                <w:rFonts w:eastAsiaTheme="minorHAnsi"/>
                <w:bCs/>
                <w:color w:val="000000"/>
                <w:sz w:val="22"/>
                <w:szCs w:val="22"/>
                <w:lang w:eastAsia="en-US"/>
              </w:rPr>
            </w:pPr>
          </w:p>
          <w:p w:rsidR="00114156" w:rsidRPr="00114156"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Utskottet ansåg att förslaget inte strider mot subsidiaritetsprincipen.</w:t>
            </w:r>
          </w:p>
          <w:p w:rsidR="00114156" w:rsidRPr="00114156" w:rsidRDefault="00114156" w:rsidP="008811FC">
            <w:pPr>
              <w:tabs>
                <w:tab w:val="left" w:pos="1701"/>
              </w:tabs>
              <w:rPr>
                <w:rFonts w:eastAsiaTheme="minorHAnsi"/>
                <w:b/>
                <w:bCs/>
                <w:color w:val="000000"/>
                <w:sz w:val="22"/>
                <w:szCs w:val="22"/>
                <w:lang w:eastAsia="en-US"/>
              </w:rPr>
            </w:pPr>
          </w:p>
          <w:p w:rsidR="00114156" w:rsidRPr="00114156" w:rsidRDefault="00114156"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Förslag till Europaparlamentets och rådets förordning om användning av förnybara och koldioxidsnåla bränslen för sjötransport och om ändring av direktiv 2009/16/EG</w:t>
            </w:r>
          </w:p>
          <w:p w:rsidR="00114156" w:rsidRPr="00114156" w:rsidRDefault="00114156" w:rsidP="008811FC">
            <w:pPr>
              <w:tabs>
                <w:tab w:val="left" w:pos="1701"/>
              </w:tabs>
              <w:rPr>
                <w:rFonts w:eastAsiaTheme="minorHAnsi"/>
                <w:b/>
                <w:bCs/>
                <w:color w:val="000000"/>
                <w:sz w:val="22"/>
                <w:szCs w:val="22"/>
                <w:lang w:eastAsia="en-US"/>
              </w:rPr>
            </w:pPr>
          </w:p>
          <w:p w:rsidR="00114156" w:rsidRPr="00DF38A7"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 xml:space="preserve">Utskottet inledde subsidiaritetsprövningen av </w:t>
            </w:r>
            <w:proofErr w:type="gramStart"/>
            <w:r w:rsidRPr="00DF38A7">
              <w:rPr>
                <w:rFonts w:eastAsiaTheme="minorHAnsi"/>
                <w:bCs/>
                <w:color w:val="000000"/>
                <w:sz w:val="22"/>
                <w:szCs w:val="22"/>
                <w:lang w:eastAsia="en-US"/>
              </w:rPr>
              <w:t>COM(</w:t>
            </w:r>
            <w:proofErr w:type="gramEnd"/>
            <w:r w:rsidRPr="00DF38A7">
              <w:rPr>
                <w:rFonts w:eastAsiaTheme="minorHAnsi"/>
                <w:bCs/>
                <w:color w:val="000000"/>
                <w:sz w:val="22"/>
                <w:szCs w:val="22"/>
                <w:lang w:eastAsia="en-US"/>
              </w:rPr>
              <w:t>202</w:t>
            </w:r>
            <w:r w:rsidR="006B649E">
              <w:rPr>
                <w:rFonts w:eastAsiaTheme="minorHAnsi"/>
                <w:bCs/>
                <w:color w:val="000000"/>
                <w:sz w:val="22"/>
                <w:szCs w:val="22"/>
                <w:lang w:eastAsia="en-US"/>
              </w:rPr>
              <w:t>1</w:t>
            </w:r>
            <w:r w:rsidRPr="00DF38A7">
              <w:rPr>
                <w:rFonts w:eastAsiaTheme="minorHAnsi"/>
                <w:bCs/>
                <w:color w:val="000000"/>
                <w:sz w:val="22"/>
                <w:szCs w:val="22"/>
                <w:lang w:eastAsia="en-US"/>
              </w:rPr>
              <w:t>) 56</w:t>
            </w:r>
            <w:r>
              <w:rPr>
                <w:rFonts w:eastAsiaTheme="minorHAnsi"/>
                <w:bCs/>
                <w:color w:val="000000"/>
                <w:sz w:val="22"/>
                <w:szCs w:val="22"/>
                <w:lang w:eastAsia="en-US"/>
              </w:rPr>
              <w:t>2</w:t>
            </w:r>
            <w:r w:rsidRPr="00DF38A7">
              <w:rPr>
                <w:rFonts w:eastAsiaTheme="minorHAnsi"/>
                <w:bCs/>
                <w:color w:val="000000"/>
                <w:sz w:val="22"/>
                <w:szCs w:val="22"/>
                <w:lang w:eastAsia="en-US"/>
              </w:rPr>
              <w:t>.</w:t>
            </w:r>
          </w:p>
          <w:p w:rsidR="00114156" w:rsidRPr="00DF38A7" w:rsidRDefault="00114156" w:rsidP="00114156">
            <w:pPr>
              <w:tabs>
                <w:tab w:val="left" w:pos="1701"/>
              </w:tabs>
              <w:spacing w:line="256" w:lineRule="auto"/>
              <w:rPr>
                <w:rFonts w:eastAsiaTheme="minorHAnsi"/>
                <w:bCs/>
                <w:color w:val="000000"/>
                <w:sz w:val="22"/>
                <w:szCs w:val="22"/>
                <w:lang w:eastAsia="en-US"/>
              </w:rPr>
            </w:pPr>
          </w:p>
          <w:p w:rsidR="00114156" w:rsidRDefault="00114156" w:rsidP="00114156">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Utskottet ansåg att förslaget inte strider mot subsidiaritetsprincipen.</w:t>
            </w:r>
          </w:p>
          <w:p w:rsidR="006F5F5C" w:rsidRDefault="006F5F5C" w:rsidP="00114156">
            <w:pPr>
              <w:tabs>
                <w:tab w:val="left" w:pos="1701"/>
              </w:tabs>
              <w:spacing w:line="256" w:lineRule="auto"/>
              <w:rPr>
                <w:rFonts w:eastAsiaTheme="minorHAnsi"/>
                <w:bCs/>
                <w:color w:val="000000"/>
                <w:sz w:val="22"/>
                <w:szCs w:val="22"/>
                <w:lang w:eastAsia="en-US"/>
              </w:rPr>
            </w:pPr>
          </w:p>
          <w:p w:rsidR="006F5F5C" w:rsidRDefault="001119DC" w:rsidP="00114156">
            <w:pPr>
              <w:tabs>
                <w:tab w:val="left" w:pos="1701"/>
              </w:tabs>
              <w:spacing w:line="256" w:lineRule="auto"/>
              <w:rPr>
                <w:rFonts w:eastAsiaTheme="minorHAnsi"/>
                <w:b/>
                <w:bCs/>
                <w:color w:val="000000"/>
                <w:sz w:val="22"/>
                <w:szCs w:val="22"/>
                <w:lang w:eastAsia="en-US"/>
              </w:rPr>
            </w:pPr>
            <w:r>
              <w:rPr>
                <w:rFonts w:eastAsiaTheme="minorHAnsi"/>
                <w:b/>
                <w:bCs/>
                <w:color w:val="000000"/>
                <w:sz w:val="22"/>
                <w:szCs w:val="22"/>
                <w:lang w:eastAsia="en-US"/>
              </w:rPr>
              <w:t>Fråga om u</w:t>
            </w:r>
            <w:r w:rsidR="006F5F5C" w:rsidRPr="006F5F5C">
              <w:rPr>
                <w:rFonts w:eastAsiaTheme="minorHAnsi"/>
                <w:b/>
                <w:bCs/>
                <w:color w:val="000000"/>
                <w:sz w:val="22"/>
                <w:szCs w:val="22"/>
                <w:lang w:eastAsia="en-US"/>
              </w:rPr>
              <w:t xml:space="preserve">tskottsinitiativ </w:t>
            </w:r>
          </w:p>
          <w:p w:rsidR="001119DC" w:rsidRPr="001119DC" w:rsidRDefault="006F5F5C" w:rsidP="001119DC">
            <w:pPr>
              <w:rPr>
                <w:sz w:val="22"/>
                <w:szCs w:val="22"/>
              </w:rPr>
            </w:pPr>
            <w:r w:rsidRPr="006F5F5C">
              <w:rPr>
                <w:rFonts w:eastAsiaTheme="minorHAnsi"/>
                <w:color w:val="000000"/>
                <w:sz w:val="22"/>
                <w:szCs w:val="22"/>
                <w:lang w:eastAsia="en-US"/>
              </w:rPr>
              <w:br/>
            </w:r>
            <w:r w:rsidR="001119DC" w:rsidRPr="001119DC">
              <w:rPr>
                <w:sz w:val="22"/>
                <w:szCs w:val="22"/>
              </w:rPr>
              <w:t xml:space="preserve">Utskottet fortsatte behandlingen av frågan om att ändringar i det nationella </w:t>
            </w:r>
            <w:r w:rsidR="001119DC" w:rsidRPr="001119DC">
              <w:rPr>
                <w:sz w:val="22"/>
                <w:szCs w:val="22"/>
              </w:rPr>
              <w:lastRenderedPageBreak/>
              <w:t>basutbudet av flygplatser inte får genomföras utan riksdagens godkännande.</w:t>
            </w:r>
          </w:p>
          <w:p w:rsidR="001119DC" w:rsidRPr="001119DC" w:rsidRDefault="001119DC" w:rsidP="001119DC">
            <w:pPr>
              <w:rPr>
                <w:sz w:val="22"/>
                <w:szCs w:val="22"/>
              </w:rPr>
            </w:pPr>
            <w:r w:rsidRPr="001119DC">
              <w:rPr>
                <w:sz w:val="22"/>
                <w:szCs w:val="22"/>
              </w:rPr>
              <w:t>Utskottet beslutade att påbörja ett beredningsarbete i syfte att kunna ta ett utskottsinitiativ i frågan.</w:t>
            </w:r>
          </w:p>
          <w:p w:rsidR="001119DC" w:rsidRDefault="001119DC" w:rsidP="001119DC"/>
          <w:p w:rsidR="001119DC" w:rsidRPr="001119DC" w:rsidRDefault="001119DC" w:rsidP="001119DC">
            <w:pPr>
              <w:rPr>
                <w:sz w:val="22"/>
                <w:szCs w:val="22"/>
              </w:rPr>
            </w:pPr>
            <w:r w:rsidRPr="001119DC">
              <w:rPr>
                <w:sz w:val="22"/>
                <w:szCs w:val="22"/>
              </w:rPr>
              <w:t>Mot beslutet reserverade sig V-ledamoten.</w:t>
            </w:r>
          </w:p>
          <w:p w:rsidR="001119DC" w:rsidRPr="001119DC" w:rsidRDefault="001119DC" w:rsidP="001119DC">
            <w:pPr>
              <w:rPr>
                <w:sz w:val="22"/>
                <w:szCs w:val="22"/>
              </w:rPr>
            </w:pPr>
          </w:p>
          <w:p w:rsidR="001119DC" w:rsidRPr="001119DC" w:rsidRDefault="001119DC" w:rsidP="001119DC">
            <w:pPr>
              <w:rPr>
                <w:sz w:val="22"/>
                <w:szCs w:val="22"/>
              </w:rPr>
            </w:pPr>
            <w:r w:rsidRPr="001119DC">
              <w:rPr>
                <w:sz w:val="22"/>
                <w:szCs w:val="22"/>
              </w:rPr>
              <w:t>Ärendet bordlades.</w:t>
            </w:r>
          </w:p>
          <w:p w:rsidR="00114156" w:rsidRPr="00114156" w:rsidRDefault="00114156" w:rsidP="008811FC">
            <w:pPr>
              <w:tabs>
                <w:tab w:val="left" w:pos="1701"/>
              </w:tabs>
              <w:rPr>
                <w:rFonts w:eastAsiaTheme="minorHAnsi"/>
                <w:b/>
                <w:bCs/>
                <w:color w:val="000000"/>
                <w:sz w:val="22"/>
                <w:szCs w:val="22"/>
                <w:lang w:eastAsia="en-US"/>
              </w:rPr>
            </w:pPr>
          </w:p>
          <w:p w:rsidR="006374E8" w:rsidRPr="00114156" w:rsidRDefault="006374E8"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 xml:space="preserve">Utskottsresa till </w:t>
            </w:r>
            <w:r w:rsidR="001119DC">
              <w:rPr>
                <w:rFonts w:eastAsiaTheme="minorHAnsi"/>
                <w:b/>
                <w:bCs/>
                <w:color w:val="000000"/>
                <w:sz w:val="22"/>
                <w:szCs w:val="22"/>
                <w:lang w:eastAsia="en-US"/>
              </w:rPr>
              <w:t>Öresund</w:t>
            </w:r>
          </w:p>
          <w:p w:rsidR="001119DC" w:rsidRDefault="001119DC" w:rsidP="001119DC">
            <w:pPr>
              <w:rPr>
                <w:color w:val="000000"/>
                <w:sz w:val="22"/>
                <w:szCs w:val="22"/>
                <w:lang w:eastAsia="en-US"/>
              </w:rPr>
            </w:pPr>
          </w:p>
          <w:p w:rsidR="001119DC" w:rsidRPr="001119DC" w:rsidRDefault="001119DC" w:rsidP="001119DC">
            <w:pPr>
              <w:rPr>
                <w:sz w:val="22"/>
                <w:szCs w:val="22"/>
              </w:rPr>
            </w:pPr>
            <w:r w:rsidRPr="001119DC">
              <w:rPr>
                <w:sz w:val="22"/>
                <w:szCs w:val="22"/>
              </w:rPr>
              <w:t xml:space="preserve">Utskottet beslutade att genomföra ett besök i Öresundsregionen tillsammans med </w:t>
            </w:r>
            <w:proofErr w:type="spellStart"/>
            <w:r w:rsidRPr="001119DC">
              <w:rPr>
                <w:sz w:val="22"/>
                <w:szCs w:val="22"/>
              </w:rPr>
              <w:t>Transportudvalget</w:t>
            </w:r>
            <w:proofErr w:type="spellEnd"/>
            <w:r w:rsidRPr="001119DC">
              <w:rPr>
                <w:sz w:val="22"/>
                <w:szCs w:val="22"/>
              </w:rPr>
              <w:t xml:space="preserve"> i Folketinget i november 2021. </w:t>
            </w:r>
          </w:p>
          <w:p w:rsidR="001119DC" w:rsidRPr="001119DC" w:rsidRDefault="001119DC" w:rsidP="001119DC">
            <w:pPr>
              <w:rPr>
                <w:sz w:val="22"/>
                <w:szCs w:val="22"/>
              </w:rPr>
            </w:pPr>
          </w:p>
          <w:p w:rsidR="006374E8" w:rsidRPr="001119DC" w:rsidRDefault="001119DC" w:rsidP="008811FC">
            <w:pPr>
              <w:rPr>
                <w:sz w:val="22"/>
                <w:szCs w:val="22"/>
              </w:rPr>
            </w:pPr>
            <w:r w:rsidRPr="001119DC">
              <w:rPr>
                <w:sz w:val="22"/>
                <w:szCs w:val="22"/>
              </w:rPr>
              <w:t>Besöket kommer att ske i enlighet med inbjudan från Folketinget och fokusera på trafik- och infrastrukturfrågor av gemensamt intresse i Öresundsregionen.</w:t>
            </w:r>
          </w:p>
          <w:p w:rsidR="006374E8" w:rsidRPr="00114156" w:rsidRDefault="006374E8" w:rsidP="008811FC">
            <w:pPr>
              <w:tabs>
                <w:tab w:val="left" w:pos="1701"/>
              </w:tabs>
              <w:rPr>
                <w:rFonts w:eastAsiaTheme="minorHAnsi"/>
                <w:b/>
                <w:bCs/>
                <w:color w:val="000000"/>
                <w:sz w:val="22"/>
                <w:szCs w:val="22"/>
                <w:lang w:eastAsia="en-US"/>
              </w:rPr>
            </w:pPr>
          </w:p>
          <w:p w:rsidR="006374E8" w:rsidRPr="00114156" w:rsidRDefault="006374E8" w:rsidP="008811FC">
            <w:pPr>
              <w:tabs>
                <w:tab w:val="left" w:pos="1701"/>
              </w:tabs>
              <w:rPr>
                <w:rFonts w:eastAsiaTheme="minorHAnsi"/>
                <w:b/>
                <w:bCs/>
                <w:color w:val="000000"/>
                <w:sz w:val="22"/>
                <w:szCs w:val="22"/>
                <w:lang w:eastAsia="en-US"/>
              </w:rPr>
            </w:pPr>
            <w:r w:rsidRPr="00114156">
              <w:rPr>
                <w:rFonts w:eastAsiaTheme="minorHAnsi"/>
                <w:b/>
                <w:bCs/>
                <w:color w:val="000000"/>
                <w:sz w:val="22"/>
                <w:szCs w:val="22"/>
                <w:lang w:eastAsia="en-US"/>
              </w:rPr>
              <w:t>Nästa sammanträde</w:t>
            </w:r>
          </w:p>
          <w:p w:rsidR="006374E8" w:rsidRPr="00114156" w:rsidRDefault="006374E8" w:rsidP="008811FC">
            <w:pPr>
              <w:tabs>
                <w:tab w:val="left" w:pos="1701"/>
              </w:tabs>
              <w:rPr>
                <w:rFonts w:eastAsiaTheme="minorHAnsi"/>
                <w:bCs/>
                <w:color w:val="000000"/>
                <w:sz w:val="22"/>
                <w:szCs w:val="22"/>
                <w:lang w:eastAsia="en-US"/>
              </w:rPr>
            </w:pPr>
          </w:p>
          <w:p w:rsidR="006374E8" w:rsidRPr="00114156" w:rsidRDefault="006374E8" w:rsidP="008811FC">
            <w:pPr>
              <w:tabs>
                <w:tab w:val="left" w:pos="1701"/>
              </w:tabs>
              <w:rPr>
                <w:rFonts w:eastAsiaTheme="minorHAnsi"/>
                <w:bCs/>
                <w:color w:val="000000"/>
                <w:sz w:val="22"/>
                <w:szCs w:val="22"/>
                <w:lang w:eastAsia="en-US"/>
              </w:rPr>
            </w:pPr>
            <w:r w:rsidRPr="00114156">
              <w:rPr>
                <w:rFonts w:eastAsiaTheme="minorHAnsi"/>
                <w:bCs/>
                <w:color w:val="000000"/>
                <w:sz w:val="22"/>
                <w:szCs w:val="22"/>
                <w:lang w:eastAsia="en-US"/>
              </w:rPr>
              <w:t xml:space="preserve">Tisdagen den </w:t>
            </w:r>
            <w:r w:rsidR="00114156" w:rsidRPr="00114156">
              <w:rPr>
                <w:rFonts w:eastAsiaTheme="minorHAnsi"/>
                <w:bCs/>
                <w:color w:val="000000"/>
                <w:sz w:val="22"/>
                <w:szCs w:val="22"/>
                <w:lang w:eastAsia="en-US"/>
              </w:rPr>
              <w:t>19 oktober</w:t>
            </w:r>
            <w:r w:rsidRPr="00114156">
              <w:rPr>
                <w:rFonts w:eastAsiaTheme="minorHAnsi"/>
                <w:bCs/>
                <w:color w:val="000000"/>
                <w:sz w:val="22"/>
                <w:szCs w:val="22"/>
                <w:lang w:eastAsia="en-US"/>
              </w:rPr>
              <w:t xml:space="preserve"> kl. 1</w:t>
            </w:r>
            <w:r w:rsidR="00A23CF9">
              <w:rPr>
                <w:rFonts w:eastAsiaTheme="minorHAnsi"/>
                <w:bCs/>
                <w:color w:val="000000"/>
                <w:sz w:val="22"/>
                <w:szCs w:val="22"/>
                <w:lang w:eastAsia="en-US"/>
              </w:rPr>
              <w:t>1</w:t>
            </w:r>
            <w:r w:rsidRPr="00114156">
              <w:rPr>
                <w:rFonts w:eastAsiaTheme="minorHAnsi"/>
                <w:bCs/>
                <w:color w:val="000000"/>
                <w:sz w:val="22"/>
                <w:szCs w:val="22"/>
                <w:lang w:eastAsia="en-US"/>
              </w:rPr>
              <w:t>.00</w:t>
            </w:r>
          </w:p>
          <w:p w:rsidR="006374E8" w:rsidRPr="00114156" w:rsidRDefault="006374E8" w:rsidP="008811FC">
            <w:pPr>
              <w:tabs>
                <w:tab w:val="left" w:pos="1701"/>
              </w:tabs>
              <w:rPr>
                <w:rFonts w:eastAsiaTheme="minorHAnsi"/>
                <w:bCs/>
                <w:color w:val="000000"/>
                <w:sz w:val="22"/>
                <w:szCs w:val="22"/>
                <w:lang w:eastAsia="en-US"/>
              </w:rPr>
            </w:pPr>
          </w:p>
          <w:p w:rsidR="006374E8" w:rsidRPr="00114156" w:rsidRDefault="006374E8" w:rsidP="008811FC">
            <w:pPr>
              <w:tabs>
                <w:tab w:val="left" w:pos="1701"/>
              </w:tabs>
              <w:rPr>
                <w:rFonts w:eastAsiaTheme="minorHAnsi"/>
                <w:bCs/>
                <w:color w:val="000000"/>
                <w:sz w:val="22"/>
                <w:szCs w:val="22"/>
                <w:lang w:eastAsia="en-US"/>
              </w:rPr>
            </w:pPr>
          </w:p>
          <w:p w:rsidR="006374E8" w:rsidRPr="00114156" w:rsidRDefault="006374E8" w:rsidP="008811FC">
            <w:pPr>
              <w:tabs>
                <w:tab w:val="left" w:pos="1701"/>
              </w:tabs>
              <w:rPr>
                <w:sz w:val="22"/>
                <w:szCs w:val="22"/>
              </w:rPr>
            </w:pPr>
            <w:r w:rsidRPr="00114156">
              <w:rPr>
                <w:sz w:val="22"/>
                <w:szCs w:val="22"/>
              </w:rPr>
              <w:t>Vid protokollet</w:t>
            </w: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bookmarkStart w:id="0" w:name="_GoBack"/>
            <w:bookmarkEnd w:id="0"/>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r w:rsidRPr="00114156">
              <w:rPr>
                <w:sz w:val="22"/>
                <w:szCs w:val="22"/>
              </w:rPr>
              <w:t xml:space="preserve">Justeras den </w:t>
            </w:r>
            <w:r w:rsidR="007A3581">
              <w:rPr>
                <w:sz w:val="22"/>
                <w:szCs w:val="22"/>
              </w:rPr>
              <w:t>19 oktober</w:t>
            </w:r>
            <w:r w:rsidRPr="00114156">
              <w:rPr>
                <w:sz w:val="22"/>
                <w:szCs w:val="22"/>
              </w:rPr>
              <w:t xml:space="preserve"> 2021</w:t>
            </w:r>
          </w:p>
          <w:p w:rsidR="006374E8" w:rsidRPr="00114156" w:rsidRDefault="006374E8" w:rsidP="008811FC">
            <w:pPr>
              <w:tabs>
                <w:tab w:val="left" w:pos="1701"/>
              </w:tabs>
              <w:rPr>
                <w:sz w:val="22"/>
                <w:szCs w:val="22"/>
              </w:rPr>
            </w:pPr>
          </w:p>
          <w:p w:rsidR="006374E8" w:rsidRPr="00114156" w:rsidRDefault="006374E8" w:rsidP="008811FC">
            <w:pPr>
              <w:tabs>
                <w:tab w:val="left" w:pos="1701"/>
              </w:tabs>
              <w:rPr>
                <w:b/>
                <w:sz w:val="22"/>
                <w:szCs w:val="22"/>
              </w:rPr>
            </w:pPr>
          </w:p>
          <w:p w:rsidR="006374E8" w:rsidRPr="00114156" w:rsidRDefault="006374E8" w:rsidP="008811FC">
            <w:pPr>
              <w:tabs>
                <w:tab w:val="left" w:pos="1701"/>
              </w:tabs>
              <w:rPr>
                <w:b/>
                <w:sz w:val="22"/>
                <w:szCs w:val="22"/>
              </w:rPr>
            </w:pPr>
          </w:p>
          <w:p w:rsidR="006374E8" w:rsidRPr="00114156" w:rsidRDefault="006374E8" w:rsidP="008811FC">
            <w:pPr>
              <w:tabs>
                <w:tab w:val="left" w:pos="1701"/>
              </w:tabs>
              <w:rPr>
                <w:b/>
                <w:sz w:val="22"/>
                <w:szCs w:val="22"/>
              </w:rPr>
            </w:pPr>
          </w:p>
          <w:p w:rsidR="006374E8" w:rsidRPr="00114156" w:rsidRDefault="006374E8" w:rsidP="008811FC">
            <w:pPr>
              <w:tabs>
                <w:tab w:val="left" w:pos="1701"/>
              </w:tabs>
              <w:rPr>
                <w:sz w:val="22"/>
                <w:szCs w:val="22"/>
              </w:rPr>
            </w:pPr>
            <w:r w:rsidRPr="00114156">
              <w:rPr>
                <w:sz w:val="22"/>
                <w:szCs w:val="22"/>
              </w:rPr>
              <w:t xml:space="preserve">Jens Holm </w:t>
            </w: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Default="006374E8"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Default="00D73749" w:rsidP="008811FC">
            <w:pPr>
              <w:tabs>
                <w:tab w:val="left" w:pos="1701"/>
              </w:tabs>
              <w:rPr>
                <w:sz w:val="22"/>
                <w:szCs w:val="22"/>
              </w:rPr>
            </w:pPr>
          </w:p>
          <w:p w:rsidR="00D73749" w:rsidRPr="00114156" w:rsidRDefault="00D73749"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p w:rsidR="006374E8" w:rsidRPr="00114156" w:rsidRDefault="006374E8" w:rsidP="008811FC">
            <w:pPr>
              <w:tabs>
                <w:tab w:val="left" w:pos="1701"/>
              </w:tabs>
              <w:rPr>
                <w:sz w:val="22"/>
                <w:szCs w:val="22"/>
              </w:rPr>
            </w:pPr>
          </w:p>
        </w:tc>
      </w:tr>
      <w:tr w:rsidR="006374E8" w:rsidRPr="00D73749" w:rsidTr="008811FC">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0"/>
                <w:lang w:val="en-GB" w:eastAsia="en-US"/>
              </w:rPr>
            </w:pPr>
            <w:r w:rsidRPr="00D73749">
              <w:rPr>
                <w:b/>
                <w:sz w:val="20"/>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0"/>
                <w:lang w:val="en-GB" w:eastAsia="en-US"/>
              </w:rPr>
            </w:pPr>
            <w:r w:rsidRPr="00D73749">
              <w:rPr>
                <w:b/>
                <w:sz w:val="20"/>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roofErr w:type="spellStart"/>
            <w:r w:rsidRPr="00D73749">
              <w:rPr>
                <w:b/>
                <w:sz w:val="20"/>
                <w:lang w:val="en-GB" w:eastAsia="en-US"/>
              </w:rPr>
              <w:t>Bilaga</w:t>
            </w:r>
            <w:proofErr w:type="spellEnd"/>
            <w:r w:rsidRPr="00D73749">
              <w:rPr>
                <w:b/>
                <w:sz w:val="20"/>
                <w:lang w:val="en-GB" w:eastAsia="en-US"/>
              </w:rPr>
              <w:t xml:space="preserve"> 1 till </w:t>
            </w:r>
            <w:proofErr w:type="spellStart"/>
            <w:r w:rsidRPr="00D73749">
              <w:rPr>
                <w:b/>
                <w:sz w:val="20"/>
                <w:lang w:val="en-GB" w:eastAsia="en-US"/>
              </w:rPr>
              <w:t>protokoll</w:t>
            </w:r>
            <w:proofErr w:type="spellEnd"/>
            <w:r w:rsidRPr="00D73749">
              <w:rPr>
                <w:sz w:val="20"/>
                <w:lang w:val="en-GB" w:eastAsia="en-US"/>
              </w:rPr>
              <w:t xml:space="preserve"> </w:t>
            </w:r>
          </w:p>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b/>
                <w:sz w:val="20"/>
                <w:lang w:val="en-GB" w:eastAsia="en-US"/>
              </w:rPr>
              <w:t>2021/22:3</w:t>
            </w:r>
          </w:p>
        </w:tc>
      </w:tr>
      <w:tr w:rsidR="006374E8" w:rsidRPr="00D73749" w:rsidTr="008811FC">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w:t>
            </w:r>
            <w:r w:rsidR="00EE0764" w:rsidRPr="00D73749">
              <w:rPr>
                <w:sz w:val="20"/>
                <w:lang w:val="en-GB" w:eastAsia="en-US"/>
              </w:rPr>
              <w:t>1-</w:t>
            </w:r>
            <w:r w:rsidR="00436C75" w:rsidRPr="00D73749">
              <w:rPr>
                <w:sz w:val="20"/>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 xml:space="preserve">§ </w:t>
            </w:r>
            <w:r w:rsidR="00436C75" w:rsidRPr="00D73749">
              <w:rPr>
                <w:sz w:val="20"/>
                <w:lang w:val="en-GB" w:eastAsia="en-US"/>
              </w:rPr>
              <w:t>4-7</w:t>
            </w:r>
          </w:p>
        </w:tc>
        <w:tc>
          <w:tcPr>
            <w:tcW w:w="712" w:type="dxa"/>
            <w:gridSpan w:val="2"/>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 8-12</w:t>
            </w:r>
          </w:p>
        </w:tc>
        <w:tc>
          <w:tcPr>
            <w:tcW w:w="712" w:type="dxa"/>
            <w:gridSpan w:val="2"/>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§13</w:t>
            </w:r>
            <w:r w:rsidR="00B82CCB" w:rsidRPr="00D73749">
              <w:rPr>
                <w:sz w:val="20"/>
                <w:lang w:val="en-GB" w:eastAsia="en-US"/>
              </w:rPr>
              <w:t>-14</w:t>
            </w:r>
          </w:p>
        </w:tc>
        <w:tc>
          <w:tcPr>
            <w:tcW w:w="712" w:type="dxa"/>
            <w:gridSpan w:val="2"/>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r>
      <w:tr w:rsidR="006374E8" w:rsidRPr="00D73749" w:rsidTr="008811FC">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b/>
                <w:i/>
                <w:sz w:val="20"/>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r w:rsidRPr="00D73749">
              <w:rPr>
                <w:sz w:val="20"/>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sz w:val="20"/>
                <w:lang w:val="en-GB" w:eastAsia="en-US"/>
              </w:rPr>
              <w:t>N</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color w:val="000000"/>
                <w:sz w:val="20"/>
                <w:lang w:val="en-US" w:eastAsia="en-US"/>
              </w:rPr>
              <w:t xml:space="preserve">Jens Holm (V), </w:t>
            </w:r>
            <w:proofErr w:type="spellStart"/>
            <w:r w:rsidRPr="00D73749">
              <w:rPr>
                <w:i/>
                <w:color w:val="000000"/>
                <w:sz w:val="20"/>
                <w:lang w:val="en-US" w:eastAsia="en-US"/>
              </w:rPr>
              <w:t>ordf</w:t>
            </w:r>
            <w:proofErr w:type="spellEnd"/>
            <w:r w:rsidRPr="00D73749">
              <w:rPr>
                <w:i/>
                <w:color w:val="000000"/>
                <w:sz w:val="20"/>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color w:val="000000"/>
                <w:sz w:val="20"/>
                <w:lang w:eastAsia="en-US"/>
              </w:rPr>
            </w:pPr>
            <w:r w:rsidRPr="00D73749">
              <w:rPr>
                <w:color w:val="000000"/>
                <w:sz w:val="20"/>
                <w:lang w:eastAsia="en-US"/>
              </w:rPr>
              <w:t xml:space="preserve">Anders Åkesson (C), </w:t>
            </w:r>
            <w:r w:rsidRPr="00D73749">
              <w:rPr>
                <w:i/>
                <w:color w:val="000000"/>
                <w:sz w:val="20"/>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r w:rsidRPr="00D73749">
              <w:rPr>
                <w:sz w:val="20"/>
                <w:lang w:eastAsia="en-US"/>
              </w:rPr>
              <w:t>O</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r w:rsidRPr="00D73749">
              <w:rPr>
                <w:sz w:val="20"/>
                <w:lang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r w:rsidRPr="00D73749">
              <w:rPr>
                <w:sz w:val="20"/>
                <w:lang w:eastAsia="en-US"/>
              </w:rPr>
              <w:t>O</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r w:rsidRPr="00D73749">
              <w:rPr>
                <w:sz w:val="20"/>
                <w:lang w:eastAsia="en-US"/>
              </w:rPr>
              <w:t>O</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i/>
                <w:sz w:val="20"/>
                <w:lang w:val="fr-FR" w:eastAsia="en-US"/>
              </w:rPr>
            </w:pPr>
            <w:r w:rsidRPr="00D73749">
              <w:rPr>
                <w:sz w:val="20"/>
                <w:lang w:val="fr-FR" w:eastAsia="en-US"/>
              </w:rPr>
              <w:t xml:space="preserve">Magnus Jacobsson (KD) </w:t>
            </w:r>
            <w:proofErr w:type="spellStart"/>
            <w:r w:rsidRPr="00D73749">
              <w:rPr>
                <w:i/>
                <w:sz w:val="20"/>
                <w:lang w:val="fr-FR" w:eastAsia="en-US"/>
              </w:rPr>
              <w:t>andre</w:t>
            </w:r>
            <w:proofErr w:type="spellEnd"/>
            <w:r w:rsidRPr="00D73749">
              <w:rPr>
                <w:i/>
                <w:sz w:val="20"/>
                <w:lang w:val="fr-FR" w:eastAsia="en-US"/>
              </w:rPr>
              <w:t xml:space="preserve"> vice </w:t>
            </w:r>
            <w:proofErr w:type="spellStart"/>
            <w:r w:rsidRPr="00D73749">
              <w:rPr>
                <w:i/>
                <w:sz w:val="20"/>
                <w:lang w:val="fr-FR" w:eastAsia="en-US"/>
              </w:rPr>
              <w:t>ordf</w:t>
            </w:r>
            <w:proofErr w:type="spellEnd"/>
            <w:r w:rsidRPr="00D73749">
              <w:rPr>
                <w:i/>
                <w:sz w:val="20"/>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r w:rsidRPr="00D73749">
              <w:rPr>
                <w:sz w:val="20"/>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r w:rsidRPr="00D73749">
              <w:rPr>
                <w:sz w:val="20"/>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r w:rsidRPr="00D73749">
              <w:rPr>
                <w:sz w:val="20"/>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eastAsia="en-US"/>
              </w:rPr>
            </w:pPr>
            <w:r w:rsidRPr="00D73749">
              <w:rPr>
                <w:sz w:val="20"/>
                <w:lang w:eastAsia="en-US"/>
              </w:rPr>
              <w:t>Teres Lindberg (</w:t>
            </w:r>
            <w:proofErr w:type="gramStart"/>
            <w:r w:rsidRPr="00D73749">
              <w:rPr>
                <w:sz w:val="20"/>
                <w:lang w:eastAsia="en-US"/>
              </w:rPr>
              <w:t xml:space="preserve">S)   </w:t>
            </w:r>
            <w:proofErr w:type="gramEnd"/>
            <w:r w:rsidRPr="00D73749">
              <w:rPr>
                <w:sz w:val="20"/>
                <w:lang w:eastAsia="en-US"/>
              </w:rPr>
              <w:t xml:space="preserve">                       </w:t>
            </w:r>
            <w:r w:rsidRPr="00D73749">
              <w:rPr>
                <w:i/>
                <w:sz w:val="20"/>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6374E8" w:rsidRPr="00D73749" w:rsidRDefault="006374E8" w:rsidP="008811FC">
            <w:pPr>
              <w:spacing w:line="256" w:lineRule="auto"/>
              <w:rPr>
                <w:sz w:val="20"/>
                <w:lang w:val="en-US" w:eastAsia="en-US"/>
              </w:rPr>
            </w:pPr>
            <w:r w:rsidRPr="00D73749">
              <w:rPr>
                <w:sz w:val="20"/>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r w:rsidRPr="00D73749">
              <w:rPr>
                <w:sz w:val="20"/>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EE0764" w:rsidP="008811FC">
            <w:pPr>
              <w:spacing w:line="256" w:lineRule="auto"/>
              <w:rPr>
                <w:sz w:val="20"/>
                <w:lang w:val="en-GB" w:eastAsia="en-US"/>
              </w:rPr>
            </w:pPr>
            <w:r w:rsidRPr="00D73749">
              <w:rPr>
                <w:sz w:val="20"/>
                <w:lang w:val="en-GB" w:eastAsia="en-US"/>
              </w:rPr>
              <w:t xml:space="preserve">Axel Hallberg </w:t>
            </w:r>
            <w:r w:rsidR="006374E8" w:rsidRPr="00D73749">
              <w:rPr>
                <w:sz w:val="20"/>
                <w:lang w:val="en-GB" w:eastAsia="en-US"/>
              </w:rPr>
              <w:t>(MP)</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r w:rsidRPr="00D73749">
              <w:rPr>
                <w:b/>
                <w:i/>
                <w:sz w:val="20"/>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EE0764"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Helena Storckenfeldt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 xml:space="preserve">David </w:t>
            </w:r>
            <w:proofErr w:type="gramStart"/>
            <w:r w:rsidRPr="00D73749">
              <w:rPr>
                <w:sz w:val="20"/>
                <w:lang w:val="en-GB" w:eastAsia="en-US"/>
              </w:rPr>
              <w:t>Perez  (</w:t>
            </w:r>
            <w:proofErr w:type="gramEnd"/>
            <w:r w:rsidRPr="00D73749">
              <w:rPr>
                <w:sz w:val="20"/>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436C75"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r w:rsidRPr="00D73749">
              <w:rPr>
                <w:sz w:val="20"/>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GB" w:eastAsia="en-US"/>
              </w:rPr>
            </w:pPr>
            <w:r w:rsidRPr="00D73749">
              <w:rPr>
                <w:sz w:val="20"/>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328"/>
              </w:tabs>
              <w:spacing w:line="256" w:lineRule="auto"/>
              <w:rPr>
                <w:sz w:val="20"/>
                <w:lang w:val="en-US" w:eastAsia="en-US"/>
              </w:rPr>
            </w:pPr>
            <w:r w:rsidRPr="00D73749">
              <w:rPr>
                <w:sz w:val="20"/>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tabs>
                <w:tab w:val="left" w:pos="328"/>
              </w:tabs>
              <w:spacing w:line="256" w:lineRule="auto"/>
              <w:rPr>
                <w:sz w:val="20"/>
                <w:lang w:val="en-US" w:eastAsia="en-US"/>
              </w:rPr>
            </w:pPr>
            <w:r w:rsidRPr="00D73749">
              <w:rPr>
                <w:sz w:val="20"/>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374E8" w:rsidRPr="00D73749" w:rsidRDefault="006374E8" w:rsidP="008811FC">
            <w:pPr>
              <w:spacing w:line="256" w:lineRule="auto"/>
              <w:rPr>
                <w:sz w:val="20"/>
                <w:lang w:val="en-US" w:eastAsia="en-US"/>
              </w:rPr>
            </w:pPr>
            <w:r w:rsidRPr="00D73749">
              <w:rPr>
                <w:sz w:val="20"/>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6374E8" w:rsidRPr="00D73749" w:rsidRDefault="006374E8" w:rsidP="008811FC">
            <w:pPr>
              <w:spacing w:line="256" w:lineRule="auto"/>
              <w:rPr>
                <w:sz w:val="20"/>
                <w:lang w:val="en-US" w:eastAsia="en-US"/>
              </w:rPr>
            </w:pPr>
            <w:r w:rsidRPr="00D73749">
              <w:rPr>
                <w:sz w:val="20"/>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FE0CBA"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FE0CBA" w:rsidRPr="00D73749" w:rsidRDefault="00FE0CBA" w:rsidP="008811FC">
            <w:pPr>
              <w:spacing w:line="256" w:lineRule="auto"/>
              <w:rPr>
                <w:sz w:val="20"/>
                <w:lang w:val="en-US" w:eastAsia="en-US"/>
              </w:rPr>
            </w:pPr>
            <w:r w:rsidRPr="00D73749">
              <w:rPr>
                <w:sz w:val="20"/>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0CBA" w:rsidRPr="00D73749" w:rsidRDefault="00FE0CBA"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r w:rsidR="006374E8" w:rsidRPr="00D73749" w:rsidTr="008811F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6374E8" w:rsidRPr="00D73749" w:rsidRDefault="006374E8" w:rsidP="008811FC">
            <w:pPr>
              <w:spacing w:line="256" w:lineRule="auto"/>
              <w:rPr>
                <w:sz w:val="20"/>
                <w:lang w:val="en-US" w:eastAsia="en-US"/>
              </w:rPr>
            </w:pPr>
            <w:r w:rsidRPr="00D73749">
              <w:rPr>
                <w:sz w:val="20"/>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374E8" w:rsidRPr="00D73749" w:rsidRDefault="006374E8" w:rsidP="008811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eastAsia="en-US"/>
              </w:rPr>
            </w:pPr>
          </w:p>
        </w:tc>
      </w:tr>
    </w:tbl>
    <w:p w:rsidR="006374E8" w:rsidRPr="00D73749" w:rsidRDefault="006374E8" w:rsidP="006374E8">
      <w:pPr>
        <w:spacing w:before="60" w:line="256" w:lineRule="auto"/>
        <w:rPr>
          <w:sz w:val="20"/>
        </w:rPr>
      </w:pPr>
      <w:r w:rsidRPr="00D73749">
        <w:rPr>
          <w:sz w:val="20"/>
          <w:lang w:eastAsia="en-US"/>
        </w:rPr>
        <w:t>N = Närvarande                                                 X = ledamöter som deltagit i handläggningen</w:t>
      </w:r>
      <w:r w:rsidRPr="00D73749">
        <w:rPr>
          <w:sz w:val="20"/>
          <w:lang w:eastAsia="en-US"/>
        </w:rPr>
        <w:br/>
        <w:t xml:space="preserve">V = Votering                                                     O = </w:t>
      </w:r>
      <w:r w:rsidRPr="00D73749">
        <w:rPr>
          <w:sz w:val="20"/>
        </w:rPr>
        <w:t>ledamöter som härutöver varit närvarande</w:t>
      </w:r>
    </w:p>
    <w:p w:rsidR="006374E8" w:rsidRPr="00114156" w:rsidRDefault="006374E8" w:rsidP="006374E8">
      <w:pPr>
        <w:rPr>
          <w:sz w:val="22"/>
          <w:szCs w:val="22"/>
        </w:rPr>
      </w:pPr>
    </w:p>
    <w:p w:rsidR="006374E8" w:rsidRPr="00114156" w:rsidRDefault="006374E8" w:rsidP="006374E8">
      <w:pPr>
        <w:rPr>
          <w:sz w:val="22"/>
          <w:szCs w:val="22"/>
        </w:rPr>
      </w:pPr>
    </w:p>
    <w:p w:rsidR="006374E8" w:rsidRPr="00114156" w:rsidRDefault="006374E8" w:rsidP="006374E8">
      <w:pPr>
        <w:rPr>
          <w:sz w:val="22"/>
          <w:szCs w:val="22"/>
        </w:rPr>
      </w:pPr>
    </w:p>
    <w:p w:rsidR="006374E8" w:rsidRPr="00114156" w:rsidRDefault="006374E8" w:rsidP="006374E8">
      <w:pPr>
        <w:rPr>
          <w:sz w:val="22"/>
          <w:szCs w:val="22"/>
        </w:rPr>
      </w:pPr>
    </w:p>
    <w:sectPr w:rsidR="006374E8" w:rsidRPr="00114156"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0FD" w:rsidRDefault="00BD20FD">
      <w:r>
        <w:separator/>
      </w:r>
    </w:p>
  </w:endnote>
  <w:endnote w:type="continuationSeparator" w:id="0">
    <w:p w:rsidR="00BD20FD" w:rsidRDefault="00BD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0F09D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D20F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0F09D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D20F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0FD" w:rsidRDefault="00BD20FD">
      <w:r>
        <w:separator/>
      </w:r>
    </w:p>
  </w:footnote>
  <w:footnote w:type="continuationSeparator" w:id="0">
    <w:p w:rsidR="00BD20FD" w:rsidRDefault="00BD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E8"/>
    <w:rsid w:val="0006043F"/>
    <w:rsid w:val="00072835"/>
    <w:rsid w:val="00094A50"/>
    <w:rsid w:val="000B4771"/>
    <w:rsid w:val="000B7D95"/>
    <w:rsid w:val="000E059C"/>
    <w:rsid w:val="000F09D3"/>
    <w:rsid w:val="000F1A70"/>
    <w:rsid w:val="00102A67"/>
    <w:rsid w:val="001119DC"/>
    <w:rsid w:val="00114156"/>
    <w:rsid w:val="001F20F5"/>
    <w:rsid w:val="00224AE3"/>
    <w:rsid w:val="0028015F"/>
    <w:rsid w:val="00280BC7"/>
    <w:rsid w:val="002B7046"/>
    <w:rsid w:val="00386CC5"/>
    <w:rsid w:val="003B576E"/>
    <w:rsid w:val="00436C75"/>
    <w:rsid w:val="005315D0"/>
    <w:rsid w:val="0053570B"/>
    <w:rsid w:val="00574242"/>
    <w:rsid w:val="00585C22"/>
    <w:rsid w:val="00603AF0"/>
    <w:rsid w:val="006374E8"/>
    <w:rsid w:val="006B649E"/>
    <w:rsid w:val="006D3AF9"/>
    <w:rsid w:val="006F5F5C"/>
    <w:rsid w:val="0071036B"/>
    <w:rsid w:val="00712851"/>
    <w:rsid w:val="007149F6"/>
    <w:rsid w:val="00744DF0"/>
    <w:rsid w:val="00751425"/>
    <w:rsid w:val="00772F96"/>
    <w:rsid w:val="007A3581"/>
    <w:rsid w:val="007B6A85"/>
    <w:rsid w:val="007F6420"/>
    <w:rsid w:val="00874A67"/>
    <w:rsid w:val="008D3BE8"/>
    <w:rsid w:val="008D7F40"/>
    <w:rsid w:val="008F5C48"/>
    <w:rsid w:val="00915BD0"/>
    <w:rsid w:val="00925EF5"/>
    <w:rsid w:val="00980BA4"/>
    <w:rsid w:val="009855B9"/>
    <w:rsid w:val="00986510"/>
    <w:rsid w:val="00A23CF9"/>
    <w:rsid w:val="00A37376"/>
    <w:rsid w:val="00A443BA"/>
    <w:rsid w:val="00A9643A"/>
    <w:rsid w:val="00B026D0"/>
    <w:rsid w:val="00B82CCB"/>
    <w:rsid w:val="00BD20FD"/>
    <w:rsid w:val="00C2391D"/>
    <w:rsid w:val="00C249AC"/>
    <w:rsid w:val="00CC1AF4"/>
    <w:rsid w:val="00D66118"/>
    <w:rsid w:val="00D73749"/>
    <w:rsid w:val="00D8468E"/>
    <w:rsid w:val="00DE3D8E"/>
    <w:rsid w:val="00EB6B6C"/>
    <w:rsid w:val="00EE0764"/>
    <w:rsid w:val="00F063C4"/>
    <w:rsid w:val="00F31C9F"/>
    <w:rsid w:val="00F66E5F"/>
    <w:rsid w:val="00FE0CBA"/>
    <w:rsid w:val="00FE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8D88"/>
  <w15:chartTrackingRefBased/>
  <w15:docId w15:val="{E5D87D29-7B6D-423A-90DE-7B27AD5D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4E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6374E8"/>
    <w:pPr>
      <w:tabs>
        <w:tab w:val="center" w:pos="4536"/>
        <w:tab w:val="right" w:pos="9072"/>
      </w:tabs>
    </w:pPr>
  </w:style>
  <w:style w:type="character" w:customStyle="1" w:styleId="SidfotChar">
    <w:name w:val="Sidfot Char"/>
    <w:basedOn w:val="Standardstycketeckensnitt"/>
    <w:link w:val="Sidfot"/>
    <w:rsid w:val="006374E8"/>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6374E8"/>
  </w:style>
  <w:style w:type="paragraph" w:styleId="Ingetavstnd">
    <w:name w:val="No Spacing"/>
    <w:uiPriority w:val="1"/>
    <w:qFormat/>
    <w:rsid w:val="00102A67"/>
    <w:pPr>
      <w:widowControl w:val="0"/>
      <w:spacing w:after="0" w:line="240" w:lineRule="auto"/>
    </w:pPr>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31634">
      <w:bodyDiv w:val="1"/>
      <w:marLeft w:val="0"/>
      <w:marRight w:val="0"/>
      <w:marTop w:val="0"/>
      <w:marBottom w:val="0"/>
      <w:divBdr>
        <w:top w:val="none" w:sz="0" w:space="0" w:color="auto"/>
        <w:left w:val="none" w:sz="0" w:space="0" w:color="auto"/>
        <w:bottom w:val="none" w:sz="0" w:space="0" w:color="auto"/>
        <w:right w:val="none" w:sz="0" w:space="0" w:color="auto"/>
      </w:divBdr>
    </w:div>
    <w:div w:id="10372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178</TotalTime>
  <Pages>6</Pages>
  <Words>2002</Words>
  <Characters>12356</Characters>
  <Application>Microsoft Office Word</Application>
  <DocSecurity>0</DocSecurity>
  <Lines>1544</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33</cp:revision>
  <dcterms:created xsi:type="dcterms:W3CDTF">2021-10-05T12:36:00Z</dcterms:created>
  <dcterms:modified xsi:type="dcterms:W3CDTF">2021-10-20T09:49:00Z</dcterms:modified>
</cp:coreProperties>
</file>