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D1A13-81E9-4DE0-9490-996047A7DEC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CA07D80-080C-46D2-8F2B-16AB6D121929}"/>
</file>

<file path=customXml/itemProps4.xml><?xml version="1.0" encoding="utf-8"?>
<ds:datastoreItem xmlns:ds="http://schemas.openxmlformats.org/officeDocument/2006/customXml" ds:itemID="{3130F099-70B6-4CF2-AD64-D65C097F0D9A}"/>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