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9E0" w:rsidRPr="002A68C6" w:rsidRDefault="002329E0" w:rsidP="002329E0">
      <w:pPr>
        <w:ind w:right="-193"/>
        <w:jc w:val="both"/>
        <w:rPr>
          <w:rFonts w:ascii="OrigGarmnd BT" w:hAnsi="OrigGarmnd BT"/>
          <w:color w:val="000000"/>
          <w:sz w:val="24"/>
          <w:szCs w:val="24"/>
        </w:rPr>
      </w:pPr>
      <w:r w:rsidRPr="002A68C6">
        <w:rPr>
          <w:rFonts w:ascii="OrigGarmnd BT" w:hAnsi="OrigGarmnd BT"/>
          <w:b/>
          <w:bCs/>
          <w:color w:val="000000"/>
          <w:sz w:val="24"/>
          <w:szCs w:val="24"/>
        </w:rPr>
        <w:t>REGERINGSKANSLIET</w:t>
      </w:r>
      <w:r w:rsidRPr="002A68C6">
        <w:rPr>
          <w:rFonts w:ascii="OrigGarmnd BT" w:hAnsi="OrigGarmnd BT"/>
          <w:color w:val="000000"/>
          <w:sz w:val="24"/>
          <w:szCs w:val="24"/>
        </w:rPr>
        <w:tab/>
      </w:r>
      <w:r w:rsidRPr="002A68C6">
        <w:rPr>
          <w:rFonts w:ascii="OrigGarmnd BT" w:hAnsi="OrigGarmnd BT"/>
          <w:color w:val="000000"/>
          <w:sz w:val="24"/>
          <w:szCs w:val="24"/>
        </w:rPr>
        <w:tab/>
      </w:r>
      <w:r w:rsidRPr="002A68C6">
        <w:rPr>
          <w:rFonts w:ascii="OrigGarmnd BT" w:hAnsi="OrigGarmnd BT"/>
          <w:color w:val="000000"/>
          <w:sz w:val="24"/>
          <w:szCs w:val="24"/>
        </w:rPr>
        <w:tab/>
      </w:r>
    </w:p>
    <w:p w:rsidR="002329E0" w:rsidRPr="002A68C6" w:rsidRDefault="002329E0" w:rsidP="002329E0">
      <w:pPr>
        <w:ind w:right="-193"/>
        <w:jc w:val="both"/>
        <w:rPr>
          <w:rFonts w:ascii="OrigGarmnd BT" w:hAnsi="OrigGarmnd BT"/>
          <w:color w:val="000000"/>
          <w:sz w:val="24"/>
          <w:szCs w:val="24"/>
        </w:rPr>
      </w:pPr>
      <w:r w:rsidRPr="002A68C6">
        <w:rPr>
          <w:rFonts w:ascii="OrigGarmnd BT" w:hAnsi="OrigGarmnd BT"/>
          <w:color w:val="000000"/>
          <w:sz w:val="24"/>
          <w:szCs w:val="24"/>
        </w:rPr>
        <w:t>Utrikesdepartementet</w:t>
      </w:r>
      <w:r w:rsidRPr="002A68C6">
        <w:rPr>
          <w:rFonts w:ascii="OrigGarmnd BT" w:hAnsi="OrigGarmnd BT"/>
          <w:color w:val="000000"/>
          <w:sz w:val="24"/>
          <w:szCs w:val="24"/>
        </w:rPr>
        <w:tab/>
      </w:r>
      <w:r w:rsidRPr="002A68C6">
        <w:rPr>
          <w:rFonts w:ascii="OrigGarmnd BT" w:hAnsi="OrigGarmnd BT"/>
          <w:color w:val="000000"/>
          <w:sz w:val="24"/>
          <w:szCs w:val="24"/>
        </w:rPr>
        <w:tab/>
      </w:r>
      <w:r w:rsidRPr="002A68C6">
        <w:rPr>
          <w:rFonts w:ascii="OrigGarmnd BT" w:hAnsi="OrigGarmnd BT"/>
          <w:color w:val="000000"/>
          <w:sz w:val="24"/>
          <w:szCs w:val="24"/>
        </w:rPr>
        <w:tab/>
        <w:t>Kommenterad dagordning</w:t>
      </w:r>
      <w:r w:rsidRPr="002A68C6">
        <w:rPr>
          <w:rFonts w:ascii="OrigGarmnd BT" w:hAnsi="OrigGarmnd BT"/>
          <w:b/>
          <w:color w:val="000000"/>
          <w:sz w:val="24"/>
          <w:szCs w:val="24"/>
        </w:rPr>
        <w:t xml:space="preserve"> </w:t>
      </w:r>
    </w:p>
    <w:p w:rsidR="002329E0" w:rsidRPr="002A68C6" w:rsidRDefault="002329E0" w:rsidP="002329E0">
      <w:pPr>
        <w:jc w:val="both"/>
        <w:rPr>
          <w:rFonts w:ascii="OrigGarmnd BT" w:hAnsi="OrigGarmnd BT"/>
          <w:color w:val="000000"/>
          <w:sz w:val="24"/>
          <w:szCs w:val="24"/>
        </w:rPr>
      </w:pPr>
      <w:r w:rsidRPr="002A68C6">
        <w:rPr>
          <w:rFonts w:ascii="OrigGarmnd BT" w:hAnsi="OrigGarmnd BT"/>
          <w:color w:val="000000"/>
          <w:sz w:val="24"/>
          <w:szCs w:val="24"/>
        </w:rPr>
        <w:tab/>
      </w:r>
      <w:r w:rsidRPr="002A68C6">
        <w:rPr>
          <w:rFonts w:ascii="OrigGarmnd BT" w:hAnsi="OrigGarmnd BT"/>
          <w:color w:val="000000"/>
          <w:sz w:val="24"/>
          <w:szCs w:val="24"/>
        </w:rPr>
        <w:tab/>
      </w:r>
      <w:r w:rsidRPr="002A68C6">
        <w:rPr>
          <w:rFonts w:ascii="OrigGarmnd BT" w:hAnsi="OrigGarmnd BT"/>
          <w:color w:val="000000"/>
          <w:sz w:val="24"/>
          <w:szCs w:val="24"/>
        </w:rPr>
        <w:tab/>
      </w:r>
      <w:r w:rsidRPr="002A68C6">
        <w:rPr>
          <w:rFonts w:ascii="OrigGarmnd BT" w:hAnsi="OrigGarmnd BT"/>
          <w:color w:val="000000"/>
          <w:sz w:val="24"/>
          <w:szCs w:val="24"/>
        </w:rPr>
        <w:tab/>
      </w:r>
      <w:r w:rsidRPr="002A68C6">
        <w:rPr>
          <w:rFonts w:ascii="OrigGarmnd BT" w:hAnsi="OrigGarmnd BT"/>
          <w:color w:val="000000"/>
          <w:sz w:val="24"/>
          <w:szCs w:val="24"/>
        </w:rPr>
        <w:tab/>
      </w:r>
      <w:r w:rsidRPr="002A68C6">
        <w:rPr>
          <w:rFonts w:ascii="OrigGarmnd BT" w:hAnsi="OrigGarmnd BT"/>
          <w:color w:val="000000"/>
          <w:sz w:val="24"/>
          <w:szCs w:val="24"/>
        </w:rPr>
        <w:tab/>
        <w:t>Ministerrådet</w:t>
      </w:r>
      <w:r w:rsidRPr="002A68C6">
        <w:rPr>
          <w:rFonts w:ascii="OrigGarmnd BT" w:hAnsi="OrigGarmnd BT"/>
          <w:color w:val="000000"/>
          <w:sz w:val="24"/>
          <w:szCs w:val="24"/>
        </w:rPr>
        <w:tab/>
      </w:r>
      <w:r w:rsidRPr="002A68C6">
        <w:rPr>
          <w:rFonts w:ascii="OrigGarmnd BT" w:hAnsi="OrigGarmnd BT"/>
          <w:color w:val="000000"/>
          <w:sz w:val="24"/>
          <w:szCs w:val="24"/>
        </w:rPr>
        <w:tab/>
      </w:r>
      <w:r w:rsidRPr="002A68C6">
        <w:rPr>
          <w:rFonts w:ascii="OrigGarmnd BT" w:hAnsi="OrigGarmnd BT"/>
          <w:color w:val="000000"/>
          <w:sz w:val="24"/>
          <w:szCs w:val="24"/>
        </w:rPr>
        <w:tab/>
      </w:r>
      <w:r w:rsidRPr="002A68C6">
        <w:rPr>
          <w:rFonts w:ascii="OrigGarmnd BT" w:hAnsi="OrigGarmnd BT"/>
          <w:color w:val="000000"/>
          <w:sz w:val="24"/>
          <w:szCs w:val="24"/>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2329E0" w:rsidRPr="002A68C6" w:rsidTr="002329E0">
        <w:tblPrEx>
          <w:tblCellMar>
            <w:top w:w="0" w:type="dxa"/>
            <w:bottom w:w="0" w:type="dxa"/>
          </w:tblCellMar>
        </w:tblPrEx>
        <w:trPr>
          <w:trHeight w:val="284"/>
        </w:trPr>
        <w:tc>
          <w:tcPr>
            <w:tcW w:w="4911" w:type="dxa"/>
          </w:tcPr>
          <w:p w:rsidR="002329E0" w:rsidRPr="002A68C6" w:rsidRDefault="002329E0" w:rsidP="002329E0">
            <w:pPr>
              <w:tabs>
                <w:tab w:val="left" w:pos="284"/>
              </w:tabs>
              <w:jc w:val="both"/>
              <w:rPr>
                <w:rFonts w:ascii="OrigGarmnd BT" w:hAnsi="OrigGarmnd BT"/>
                <w:b/>
                <w:bCs/>
                <w:iCs/>
                <w:sz w:val="24"/>
                <w:szCs w:val="24"/>
              </w:rPr>
            </w:pPr>
          </w:p>
        </w:tc>
      </w:tr>
    </w:tbl>
    <w:p w:rsidR="002329E0" w:rsidRPr="002A68C6" w:rsidRDefault="002329E0" w:rsidP="002329E0">
      <w:pPr>
        <w:tabs>
          <w:tab w:val="left" w:pos="284"/>
        </w:tabs>
        <w:jc w:val="both"/>
        <w:rPr>
          <w:rFonts w:ascii="OrigGarmnd BT" w:hAnsi="OrigGarmnd BT"/>
          <w:color w:val="000000"/>
          <w:sz w:val="24"/>
          <w:szCs w:val="24"/>
        </w:rPr>
      </w:pPr>
      <w:r w:rsidRPr="002A68C6">
        <w:rPr>
          <w:rFonts w:ascii="OrigGarmnd BT" w:hAnsi="OrigGarmnd BT"/>
          <w:color w:val="000000"/>
          <w:sz w:val="24"/>
          <w:szCs w:val="24"/>
        </w:rPr>
        <w:t>Enheten för Europeiska unionen</w:t>
      </w:r>
      <w:r w:rsidRPr="002A68C6">
        <w:rPr>
          <w:rFonts w:ascii="OrigGarmnd BT" w:hAnsi="OrigGarmnd BT"/>
          <w:color w:val="000000"/>
          <w:sz w:val="24"/>
          <w:szCs w:val="24"/>
        </w:rPr>
        <w:tab/>
      </w:r>
      <w:r w:rsidRPr="002A68C6">
        <w:rPr>
          <w:rFonts w:ascii="OrigGarmnd BT" w:hAnsi="OrigGarmnd BT"/>
          <w:color w:val="000000"/>
          <w:sz w:val="24"/>
          <w:szCs w:val="24"/>
        </w:rPr>
        <w:tab/>
      </w:r>
    </w:p>
    <w:p w:rsidR="002329E0" w:rsidRPr="002A68C6" w:rsidRDefault="002329E0" w:rsidP="002329E0">
      <w:pPr>
        <w:jc w:val="both"/>
        <w:rPr>
          <w:rFonts w:ascii="OrigGarmnd BT" w:hAnsi="OrigGarmnd BT"/>
          <w:b/>
          <w:sz w:val="24"/>
          <w:szCs w:val="24"/>
          <w:u w:val="single"/>
        </w:rPr>
      </w:pPr>
      <w:r w:rsidRPr="002A68C6">
        <w:rPr>
          <w:rFonts w:ascii="OrigGarmnd BT" w:hAnsi="OrigGarmnd BT"/>
          <w:color w:val="000000"/>
          <w:sz w:val="24"/>
          <w:szCs w:val="24"/>
        </w:rPr>
        <w:tab/>
      </w:r>
      <w:r w:rsidRPr="002A68C6">
        <w:rPr>
          <w:rFonts w:ascii="OrigGarmnd BT" w:hAnsi="OrigGarmnd BT"/>
          <w:color w:val="000000"/>
          <w:sz w:val="24"/>
          <w:szCs w:val="24"/>
        </w:rPr>
        <w:tab/>
      </w:r>
      <w:r w:rsidRPr="002A68C6">
        <w:rPr>
          <w:rFonts w:ascii="OrigGarmnd BT" w:hAnsi="OrigGarmnd BT"/>
          <w:color w:val="000000"/>
          <w:sz w:val="24"/>
          <w:szCs w:val="24"/>
        </w:rPr>
        <w:tab/>
      </w:r>
      <w:r w:rsidRPr="002A68C6">
        <w:rPr>
          <w:rFonts w:ascii="OrigGarmnd BT" w:hAnsi="OrigGarmnd BT"/>
          <w:color w:val="000000"/>
          <w:sz w:val="24"/>
          <w:szCs w:val="24"/>
        </w:rPr>
        <w:tab/>
      </w:r>
    </w:p>
    <w:p w:rsidR="002329E0" w:rsidRPr="002A68C6" w:rsidRDefault="002329E0" w:rsidP="002329E0">
      <w:pPr>
        <w:pStyle w:val="UDrubrik"/>
        <w:spacing w:line="240" w:lineRule="auto"/>
        <w:ind w:left="1418"/>
        <w:rPr>
          <w:rFonts w:ascii="OrigGarmnd BT" w:hAnsi="OrigGarmnd BT"/>
          <w:sz w:val="24"/>
          <w:szCs w:val="24"/>
          <w:u w:val="single"/>
        </w:rPr>
      </w:pPr>
    </w:p>
    <w:p w:rsidR="002329E0" w:rsidRPr="002A68C6" w:rsidRDefault="002329E0" w:rsidP="002329E0">
      <w:pPr>
        <w:pStyle w:val="UDrubrik"/>
        <w:spacing w:line="240" w:lineRule="auto"/>
        <w:ind w:left="1418"/>
        <w:rPr>
          <w:rFonts w:ascii="OrigGarmnd BT" w:hAnsi="OrigGarmnd BT"/>
          <w:sz w:val="24"/>
          <w:szCs w:val="24"/>
          <w:u w:val="single"/>
        </w:rPr>
      </w:pPr>
    </w:p>
    <w:p w:rsidR="002329E0" w:rsidRPr="002A68C6" w:rsidRDefault="002329E0" w:rsidP="002329E0">
      <w:pPr>
        <w:pStyle w:val="UDrubrik"/>
        <w:spacing w:line="240" w:lineRule="auto"/>
        <w:ind w:left="1418"/>
        <w:rPr>
          <w:rFonts w:ascii="OrigGarmnd BT" w:hAnsi="OrigGarmnd BT"/>
          <w:sz w:val="24"/>
          <w:szCs w:val="24"/>
          <w:u w:val="single"/>
        </w:rPr>
      </w:pPr>
    </w:p>
    <w:p w:rsidR="002329E0" w:rsidRPr="002A68C6" w:rsidRDefault="002329E0" w:rsidP="002329E0">
      <w:pPr>
        <w:rPr>
          <w:rFonts w:ascii="OrigGarmnd BT" w:hAnsi="OrigGarmnd BT"/>
          <w:sz w:val="24"/>
          <w:szCs w:val="24"/>
        </w:rPr>
      </w:pPr>
    </w:p>
    <w:p w:rsidR="002329E0" w:rsidRPr="002A68C6" w:rsidRDefault="002329E0" w:rsidP="002329E0">
      <w:pPr>
        <w:pStyle w:val="UDrubrik"/>
        <w:spacing w:line="240" w:lineRule="auto"/>
        <w:jc w:val="center"/>
        <w:rPr>
          <w:rFonts w:ascii="OrigGarmnd BT" w:hAnsi="OrigGarmnd BT"/>
          <w:sz w:val="24"/>
          <w:szCs w:val="24"/>
          <w:u w:val="single"/>
        </w:rPr>
      </w:pPr>
      <w:r w:rsidRPr="002A68C6">
        <w:rPr>
          <w:rFonts w:ascii="OrigGarmnd BT" w:hAnsi="OrigGarmnd BT"/>
          <w:sz w:val="24"/>
          <w:szCs w:val="24"/>
          <w:u w:val="single"/>
        </w:rPr>
        <w:t xml:space="preserve">Kommenterad dagordning för utrikesrådet </w:t>
      </w:r>
    </w:p>
    <w:p w:rsidR="002329E0" w:rsidRPr="002A68C6" w:rsidRDefault="002329E0" w:rsidP="002329E0">
      <w:pPr>
        <w:pStyle w:val="UDrubrik"/>
        <w:spacing w:line="240" w:lineRule="auto"/>
        <w:jc w:val="center"/>
      </w:pPr>
      <w:r w:rsidRPr="002A68C6">
        <w:rPr>
          <w:rFonts w:ascii="OrigGarmnd BT" w:hAnsi="OrigGarmnd BT"/>
          <w:u w:val="single"/>
        </w:rPr>
        <w:t>den</w:t>
      </w:r>
      <w:bookmarkStart w:id="0" w:name="_Toc128393595"/>
      <w:r w:rsidRPr="002A68C6">
        <w:rPr>
          <w:rFonts w:ascii="OrigGarmnd BT" w:hAnsi="OrigGarmnd BT"/>
          <w:u w:val="single"/>
        </w:rPr>
        <w:t xml:space="preserve"> </w:t>
      </w:r>
      <w:r w:rsidRPr="002A68C6">
        <w:rPr>
          <w:rFonts w:ascii="OrigGarmnd BT" w:hAnsi="OrigGarmnd BT"/>
          <w:sz w:val="24"/>
          <w:szCs w:val="24"/>
          <w:u w:val="single"/>
        </w:rPr>
        <w:t>20 juni 2011</w:t>
      </w:r>
    </w:p>
    <w:p w:rsidR="002329E0" w:rsidRPr="002A68C6" w:rsidRDefault="002329E0" w:rsidP="002329E0">
      <w:pPr>
        <w:rPr>
          <w:rFonts w:ascii="OrigGarmnd BT" w:hAnsi="OrigGarmnd BT"/>
          <w:sz w:val="24"/>
          <w:szCs w:val="24"/>
        </w:rPr>
      </w:pPr>
      <w:bookmarkStart w:id="1" w:name="_Toc150232148"/>
      <w:bookmarkStart w:id="2" w:name="_Toc150242355"/>
      <w:bookmarkEnd w:id="0"/>
    </w:p>
    <w:p w:rsidR="002329E0" w:rsidRPr="002A68C6" w:rsidRDefault="002329E0" w:rsidP="002329E0">
      <w:pPr>
        <w:rPr>
          <w:rFonts w:ascii="OrigGarmnd BT" w:hAnsi="OrigGarmnd BT"/>
          <w:b/>
          <w:bCs/>
          <w:sz w:val="24"/>
          <w:szCs w:val="24"/>
          <w:u w:val="single"/>
        </w:rPr>
      </w:pPr>
      <w:r w:rsidRPr="002A68C6">
        <w:rPr>
          <w:rFonts w:ascii="OrigGarmnd BT" w:hAnsi="OrigGarmnd BT"/>
          <w:b/>
          <w:bCs/>
          <w:sz w:val="24"/>
          <w:szCs w:val="24"/>
          <w:u w:val="single"/>
        </w:rPr>
        <w:t>Utrikesministrarnas möte</w:t>
      </w:r>
    </w:p>
    <w:p w:rsidR="002329E0" w:rsidRPr="002A68C6" w:rsidRDefault="002329E0" w:rsidP="002329E0">
      <w:pPr>
        <w:rPr>
          <w:rFonts w:ascii="OrigGarmnd BT" w:hAnsi="OrigGarmnd BT"/>
          <w:bCs/>
          <w:sz w:val="24"/>
          <w:szCs w:val="24"/>
        </w:rPr>
      </w:pPr>
    </w:p>
    <w:p w:rsidR="002329E0" w:rsidRPr="002A68C6" w:rsidRDefault="002329E0" w:rsidP="002329E0">
      <w:pPr>
        <w:rPr>
          <w:rFonts w:ascii="OrigGarmnd BT" w:hAnsi="OrigGarmnd BT"/>
          <w:b/>
          <w:bCs/>
          <w:sz w:val="24"/>
          <w:szCs w:val="24"/>
        </w:rPr>
      </w:pPr>
      <w:r w:rsidRPr="002A68C6">
        <w:rPr>
          <w:rFonts w:ascii="OrigGarmnd BT" w:hAnsi="OrigGarmnd BT"/>
          <w:b/>
          <w:bCs/>
          <w:sz w:val="24"/>
          <w:szCs w:val="24"/>
        </w:rPr>
        <w:t>1. Godkännande av den preliminära dagordningen</w:t>
      </w:r>
      <w:bookmarkEnd w:id="1"/>
      <w:bookmarkEnd w:id="2"/>
    </w:p>
    <w:p w:rsidR="002329E0" w:rsidRPr="002A68C6" w:rsidRDefault="002329E0" w:rsidP="002329E0">
      <w:pPr>
        <w:rPr>
          <w:rFonts w:ascii="OrigGarmnd BT" w:hAnsi="OrigGarmnd BT"/>
          <w:bCs/>
          <w:sz w:val="24"/>
          <w:szCs w:val="24"/>
        </w:rPr>
      </w:pPr>
    </w:p>
    <w:p w:rsidR="002329E0" w:rsidRPr="002A68C6" w:rsidRDefault="002329E0" w:rsidP="002329E0">
      <w:pPr>
        <w:spacing w:line="320" w:lineRule="exact"/>
        <w:rPr>
          <w:rFonts w:ascii="OrigGarmnd BT" w:hAnsi="OrigGarmnd BT"/>
          <w:b/>
          <w:sz w:val="24"/>
          <w:szCs w:val="24"/>
        </w:rPr>
      </w:pPr>
      <w:r w:rsidRPr="002A68C6">
        <w:rPr>
          <w:rFonts w:ascii="OrigGarmnd BT" w:hAnsi="OrigGarmnd BT"/>
          <w:b/>
          <w:sz w:val="24"/>
          <w:szCs w:val="24"/>
        </w:rPr>
        <w:t>2. Godkännande av A-punktslistan</w:t>
      </w:r>
    </w:p>
    <w:p w:rsidR="002329E0" w:rsidRPr="002A68C6" w:rsidRDefault="002329E0" w:rsidP="002329E0">
      <w:pPr>
        <w:spacing w:line="320" w:lineRule="exact"/>
        <w:rPr>
          <w:rFonts w:ascii="OrigGarmnd BT" w:hAnsi="OrigGarmnd BT"/>
          <w:b/>
          <w:sz w:val="24"/>
          <w:szCs w:val="24"/>
        </w:rPr>
      </w:pPr>
    </w:p>
    <w:p w:rsidR="002329E0" w:rsidRPr="002A68C6" w:rsidRDefault="002329E0" w:rsidP="002329E0">
      <w:pPr>
        <w:spacing w:line="320" w:lineRule="exact"/>
        <w:rPr>
          <w:rFonts w:ascii="OrigGarmnd BT" w:hAnsi="OrigGarmnd BT"/>
          <w:b/>
          <w:sz w:val="24"/>
          <w:szCs w:val="24"/>
        </w:rPr>
      </w:pPr>
      <w:r w:rsidRPr="002A68C6">
        <w:rPr>
          <w:rFonts w:ascii="OrigGarmnd BT" w:hAnsi="OrigGarmnd BT"/>
          <w:b/>
          <w:sz w:val="24"/>
          <w:szCs w:val="24"/>
        </w:rPr>
        <w:t>3. Sudan</w:t>
      </w:r>
    </w:p>
    <w:p w:rsidR="002329E0" w:rsidRPr="002A68C6" w:rsidRDefault="002329E0" w:rsidP="002329E0">
      <w:pPr>
        <w:rPr>
          <w:rFonts w:ascii="OrigGarmnd BT" w:hAnsi="OrigGarmnd BT"/>
          <w:i/>
          <w:sz w:val="24"/>
          <w:szCs w:val="24"/>
        </w:rPr>
      </w:pPr>
      <w:r w:rsidRPr="002A68C6">
        <w:rPr>
          <w:rFonts w:ascii="OrigGarmnd BT" w:hAnsi="OrigGarmnd BT"/>
          <w:i/>
          <w:sz w:val="24"/>
          <w:szCs w:val="24"/>
        </w:rPr>
        <w:t>Diskussions- och beslutspunkt</w:t>
      </w:r>
    </w:p>
    <w:p w:rsidR="002329E0" w:rsidRPr="002A68C6" w:rsidRDefault="002329E0" w:rsidP="002329E0">
      <w:pPr>
        <w:rPr>
          <w:rFonts w:ascii="OrigGarmnd BT" w:hAnsi="OrigGarmnd BT"/>
          <w:sz w:val="24"/>
          <w:szCs w:val="24"/>
        </w:rPr>
      </w:pPr>
    </w:p>
    <w:p w:rsidR="002329E0" w:rsidRPr="002A68C6" w:rsidRDefault="002329E0" w:rsidP="002329E0">
      <w:pPr>
        <w:rPr>
          <w:rFonts w:ascii="OrigGarmnd BT" w:hAnsi="OrigGarmnd BT"/>
          <w:sz w:val="24"/>
          <w:szCs w:val="24"/>
        </w:rPr>
      </w:pPr>
      <w:r w:rsidRPr="002A68C6">
        <w:rPr>
          <w:rFonts w:ascii="OrigGarmnd BT" w:hAnsi="OrigGarmnd BT"/>
          <w:sz w:val="24"/>
          <w:szCs w:val="24"/>
        </w:rPr>
        <w:t xml:space="preserve">HR Ashton och EU:s särskilda representant för Sudan förväntas presentera ett förslag på samlat EU-engagemang i och för norra Sudan och Sydsudan efter dess självständighetsförklaring den 9 juli. På basis av detta förväntas rådsslutsatser antas. </w:t>
      </w:r>
    </w:p>
    <w:p w:rsidR="002329E0" w:rsidRPr="002A68C6" w:rsidRDefault="002329E0" w:rsidP="002329E0">
      <w:pPr>
        <w:rPr>
          <w:rFonts w:ascii="OrigGarmnd BT" w:hAnsi="OrigGarmnd BT"/>
          <w:sz w:val="24"/>
          <w:szCs w:val="24"/>
        </w:rPr>
      </w:pPr>
    </w:p>
    <w:p w:rsidR="002329E0" w:rsidRPr="002A68C6" w:rsidRDefault="002329E0" w:rsidP="002329E0">
      <w:pPr>
        <w:rPr>
          <w:rFonts w:ascii="OrigGarmnd BT" w:hAnsi="OrigGarmnd BT"/>
          <w:sz w:val="24"/>
          <w:szCs w:val="24"/>
        </w:rPr>
      </w:pPr>
      <w:r w:rsidRPr="002A68C6">
        <w:rPr>
          <w:rFonts w:ascii="OrigGarmnd BT" w:hAnsi="OrigGarmnd BT"/>
          <w:sz w:val="24"/>
          <w:szCs w:val="24"/>
          <w:u w:val="single"/>
        </w:rPr>
        <w:t>Regeringens ståndpunkt</w:t>
      </w:r>
      <w:r w:rsidRPr="002A68C6">
        <w:rPr>
          <w:rFonts w:ascii="OrigGarmnd BT" w:hAnsi="OrigGarmnd BT"/>
          <w:sz w:val="24"/>
          <w:szCs w:val="24"/>
        </w:rPr>
        <w:t xml:space="preserve">: Regeringen stödjer ett samordnat EU-engagemang i både Sydsudan och norra Sudan efter den förväntade delningen den 9 juli. Det är viktigt att EU bidrar till en fredlig och bestående lösning av de utestående frågorna. Sverige verkar för ett effektivt EU-stöd under FN:s samordnade ledning för att bygga en demokratisk, fredlig och hållbar stat i Sydsudan samt för att bidra till fredlig och fruktbar samexistens mellan de två nya grannstaterna. </w:t>
      </w:r>
    </w:p>
    <w:p w:rsidR="002329E0" w:rsidRPr="002A68C6" w:rsidRDefault="002329E0" w:rsidP="002329E0">
      <w:pPr>
        <w:spacing w:line="320" w:lineRule="exact"/>
        <w:rPr>
          <w:rFonts w:ascii="OrigGarmnd BT" w:hAnsi="OrigGarmnd BT"/>
          <w:b/>
          <w:sz w:val="24"/>
          <w:szCs w:val="24"/>
        </w:rPr>
      </w:pPr>
    </w:p>
    <w:p w:rsidR="002329E0" w:rsidRPr="002A68C6" w:rsidRDefault="002329E0" w:rsidP="002329E0">
      <w:pPr>
        <w:spacing w:line="320" w:lineRule="exact"/>
        <w:rPr>
          <w:rFonts w:ascii="OrigGarmnd BT" w:hAnsi="OrigGarmnd BT"/>
          <w:b/>
          <w:sz w:val="24"/>
          <w:szCs w:val="24"/>
        </w:rPr>
      </w:pPr>
      <w:r w:rsidRPr="002A68C6">
        <w:rPr>
          <w:rFonts w:ascii="OrigGarmnd BT" w:hAnsi="OrigGarmnd BT"/>
          <w:b/>
          <w:sz w:val="24"/>
          <w:szCs w:val="24"/>
        </w:rPr>
        <w:t>4. Västra Balkan</w:t>
      </w:r>
    </w:p>
    <w:p w:rsidR="002329E0" w:rsidRPr="002A68C6" w:rsidRDefault="002329E0" w:rsidP="002329E0">
      <w:pPr>
        <w:spacing w:line="320" w:lineRule="exact"/>
        <w:rPr>
          <w:rFonts w:ascii="OrigGarmnd BT" w:hAnsi="OrigGarmnd BT"/>
          <w:i/>
          <w:sz w:val="24"/>
          <w:szCs w:val="24"/>
        </w:rPr>
      </w:pPr>
      <w:r w:rsidRPr="002A68C6">
        <w:rPr>
          <w:rFonts w:ascii="OrigGarmnd BT" w:hAnsi="OrigGarmnd BT"/>
          <w:i/>
          <w:sz w:val="24"/>
          <w:szCs w:val="24"/>
        </w:rPr>
        <w:t>Diskussions- och beslutspunkt</w:t>
      </w:r>
    </w:p>
    <w:p w:rsidR="002329E0" w:rsidRPr="002A68C6" w:rsidRDefault="002329E0" w:rsidP="002329E0">
      <w:pPr>
        <w:spacing w:line="320" w:lineRule="exact"/>
        <w:rPr>
          <w:rFonts w:ascii="OrigGarmnd BT" w:hAnsi="OrigGarmnd BT"/>
          <w:sz w:val="24"/>
          <w:szCs w:val="24"/>
        </w:rPr>
      </w:pPr>
    </w:p>
    <w:p w:rsidR="002329E0" w:rsidRPr="002A68C6" w:rsidRDefault="002329E0" w:rsidP="002329E0">
      <w:pPr>
        <w:pStyle w:val="Brdtext1"/>
        <w:ind w:right="72"/>
        <w:rPr>
          <w:szCs w:val="24"/>
        </w:rPr>
      </w:pPr>
      <w:r w:rsidRPr="002A68C6">
        <w:rPr>
          <w:szCs w:val="24"/>
        </w:rPr>
        <w:t xml:space="preserve">Rådet kommer att diskutera Västra Balkan med huvudfokus på Albanien. </w:t>
      </w:r>
    </w:p>
    <w:p w:rsidR="002329E0" w:rsidRPr="002A68C6" w:rsidRDefault="002329E0" w:rsidP="002329E0">
      <w:pPr>
        <w:pStyle w:val="Brdtext1"/>
        <w:ind w:right="72"/>
        <w:rPr>
          <w:szCs w:val="24"/>
        </w:rPr>
      </w:pPr>
    </w:p>
    <w:p w:rsidR="002329E0" w:rsidRPr="002A68C6" w:rsidRDefault="002329E0" w:rsidP="002329E0">
      <w:pPr>
        <w:pStyle w:val="Brdtext1"/>
        <w:ind w:right="72"/>
        <w:rPr>
          <w:szCs w:val="24"/>
        </w:rPr>
      </w:pPr>
      <w:r w:rsidRPr="002A68C6">
        <w:rPr>
          <w:szCs w:val="24"/>
        </w:rPr>
        <w:t>Det ovissa politiska läget efter lokalvalen i Albanien den 8 maj och framför allt konsekvenserna av det mycket</w:t>
      </w:r>
      <w:r w:rsidRPr="002A68C6">
        <w:rPr>
          <w:b/>
          <w:szCs w:val="24"/>
        </w:rPr>
        <w:t xml:space="preserve"> </w:t>
      </w:r>
      <w:r w:rsidRPr="002A68C6">
        <w:rPr>
          <w:szCs w:val="24"/>
        </w:rPr>
        <w:t xml:space="preserve"> jämna resultatet i borgmästarvalet i Tirana, kommer att stå i centrum för diskussionerna. Rådsslutsatser förväntas antas. </w:t>
      </w:r>
    </w:p>
    <w:p w:rsidR="002329E0" w:rsidRPr="002A68C6" w:rsidRDefault="002329E0" w:rsidP="002329E0">
      <w:pPr>
        <w:pStyle w:val="Brdtext1"/>
        <w:ind w:right="72"/>
        <w:rPr>
          <w:szCs w:val="24"/>
        </w:rPr>
      </w:pPr>
    </w:p>
    <w:p w:rsidR="002329E0" w:rsidRPr="002A68C6" w:rsidRDefault="002329E0" w:rsidP="002329E0">
      <w:pPr>
        <w:pStyle w:val="Brdtext1"/>
        <w:ind w:right="72"/>
        <w:rPr>
          <w:szCs w:val="24"/>
        </w:rPr>
      </w:pPr>
      <w:r w:rsidRPr="002A68C6">
        <w:rPr>
          <w:szCs w:val="24"/>
        </w:rPr>
        <w:t>Även andra frågor som rör Västra Balkan kan komma att tas upp, såsom gripandet av Mladic, eftervalsläget i Makedonien och Ashtons resa i regionen.</w:t>
      </w:r>
    </w:p>
    <w:p w:rsidR="002329E0" w:rsidRPr="002A68C6" w:rsidRDefault="002329E0" w:rsidP="002329E0">
      <w:pPr>
        <w:pStyle w:val="Brdtext1"/>
        <w:ind w:right="72"/>
        <w:rPr>
          <w:szCs w:val="24"/>
        </w:rPr>
      </w:pPr>
    </w:p>
    <w:p w:rsidR="002329E0" w:rsidRPr="002A68C6" w:rsidRDefault="002329E0" w:rsidP="002329E0">
      <w:pPr>
        <w:pStyle w:val="Brdtext1"/>
        <w:ind w:right="72"/>
      </w:pPr>
      <w:r w:rsidRPr="002A68C6">
        <w:rPr>
          <w:szCs w:val="24"/>
          <w:u w:val="single"/>
        </w:rPr>
        <w:t xml:space="preserve">Regeringens ståndpunkt: </w:t>
      </w:r>
      <w:r w:rsidRPr="002A68C6">
        <w:rPr>
          <w:szCs w:val="24"/>
        </w:rPr>
        <w:t xml:space="preserve">Regeringen </w:t>
      </w:r>
      <w:r w:rsidRPr="002A68C6">
        <w:t>anser det vara angeläget att EU enas om ett samstämmigt, konsoliderat och aktivt agerande för att förmå parterna i Al</w:t>
      </w:r>
      <w:r w:rsidRPr="002A68C6">
        <w:lastRenderedPageBreak/>
        <w:t xml:space="preserve">banien att upprätta en konstruktiv politisk dialog i syfte att skapa möjligheter för en solid reformprocess och en återupptagen och aktiv EU-integration. Tydliga budskap bör framföras till de albanska politiska företrädarna att överklagandeprocessen måste vara transparent, oberoende och i enlighet med lagens föreskrifter och att officiellt valresultat måste inväntas och respekteras. </w:t>
      </w:r>
    </w:p>
    <w:p w:rsidR="002329E0" w:rsidRPr="002A68C6" w:rsidRDefault="002329E0" w:rsidP="002329E0">
      <w:pPr>
        <w:pStyle w:val="Brdtext1"/>
        <w:ind w:right="72"/>
      </w:pPr>
    </w:p>
    <w:p w:rsidR="002329E0" w:rsidRPr="002A68C6" w:rsidRDefault="002329E0" w:rsidP="002329E0">
      <w:pPr>
        <w:pStyle w:val="Brdtext1"/>
        <w:ind w:right="72"/>
        <w:rPr>
          <w:szCs w:val="24"/>
        </w:rPr>
      </w:pPr>
      <w:r w:rsidRPr="002A68C6">
        <w:t>Gripandet och överlämnandet av Mladic till ICTY i Haag är ett viktigt steg för försoningsprocessen på Västra Balkan och för Serbiens EU-närmandeprocess.</w:t>
      </w:r>
    </w:p>
    <w:p w:rsidR="002329E0" w:rsidRPr="002A68C6" w:rsidRDefault="002329E0" w:rsidP="002329E0">
      <w:pPr>
        <w:pStyle w:val="Brdtext1"/>
        <w:ind w:right="72"/>
        <w:rPr>
          <w:szCs w:val="24"/>
        </w:rPr>
      </w:pPr>
    </w:p>
    <w:p w:rsidR="002329E0" w:rsidRPr="002A68C6" w:rsidRDefault="002329E0" w:rsidP="002329E0">
      <w:pPr>
        <w:spacing w:line="320" w:lineRule="exact"/>
        <w:rPr>
          <w:rFonts w:ascii="OrigGarmnd BT" w:hAnsi="OrigGarmnd BT"/>
          <w:b/>
          <w:sz w:val="24"/>
          <w:szCs w:val="24"/>
        </w:rPr>
      </w:pPr>
      <w:r w:rsidRPr="002A68C6">
        <w:rPr>
          <w:rFonts w:ascii="OrigGarmnd BT" w:hAnsi="OrigGarmnd BT"/>
          <w:b/>
          <w:sz w:val="24"/>
          <w:szCs w:val="24"/>
        </w:rPr>
        <w:t>5. Vitryssland</w:t>
      </w:r>
    </w:p>
    <w:p w:rsidR="002329E0" w:rsidRPr="002A68C6" w:rsidRDefault="002329E0" w:rsidP="002329E0">
      <w:pPr>
        <w:rPr>
          <w:rFonts w:ascii="OrigGarmnd BT" w:hAnsi="OrigGarmnd BT"/>
          <w:i/>
          <w:sz w:val="24"/>
          <w:szCs w:val="24"/>
        </w:rPr>
      </w:pPr>
      <w:r w:rsidRPr="002A68C6">
        <w:rPr>
          <w:rFonts w:ascii="OrigGarmnd BT" w:hAnsi="OrigGarmnd BT"/>
          <w:i/>
          <w:sz w:val="24"/>
          <w:szCs w:val="24"/>
        </w:rPr>
        <w:t>Diskussions- och beslutspunkt</w:t>
      </w:r>
    </w:p>
    <w:p w:rsidR="002329E0" w:rsidRPr="002A68C6" w:rsidRDefault="002329E0" w:rsidP="002329E0">
      <w:pPr>
        <w:rPr>
          <w:rFonts w:ascii="OrigGarmnd BT" w:hAnsi="OrigGarmnd BT"/>
          <w:b/>
          <w:sz w:val="24"/>
          <w:szCs w:val="24"/>
        </w:rPr>
      </w:pPr>
    </w:p>
    <w:p w:rsidR="002329E0" w:rsidRPr="002A68C6" w:rsidRDefault="002329E0" w:rsidP="002329E0">
      <w:pPr>
        <w:rPr>
          <w:rFonts w:ascii="OrigGarmnd BT" w:hAnsi="OrigGarmnd BT"/>
          <w:sz w:val="24"/>
          <w:szCs w:val="24"/>
        </w:rPr>
      </w:pPr>
      <w:r w:rsidRPr="002A68C6">
        <w:rPr>
          <w:rFonts w:ascii="OrigGarmnd BT" w:hAnsi="OrigGarmnd BT"/>
          <w:sz w:val="24"/>
          <w:szCs w:val="24"/>
        </w:rPr>
        <w:t>Utrikesministrarna förväntas diskutera situationen i Vitryssland i ljuset av den fortsatt negativa politiska och ekonomiska utvecklingen, samt fatta beslut om ytterligare åtgärder riktade mot den vitryska regimen, i linje med rådsslutsatserna från FAC den 31 januari 2011.</w:t>
      </w:r>
    </w:p>
    <w:p w:rsidR="002329E0" w:rsidRPr="002A68C6" w:rsidRDefault="002329E0" w:rsidP="002329E0">
      <w:pPr>
        <w:rPr>
          <w:rFonts w:ascii="OrigGarmnd BT" w:hAnsi="OrigGarmnd BT"/>
          <w:sz w:val="24"/>
          <w:szCs w:val="24"/>
        </w:rPr>
      </w:pPr>
      <w:r w:rsidRPr="002A68C6">
        <w:rPr>
          <w:rFonts w:ascii="OrigGarmnd BT" w:hAnsi="OrigGarmnd BT"/>
          <w:sz w:val="24"/>
          <w:szCs w:val="24"/>
        </w:rPr>
        <w:t xml:space="preserve"> </w:t>
      </w:r>
    </w:p>
    <w:p w:rsidR="002329E0" w:rsidRPr="002A68C6" w:rsidRDefault="002329E0" w:rsidP="002329E0">
      <w:pPr>
        <w:rPr>
          <w:rFonts w:ascii="OrigGarmnd BT" w:hAnsi="OrigGarmnd BT"/>
          <w:sz w:val="24"/>
          <w:szCs w:val="24"/>
        </w:rPr>
      </w:pPr>
      <w:r w:rsidRPr="002A68C6">
        <w:rPr>
          <w:rFonts w:ascii="OrigGarmnd BT" w:hAnsi="OrigGarmnd BT"/>
          <w:sz w:val="24"/>
          <w:szCs w:val="24"/>
          <w:u w:val="single"/>
        </w:rPr>
        <w:t>Regeringens ståndpunkt:</w:t>
      </w:r>
      <w:r w:rsidRPr="002A68C6">
        <w:rPr>
          <w:rFonts w:ascii="OrigGarmnd BT" w:hAnsi="OrigGarmnd BT"/>
          <w:sz w:val="24"/>
          <w:szCs w:val="24"/>
        </w:rPr>
        <w:t xml:space="preserve"> Det fortsatt försämrade läget vad gäller mänskliga rättigheter i Vitryssland motiverar ytterligare åtgärder mot den vitryska regimen. Sverige stödjer förslaget om ytterligare åtgärder i sin helhet. Samtidigt är det viktigt att fortsatt markera vårt stöd till det vitryska folket, inklusive stöd till det civila samhället och mer mellanfolkliga kontakter. Sverige välkomnar därför särskilt att en inbjudan skickats till Vitryssland om att inleda förhandlingar om ett viseringsförenklingsavtal med EU för  vitryska medborgare</w:t>
      </w:r>
      <w:r w:rsidR="00637D06" w:rsidRPr="002A68C6">
        <w:rPr>
          <w:rFonts w:ascii="OrigGarmnd BT" w:hAnsi="OrigGarmnd BT"/>
          <w:sz w:val="24"/>
          <w:szCs w:val="24"/>
        </w:rPr>
        <w:t xml:space="preserve"> i gemen</w:t>
      </w:r>
      <w:r w:rsidRPr="002A68C6">
        <w:rPr>
          <w:rFonts w:ascii="OrigGarmnd BT" w:hAnsi="OrigGarmnd BT"/>
          <w:sz w:val="24"/>
          <w:szCs w:val="24"/>
        </w:rPr>
        <w:t>.</w:t>
      </w:r>
    </w:p>
    <w:p w:rsidR="002329E0" w:rsidRPr="002A68C6" w:rsidRDefault="002329E0" w:rsidP="002329E0">
      <w:pPr>
        <w:spacing w:line="320" w:lineRule="exact"/>
        <w:rPr>
          <w:rFonts w:ascii="OrigGarmnd BT" w:hAnsi="OrigGarmnd BT"/>
          <w:b/>
          <w:sz w:val="24"/>
          <w:szCs w:val="24"/>
        </w:rPr>
      </w:pPr>
    </w:p>
    <w:p w:rsidR="002329E0" w:rsidRPr="002A68C6" w:rsidRDefault="002329E0" w:rsidP="002329E0">
      <w:pPr>
        <w:spacing w:line="320" w:lineRule="exact"/>
        <w:rPr>
          <w:rFonts w:ascii="OrigGarmnd BT" w:hAnsi="OrigGarmnd BT"/>
          <w:b/>
          <w:sz w:val="24"/>
          <w:szCs w:val="24"/>
        </w:rPr>
      </w:pPr>
      <w:r w:rsidRPr="002A68C6">
        <w:rPr>
          <w:rFonts w:ascii="OrigGarmnd BT" w:hAnsi="OrigGarmnd BT"/>
          <w:b/>
          <w:sz w:val="24"/>
          <w:szCs w:val="24"/>
        </w:rPr>
        <w:t>6. Europeiska grannskapspolitiken – strategisk översyn</w:t>
      </w:r>
    </w:p>
    <w:p w:rsidR="002329E0" w:rsidRPr="002A68C6" w:rsidRDefault="002329E0" w:rsidP="002329E0">
      <w:pPr>
        <w:rPr>
          <w:rFonts w:ascii="OrigGarmnd BT" w:hAnsi="OrigGarmnd BT"/>
          <w:i/>
          <w:sz w:val="24"/>
          <w:szCs w:val="24"/>
        </w:rPr>
      </w:pPr>
      <w:r w:rsidRPr="002A68C6">
        <w:rPr>
          <w:rFonts w:ascii="OrigGarmnd BT" w:hAnsi="OrigGarmnd BT"/>
          <w:i/>
          <w:sz w:val="24"/>
          <w:szCs w:val="24"/>
        </w:rPr>
        <w:t>Diskussions- och beslutspunkt</w:t>
      </w:r>
    </w:p>
    <w:p w:rsidR="002329E0" w:rsidRPr="002A68C6" w:rsidRDefault="002329E0" w:rsidP="002329E0">
      <w:pPr>
        <w:rPr>
          <w:rFonts w:ascii="OrigGarmnd BT" w:hAnsi="OrigGarmnd BT"/>
          <w:i/>
          <w:sz w:val="24"/>
          <w:szCs w:val="24"/>
        </w:rPr>
      </w:pPr>
    </w:p>
    <w:p w:rsidR="002329E0" w:rsidRPr="002A68C6" w:rsidRDefault="002329E0" w:rsidP="002329E0">
      <w:pPr>
        <w:rPr>
          <w:rFonts w:ascii="OrigGarmnd BT" w:hAnsi="OrigGarmnd BT"/>
          <w:sz w:val="24"/>
          <w:szCs w:val="24"/>
        </w:rPr>
      </w:pPr>
      <w:r w:rsidRPr="002A68C6">
        <w:rPr>
          <w:rFonts w:ascii="OrigGarmnd BT" w:hAnsi="OrigGarmnd BT"/>
          <w:sz w:val="24"/>
          <w:szCs w:val="24"/>
        </w:rPr>
        <w:t xml:space="preserve">Utrikesministrarna förväntas diskutera EU:s grannskapspolitik (ENP, </w:t>
      </w:r>
      <w:r w:rsidRPr="002A68C6">
        <w:rPr>
          <w:rFonts w:ascii="OrigGarmnd BT" w:hAnsi="OrigGarmnd BT"/>
          <w:i/>
          <w:sz w:val="24"/>
          <w:szCs w:val="24"/>
        </w:rPr>
        <w:t xml:space="preserve"> European Neighbourhood Policy</w:t>
      </w:r>
      <w:r w:rsidRPr="002A68C6">
        <w:rPr>
          <w:rFonts w:ascii="OrigGarmnd BT" w:hAnsi="OrigGarmnd BT"/>
          <w:sz w:val="24"/>
          <w:szCs w:val="24"/>
        </w:rPr>
        <w:t xml:space="preserve">) och anta rådsslutsatser rörande Kommissionens och EEAS meddelande </w:t>
      </w:r>
      <w:r w:rsidRPr="002A68C6">
        <w:rPr>
          <w:rFonts w:ascii="OrigGarmnd BT" w:hAnsi="OrigGarmnd BT"/>
          <w:i/>
          <w:sz w:val="24"/>
          <w:szCs w:val="24"/>
        </w:rPr>
        <w:t xml:space="preserve">A new response to a changing neighbourhood, </w:t>
      </w:r>
      <w:r w:rsidRPr="002A68C6">
        <w:rPr>
          <w:rFonts w:ascii="OrigGarmnd BT" w:hAnsi="OrigGarmnd BT"/>
          <w:sz w:val="24"/>
          <w:szCs w:val="24"/>
        </w:rPr>
        <w:t>vilket  presenterades den 25 maj. Meddelandet har tagits fram på basis av en konsultationsprocess med EU:s medlemsstater och länderna i grannskapet</w:t>
      </w:r>
      <w:r w:rsidR="00637D06" w:rsidRPr="002A68C6">
        <w:rPr>
          <w:rFonts w:ascii="OrigGarmnd BT" w:hAnsi="OrigGarmnd BT"/>
          <w:sz w:val="24"/>
          <w:szCs w:val="24"/>
        </w:rPr>
        <w:t>.</w:t>
      </w:r>
      <w:r w:rsidRPr="002A68C6">
        <w:rPr>
          <w:rFonts w:ascii="OrigGarmnd BT" w:hAnsi="OrigGarmnd BT"/>
          <w:sz w:val="24"/>
          <w:szCs w:val="24"/>
        </w:rPr>
        <w:t xml:space="preserve"> </w:t>
      </w:r>
    </w:p>
    <w:p w:rsidR="002329E0" w:rsidRPr="002A68C6" w:rsidRDefault="002329E0" w:rsidP="002329E0">
      <w:pPr>
        <w:rPr>
          <w:rFonts w:ascii="OrigGarmnd BT" w:hAnsi="OrigGarmnd BT"/>
          <w:sz w:val="24"/>
          <w:szCs w:val="24"/>
        </w:rPr>
      </w:pPr>
      <w:r w:rsidRPr="002A68C6">
        <w:rPr>
          <w:rFonts w:ascii="OrigGarmnd BT" w:hAnsi="OrigGarmnd BT"/>
          <w:sz w:val="24"/>
          <w:szCs w:val="24"/>
          <w:u w:val="single"/>
        </w:rPr>
        <w:t xml:space="preserve">Regeringens ståndpunkt: </w:t>
      </w:r>
      <w:r w:rsidR="00637D06" w:rsidRPr="002A68C6">
        <w:rPr>
          <w:rFonts w:ascii="OrigGarmnd BT" w:hAnsi="OrigGarmnd BT"/>
          <w:sz w:val="24"/>
          <w:szCs w:val="24"/>
        </w:rPr>
        <w:t>Regeringen</w:t>
      </w:r>
      <w:r w:rsidRPr="002A68C6">
        <w:rPr>
          <w:rFonts w:ascii="OrigGarmnd BT" w:hAnsi="OrigGarmnd BT"/>
          <w:sz w:val="24"/>
          <w:szCs w:val="24"/>
        </w:rPr>
        <w:t xml:space="preserve"> välkomna</w:t>
      </w:r>
      <w:r w:rsidR="00637D06" w:rsidRPr="002A68C6">
        <w:rPr>
          <w:rFonts w:ascii="OrigGarmnd BT" w:hAnsi="OrigGarmnd BT"/>
          <w:sz w:val="24"/>
          <w:szCs w:val="24"/>
        </w:rPr>
        <w:t>r</w:t>
      </w:r>
      <w:r w:rsidRPr="002A68C6">
        <w:rPr>
          <w:rFonts w:ascii="OrigGarmnd BT" w:hAnsi="OrigGarmnd BT"/>
          <w:sz w:val="24"/>
          <w:szCs w:val="24"/>
        </w:rPr>
        <w:t xml:space="preserve"> meddelandets många positiva element, såsom tydligare krav på demokrati och mänskliga rättigheter, fokus på bredare samhällskontakter , stöd till en ekonomisk utveckling som kommer den bredare befolkningen till del, samt stärkta regionala dimensioner av ENP för öst och syd. Samtidigt är det viktigt att nya utgifter finansieras genom omfördelningar och att sunda budgetprinciper följs. </w:t>
      </w:r>
      <w:r w:rsidR="00903FA2" w:rsidRPr="002A68C6">
        <w:rPr>
          <w:rFonts w:ascii="OrigGarmnd BT" w:hAnsi="OrigGarmnd BT" w:cs="OrigGarmnd BT"/>
          <w:bCs/>
          <w:color w:val="000000"/>
          <w:sz w:val="24"/>
          <w:szCs w:val="24"/>
          <w:lang w:eastAsia="sv-SE"/>
        </w:rPr>
        <w:t>Sverige verkar särskilt för att länder som gör framsteg och har ambitiösa reform</w:t>
      </w:r>
      <w:r w:rsidR="00903FA2" w:rsidRPr="002A68C6">
        <w:rPr>
          <w:rFonts w:ascii="OrigGarmnd BT" w:hAnsi="OrigGarmnd BT" w:cs="OrigGarmnd BT"/>
          <w:bCs/>
          <w:color w:val="000000"/>
          <w:sz w:val="24"/>
          <w:szCs w:val="24"/>
          <w:lang w:eastAsia="sv-SE"/>
        </w:rPr>
        <w:softHyphen/>
        <w:t>program inom demokratisering, mänskliga rättigheter och rättsstat ska prioriteras vad gäller både politiska kontakter, ekonomisk integration och finansiellt stöd ("more-for-more"-principen).</w:t>
      </w:r>
    </w:p>
    <w:p w:rsidR="002329E0" w:rsidRPr="002A68C6" w:rsidRDefault="002329E0" w:rsidP="002329E0">
      <w:pPr>
        <w:spacing w:line="320" w:lineRule="exact"/>
        <w:rPr>
          <w:rFonts w:ascii="OrigGarmnd BT" w:hAnsi="OrigGarmnd BT"/>
          <w:b/>
          <w:sz w:val="24"/>
          <w:szCs w:val="24"/>
        </w:rPr>
      </w:pPr>
    </w:p>
    <w:p w:rsidR="002329E0" w:rsidRPr="002A68C6" w:rsidRDefault="002329E0" w:rsidP="002329E0">
      <w:pPr>
        <w:spacing w:line="320" w:lineRule="exact"/>
        <w:rPr>
          <w:rFonts w:ascii="OrigGarmnd BT" w:hAnsi="OrigGarmnd BT"/>
          <w:b/>
          <w:sz w:val="24"/>
          <w:szCs w:val="24"/>
        </w:rPr>
      </w:pPr>
    </w:p>
    <w:p w:rsidR="002329E0" w:rsidRPr="002A68C6" w:rsidRDefault="002329E0" w:rsidP="002329E0">
      <w:pPr>
        <w:spacing w:line="320" w:lineRule="exact"/>
        <w:rPr>
          <w:rFonts w:ascii="OrigGarmnd BT" w:hAnsi="OrigGarmnd BT"/>
          <w:b/>
          <w:sz w:val="24"/>
          <w:szCs w:val="24"/>
        </w:rPr>
      </w:pPr>
    </w:p>
    <w:p w:rsidR="002329E0" w:rsidRPr="002A68C6" w:rsidRDefault="002329E0" w:rsidP="002329E0">
      <w:pPr>
        <w:spacing w:line="320" w:lineRule="exact"/>
        <w:rPr>
          <w:rFonts w:ascii="OrigGarmnd BT" w:hAnsi="OrigGarmnd BT"/>
          <w:b/>
          <w:sz w:val="24"/>
          <w:szCs w:val="24"/>
        </w:rPr>
      </w:pPr>
      <w:r w:rsidRPr="002A68C6">
        <w:rPr>
          <w:rFonts w:ascii="OrigGarmnd BT" w:hAnsi="OrigGarmnd BT"/>
          <w:b/>
          <w:sz w:val="24"/>
          <w:szCs w:val="24"/>
        </w:rPr>
        <w:t>7. Södra grannskapet – den senaste utvecklingen</w:t>
      </w:r>
    </w:p>
    <w:p w:rsidR="002329E0" w:rsidRPr="002A68C6" w:rsidRDefault="002329E0" w:rsidP="002329E0">
      <w:pPr>
        <w:spacing w:line="320" w:lineRule="atLeast"/>
        <w:rPr>
          <w:rFonts w:ascii="OrigGarmnd BT" w:hAnsi="OrigGarmnd BT"/>
          <w:i/>
          <w:sz w:val="24"/>
          <w:szCs w:val="24"/>
        </w:rPr>
      </w:pPr>
      <w:r w:rsidRPr="002A68C6">
        <w:rPr>
          <w:rFonts w:ascii="OrigGarmnd BT" w:hAnsi="OrigGarmnd BT"/>
          <w:i/>
          <w:sz w:val="24"/>
          <w:szCs w:val="24"/>
        </w:rPr>
        <w:t>Diskussions- och ev. beslutspunkt</w:t>
      </w:r>
    </w:p>
    <w:p w:rsidR="002329E0" w:rsidRPr="002A68C6" w:rsidRDefault="002329E0" w:rsidP="002329E0">
      <w:pPr>
        <w:spacing w:line="320" w:lineRule="atLeast"/>
        <w:rPr>
          <w:rFonts w:ascii="OrigGarmnd BT" w:hAnsi="OrigGarmnd BT"/>
          <w:i/>
          <w:sz w:val="24"/>
          <w:szCs w:val="24"/>
        </w:rPr>
      </w:pPr>
    </w:p>
    <w:p w:rsidR="002329E0" w:rsidRPr="002A68C6" w:rsidRDefault="002329E0" w:rsidP="002329E0">
      <w:pPr>
        <w:pStyle w:val="RKnormal"/>
        <w:spacing w:line="320" w:lineRule="atLeast"/>
      </w:pPr>
      <w:r w:rsidRPr="002A68C6">
        <w:t>Rådet förväntas diskutera utvecklingen i södra grannskapet, troligtvis med särskilt fokus på Libyen och Syrien men ev. också Jemen. Rådet förväntas anta rådsslutsatser om Libyen och ev. kan rådsslutsatser också komma att antas om Syrien och Jemen.</w:t>
      </w:r>
    </w:p>
    <w:p w:rsidR="002329E0" w:rsidRPr="002A68C6" w:rsidRDefault="002329E0" w:rsidP="002329E0">
      <w:pPr>
        <w:pStyle w:val="RKnormal"/>
        <w:spacing w:line="320" w:lineRule="atLeast"/>
      </w:pPr>
    </w:p>
    <w:p w:rsidR="002329E0" w:rsidRPr="002A68C6" w:rsidRDefault="002329E0" w:rsidP="002329E0">
      <w:pPr>
        <w:pStyle w:val="RKnormal"/>
        <w:spacing w:line="320" w:lineRule="atLeast"/>
        <w:rPr>
          <w:b/>
        </w:rPr>
      </w:pPr>
      <w:r w:rsidRPr="002A68C6">
        <w:rPr>
          <w:b/>
        </w:rPr>
        <w:t xml:space="preserve">- </w:t>
      </w:r>
      <w:r w:rsidRPr="002A68C6">
        <w:rPr>
          <w:b/>
          <w:i/>
        </w:rPr>
        <w:t>Libyen</w:t>
      </w:r>
    </w:p>
    <w:p w:rsidR="002329E0" w:rsidRPr="002A68C6" w:rsidRDefault="002329E0" w:rsidP="002329E0">
      <w:pPr>
        <w:pStyle w:val="RKnormal"/>
        <w:spacing w:line="320" w:lineRule="atLeast"/>
      </w:pPr>
    </w:p>
    <w:p w:rsidR="002329E0" w:rsidRPr="002A68C6" w:rsidRDefault="002329E0" w:rsidP="002329E0">
      <w:pPr>
        <w:pStyle w:val="RKnormal"/>
        <w:spacing w:line="320" w:lineRule="atLeast"/>
        <w:rPr>
          <w:rFonts w:cs="OrigGarmnd BT"/>
          <w:color w:val="000000"/>
          <w:szCs w:val="24"/>
          <w:lang w:eastAsia="sv-SE"/>
        </w:rPr>
      </w:pPr>
      <w:r w:rsidRPr="002A68C6">
        <w:rPr>
          <w:u w:val="single"/>
        </w:rPr>
        <w:t>Regeringens ståndpunkt:</w:t>
      </w:r>
      <w:r w:rsidRPr="002A68C6">
        <w:t xml:space="preserve"> </w:t>
      </w:r>
      <w:r w:rsidRPr="002A68C6">
        <w:rPr>
          <w:rFonts w:cs="OrigGarmnd BT"/>
          <w:color w:val="000000"/>
          <w:szCs w:val="24"/>
          <w:lang w:eastAsia="sv-SE"/>
        </w:rPr>
        <w:t>Det är viktigt att EU och dess medlemsstater fortsatt bidrar till genomförandet av säkerhetsrådsresolutionerna 1970 och 1973, till skydd för civilbefolkningen. EU ska, i samverkan med FN, NATO, AU och Arabförbundet, fortsatt upprätthålla politiskt, ekonomiskt och militärt tryck mot den libyska regimen i syfte att få till stånd en varaktig vapenvila och en politisk lösning på konflikten. När konflikten har avslutats är det angeläget att EU har beredskap för att långsiktigt bidra till en fredlig och demokratisk utveckling i Libyen. Regeringen välkomnar att planeringen för denna fas har inletts.</w:t>
      </w:r>
    </w:p>
    <w:p w:rsidR="002329E0" w:rsidRPr="002A68C6" w:rsidRDefault="002329E0" w:rsidP="002329E0">
      <w:pPr>
        <w:pStyle w:val="RKnormal"/>
        <w:spacing w:line="320" w:lineRule="atLeast"/>
      </w:pPr>
    </w:p>
    <w:p w:rsidR="002329E0" w:rsidRPr="002A68C6" w:rsidRDefault="002329E0" w:rsidP="002329E0">
      <w:pPr>
        <w:spacing w:line="320" w:lineRule="atLeast"/>
        <w:rPr>
          <w:rFonts w:ascii="OrigGarmnd BT" w:hAnsi="OrigGarmnd BT"/>
          <w:b/>
          <w:i/>
          <w:sz w:val="24"/>
          <w:szCs w:val="24"/>
        </w:rPr>
      </w:pPr>
      <w:r w:rsidRPr="002A68C6">
        <w:rPr>
          <w:rFonts w:ascii="OrigGarmnd BT" w:hAnsi="OrigGarmnd BT"/>
          <w:b/>
          <w:i/>
          <w:sz w:val="24"/>
          <w:szCs w:val="24"/>
        </w:rPr>
        <w:t>- Syrien</w:t>
      </w:r>
    </w:p>
    <w:p w:rsidR="002329E0" w:rsidRPr="002A68C6" w:rsidRDefault="002329E0" w:rsidP="002329E0">
      <w:pPr>
        <w:pStyle w:val="RKnormal"/>
        <w:spacing w:line="320" w:lineRule="atLeast"/>
      </w:pPr>
    </w:p>
    <w:p w:rsidR="002329E0" w:rsidRPr="002A68C6" w:rsidRDefault="002329E0" w:rsidP="002329E0">
      <w:pPr>
        <w:pStyle w:val="RKnormal"/>
        <w:spacing w:line="320" w:lineRule="atLeast"/>
        <w:rPr>
          <w:u w:val="single"/>
        </w:rPr>
      </w:pPr>
      <w:r w:rsidRPr="002A68C6">
        <w:rPr>
          <w:u w:val="single"/>
        </w:rPr>
        <w:t>Regeringens ståndpunkt:</w:t>
      </w:r>
      <w:r w:rsidRPr="002A68C6">
        <w:t xml:space="preserve"> Regeringen verkar för tydliga EU-budskap till den syriska statsledningen om att våldet omedelbart måste upphöra, att politiska reformer måste genomföras utan dröjsmål och att frihetsberövade måste släppas samt att MR-övergrepp utreds och ansvariga ställs inför rätta. Regeringen stödjer EU:s beredskap att införa ytterligare sanktioner i ljuset av händelseutvecklingen i landet.</w:t>
      </w:r>
    </w:p>
    <w:p w:rsidR="002329E0" w:rsidRPr="002A68C6" w:rsidRDefault="002329E0" w:rsidP="002329E0">
      <w:pPr>
        <w:pStyle w:val="RKnormal"/>
        <w:spacing w:line="320" w:lineRule="atLeast"/>
        <w:rPr>
          <w:b/>
          <w:i/>
          <w:lang w:eastAsia="sv-SE"/>
        </w:rPr>
      </w:pPr>
    </w:p>
    <w:p w:rsidR="002329E0" w:rsidRPr="002A68C6" w:rsidRDefault="002329E0" w:rsidP="002329E0">
      <w:pPr>
        <w:pStyle w:val="RKnormal"/>
        <w:spacing w:line="320" w:lineRule="atLeast"/>
        <w:rPr>
          <w:b/>
          <w:i/>
          <w:lang w:eastAsia="sv-SE"/>
        </w:rPr>
      </w:pPr>
      <w:r w:rsidRPr="002A68C6">
        <w:rPr>
          <w:b/>
          <w:i/>
          <w:lang w:eastAsia="sv-SE"/>
        </w:rPr>
        <w:t>- Jemen</w:t>
      </w:r>
    </w:p>
    <w:p w:rsidR="002329E0" w:rsidRPr="002A68C6" w:rsidRDefault="002329E0" w:rsidP="002329E0">
      <w:pPr>
        <w:pStyle w:val="RKnormal"/>
        <w:spacing w:line="320" w:lineRule="atLeast"/>
        <w:rPr>
          <w:lang w:eastAsia="sv-SE"/>
        </w:rPr>
      </w:pPr>
    </w:p>
    <w:p w:rsidR="002329E0" w:rsidRPr="002A68C6" w:rsidRDefault="002329E0" w:rsidP="002329E0">
      <w:pPr>
        <w:pStyle w:val="RKnormal"/>
        <w:spacing w:line="320" w:lineRule="atLeast"/>
      </w:pPr>
      <w:r w:rsidRPr="002A68C6">
        <w:rPr>
          <w:u w:val="single"/>
          <w:lang w:eastAsia="sv-SE"/>
        </w:rPr>
        <w:t>Regeringens ståndpunkt:</w:t>
      </w:r>
      <w:r w:rsidRPr="002A68C6">
        <w:rPr>
          <w:lang w:eastAsia="sv-SE"/>
        </w:rPr>
        <w:t xml:space="preserve"> </w:t>
      </w:r>
      <w:r w:rsidRPr="002A68C6">
        <w:t xml:space="preserve">Samtliga relevanta parter måste förmås att lösa situationen genom dialog och därmed undvika risken för ett inbördeskrig. En övergångsfas bör snarast inledas för att skapa förutsättningar för en fredlig övergång till demokrati. Övergrepp mot fredliga demonstranter </w:t>
      </w:r>
      <w:r w:rsidR="00637D06" w:rsidRPr="002A68C6">
        <w:t xml:space="preserve">måste </w:t>
      </w:r>
      <w:r w:rsidRPr="002A68C6">
        <w:t>utredas och de skyldiga ställas inför rätta. Regeringen kommer verka för att tydliga budskap skickas till samtliga parter i Jemen om att iaktta återhållsamhet. Vikten av att mänskliga rättigheter respekteras till fullo måste understrykas.</w:t>
      </w:r>
    </w:p>
    <w:p w:rsidR="002329E0" w:rsidRPr="002A68C6" w:rsidRDefault="002329E0" w:rsidP="002329E0">
      <w:pPr>
        <w:spacing w:line="320" w:lineRule="exact"/>
        <w:rPr>
          <w:rFonts w:ascii="OrigGarmnd BT" w:hAnsi="OrigGarmnd BT"/>
          <w:b/>
          <w:sz w:val="24"/>
          <w:szCs w:val="24"/>
        </w:rPr>
      </w:pPr>
    </w:p>
    <w:p w:rsidR="002329E0" w:rsidRPr="002A68C6" w:rsidRDefault="002329E0" w:rsidP="002329E0">
      <w:pPr>
        <w:spacing w:line="320" w:lineRule="exact"/>
        <w:rPr>
          <w:rFonts w:ascii="OrigGarmnd BT" w:hAnsi="OrigGarmnd BT"/>
          <w:b/>
          <w:sz w:val="24"/>
          <w:szCs w:val="24"/>
        </w:rPr>
      </w:pPr>
    </w:p>
    <w:p w:rsidR="002329E0" w:rsidRPr="002A68C6" w:rsidRDefault="002329E0" w:rsidP="002329E0">
      <w:pPr>
        <w:spacing w:line="320" w:lineRule="exact"/>
        <w:rPr>
          <w:rFonts w:ascii="OrigGarmnd BT" w:hAnsi="OrigGarmnd BT"/>
          <w:b/>
          <w:sz w:val="24"/>
          <w:szCs w:val="24"/>
        </w:rPr>
      </w:pPr>
    </w:p>
    <w:p w:rsidR="002329E0" w:rsidRPr="002A68C6" w:rsidRDefault="002329E0" w:rsidP="002329E0">
      <w:pPr>
        <w:spacing w:line="320" w:lineRule="exact"/>
        <w:rPr>
          <w:rFonts w:ascii="OrigGarmnd BT" w:hAnsi="OrigGarmnd BT"/>
          <w:b/>
          <w:sz w:val="24"/>
          <w:szCs w:val="24"/>
        </w:rPr>
      </w:pPr>
    </w:p>
    <w:p w:rsidR="002329E0" w:rsidRPr="002A68C6" w:rsidRDefault="002329E0" w:rsidP="002329E0">
      <w:pPr>
        <w:spacing w:line="320" w:lineRule="exact"/>
        <w:rPr>
          <w:rFonts w:ascii="OrigGarmnd BT" w:hAnsi="OrigGarmnd BT"/>
          <w:b/>
          <w:sz w:val="24"/>
          <w:szCs w:val="24"/>
        </w:rPr>
      </w:pPr>
    </w:p>
    <w:p w:rsidR="002329E0" w:rsidRPr="002A68C6" w:rsidRDefault="002329E0" w:rsidP="002329E0">
      <w:pPr>
        <w:spacing w:line="320" w:lineRule="exact"/>
        <w:rPr>
          <w:rFonts w:ascii="OrigGarmnd BT" w:hAnsi="OrigGarmnd BT"/>
          <w:b/>
          <w:sz w:val="24"/>
          <w:szCs w:val="24"/>
        </w:rPr>
      </w:pPr>
    </w:p>
    <w:p w:rsidR="002329E0" w:rsidRPr="002A68C6" w:rsidRDefault="002329E0" w:rsidP="002329E0">
      <w:pPr>
        <w:spacing w:line="320" w:lineRule="exact"/>
        <w:rPr>
          <w:rFonts w:ascii="OrigGarmnd BT" w:hAnsi="OrigGarmnd BT"/>
          <w:b/>
          <w:sz w:val="24"/>
          <w:szCs w:val="24"/>
        </w:rPr>
      </w:pPr>
    </w:p>
    <w:p w:rsidR="002329E0" w:rsidRPr="002A68C6" w:rsidRDefault="002329E0" w:rsidP="002329E0">
      <w:pPr>
        <w:spacing w:line="320" w:lineRule="exact"/>
        <w:rPr>
          <w:rFonts w:ascii="OrigGarmnd BT" w:hAnsi="OrigGarmnd BT"/>
          <w:b/>
          <w:sz w:val="24"/>
          <w:szCs w:val="24"/>
        </w:rPr>
      </w:pPr>
      <w:r w:rsidRPr="002A68C6">
        <w:rPr>
          <w:rFonts w:ascii="OrigGarmnd BT" w:hAnsi="OrigGarmnd BT"/>
          <w:b/>
          <w:sz w:val="24"/>
          <w:szCs w:val="24"/>
        </w:rPr>
        <w:t>8. Fredsprocessen i Mellanöstern</w:t>
      </w:r>
    </w:p>
    <w:p w:rsidR="002329E0" w:rsidRPr="002A68C6" w:rsidRDefault="002329E0" w:rsidP="002329E0">
      <w:pPr>
        <w:spacing w:line="320" w:lineRule="atLeast"/>
        <w:rPr>
          <w:rFonts w:ascii="OrigGarmnd BT" w:hAnsi="OrigGarmnd BT"/>
          <w:i/>
          <w:sz w:val="24"/>
          <w:szCs w:val="24"/>
        </w:rPr>
      </w:pPr>
      <w:r w:rsidRPr="002A68C6">
        <w:rPr>
          <w:rFonts w:ascii="OrigGarmnd BT" w:hAnsi="OrigGarmnd BT"/>
          <w:i/>
          <w:sz w:val="24"/>
          <w:szCs w:val="24"/>
        </w:rPr>
        <w:t>Diskussionspunkt</w:t>
      </w:r>
    </w:p>
    <w:p w:rsidR="002329E0" w:rsidRPr="002A68C6" w:rsidRDefault="002329E0" w:rsidP="002329E0">
      <w:pPr>
        <w:spacing w:line="320" w:lineRule="atLeast"/>
        <w:rPr>
          <w:rFonts w:ascii="OrigGarmnd BT" w:hAnsi="OrigGarmnd BT"/>
          <w:sz w:val="24"/>
          <w:szCs w:val="24"/>
        </w:rPr>
      </w:pPr>
    </w:p>
    <w:p w:rsidR="002329E0" w:rsidRPr="002A68C6" w:rsidRDefault="002329E0" w:rsidP="002329E0">
      <w:pPr>
        <w:spacing w:line="320" w:lineRule="atLeast"/>
        <w:rPr>
          <w:rFonts w:ascii="OrigGarmnd BT" w:hAnsi="OrigGarmnd BT"/>
          <w:sz w:val="24"/>
          <w:szCs w:val="24"/>
        </w:rPr>
      </w:pPr>
      <w:r w:rsidRPr="002A68C6">
        <w:rPr>
          <w:rFonts w:ascii="OrigGarmnd BT" w:hAnsi="OrigGarmnd BT"/>
          <w:sz w:val="24"/>
          <w:szCs w:val="24"/>
        </w:rPr>
        <w:t xml:space="preserve">Rådet förväntas diskutera möjligheterna att återuppta fredssamtalen i ljuset av utvecklingen i regionen samt palestiniernas avsikt att </w:t>
      </w:r>
      <w:r w:rsidR="00637D06" w:rsidRPr="002A68C6">
        <w:rPr>
          <w:rFonts w:ascii="OrigGarmnd BT" w:hAnsi="OrigGarmnd BT"/>
          <w:sz w:val="24"/>
          <w:szCs w:val="24"/>
        </w:rPr>
        <w:t xml:space="preserve">vända sig </w:t>
      </w:r>
      <w:r w:rsidRPr="002A68C6">
        <w:rPr>
          <w:rFonts w:ascii="OrigGarmnd BT" w:hAnsi="OrigGarmnd BT"/>
          <w:sz w:val="24"/>
          <w:szCs w:val="24"/>
        </w:rPr>
        <w:t xml:space="preserve">till FN i september om inga framsteg görs. Diskussionen väntas i första hand fokusera på EU:s roll i Kvartetten inför dess eventuellt kommande  möte. </w:t>
      </w:r>
    </w:p>
    <w:p w:rsidR="002329E0" w:rsidRPr="002A68C6" w:rsidRDefault="002329E0" w:rsidP="002329E0">
      <w:pPr>
        <w:spacing w:line="320" w:lineRule="atLeast"/>
        <w:rPr>
          <w:rFonts w:ascii="OrigGarmnd BT" w:hAnsi="OrigGarmnd BT"/>
          <w:sz w:val="24"/>
          <w:szCs w:val="24"/>
        </w:rPr>
      </w:pPr>
    </w:p>
    <w:p w:rsidR="002329E0" w:rsidRPr="002A68C6" w:rsidRDefault="002329E0" w:rsidP="002329E0">
      <w:pPr>
        <w:spacing w:line="320" w:lineRule="atLeast"/>
        <w:rPr>
          <w:rFonts w:ascii="OrigGarmnd BT" w:hAnsi="OrigGarmnd BT"/>
          <w:sz w:val="24"/>
          <w:szCs w:val="24"/>
        </w:rPr>
      </w:pPr>
      <w:r w:rsidRPr="002A68C6">
        <w:rPr>
          <w:rFonts w:ascii="OrigGarmnd BT" w:hAnsi="OrigGarmnd BT"/>
          <w:sz w:val="24"/>
          <w:szCs w:val="24"/>
          <w:u w:val="single"/>
        </w:rPr>
        <w:t>Regeringens ståndpunkt</w:t>
      </w:r>
      <w:r w:rsidRPr="002A68C6">
        <w:rPr>
          <w:rFonts w:ascii="OrigGarmnd BT" w:hAnsi="OrigGarmnd BT"/>
          <w:sz w:val="24"/>
          <w:szCs w:val="24"/>
        </w:rPr>
        <w:t xml:space="preserve">: </w:t>
      </w:r>
      <w:r w:rsidRPr="002A68C6">
        <w:rPr>
          <w:rFonts w:ascii="OrigGarmnd BT" w:hAnsi="OrigGarmnd BT"/>
          <w:sz w:val="24"/>
          <w:szCs w:val="24"/>
          <w:lang w:eastAsia="sv-SE"/>
        </w:rPr>
        <w:t>S</w:t>
      </w:r>
      <w:r w:rsidRPr="002A68C6">
        <w:rPr>
          <w:rFonts w:ascii="OrigGarmnd BT" w:hAnsi="OrigGarmnd BT"/>
          <w:sz w:val="24"/>
          <w:szCs w:val="24"/>
        </w:rPr>
        <w:t xml:space="preserve">verige stödjer en fortsatt aktiv EU-roll i Kvartetten, utifrån rådsslutsatserna från december 2009, december 2010 och maj 2011, i syfte att bidra till återupptagna fredssamtal. Det är vidare angeläget att EU upprätthåller det politiska trycket för tillträde till Gaza, för humanitärt stöd, personer och handelsvaror, inkl. export. </w:t>
      </w:r>
    </w:p>
    <w:p w:rsidR="002329E0" w:rsidRPr="002A68C6" w:rsidRDefault="002329E0" w:rsidP="002329E0">
      <w:pPr>
        <w:spacing w:line="320" w:lineRule="exact"/>
        <w:rPr>
          <w:rFonts w:ascii="OrigGarmnd BT" w:hAnsi="OrigGarmnd BT"/>
          <w:b/>
          <w:sz w:val="24"/>
          <w:szCs w:val="24"/>
        </w:rPr>
      </w:pPr>
    </w:p>
    <w:p w:rsidR="002329E0" w:rsidRPr="002A68C6" w:rsidRDefault="002329E0" w:rsidP="002329E0">
      <w:pPr>
        <w:rPr>
          <w:rFonts w:ascii="OrigGarmnd BT" w:hAnsi="OrigGarmnd BT"/>
          <w:b/>
          <w:sz w:val="24"/>
          <w:szCs w:val="24"/>
        </w:rPr>
      </w:pPr>
      <w:r w:rsidRPr="002A68C6">
        <w:rPr>
          <w:rFonts w:ascii="OrigGarmnd BT" w:hAnsi="OrigGarmnd BT"/>
          <w:b/>
          <w:sz w:val="24"/>
          <w:szCs w:val="24"/>
        </w:rPr>
        <w:t>9. Övriga frågor</w:t>
      </w:r>
    </w:p>
    <w:p w:rsidR="002329E0" w:rsidRPr="002A68C6" w:rsidRDefault="002329E0" w:rsidP="002329E0"/>
    <w:p w:rsidR="002329E0" w:rsidRPr="002A68C6" w:rsidRDefault="002329E0"/>
    <w:sectPr w:rsidR="002329E0" w:rsidRPr="002A68C6">
      <w:footerReference w:type="even" r:id="rId6"/>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4B25" w:rsidRPr="002A68C6" w:rsidRDefault="00F84B25">
      <w:r w:rsidRPr="002A68C6">
        <w:separator/>
      </w:r>
    </w:p>
  </w:endnote>
  <w:endnote w:type="continuationSeparator" w:id="0">
    <w:p w:rsidR="00F84B25" w:rsidRPr="002A68C6" w:rsidRDefault="00F84B25">
      <w:r w:rsidRPr="002A68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FA2" w:rsidRPr="002A68C6" w:rsidRDefault="00903FA2" w:rsidP="002329E0">
    <w:pPr>
      <w:pStyle w:val="Sidfot"/>
      <w:framePr w:wrap="around" w:vAnchor="text" w:hAnchor="margin" w:xAlign="right" w:y="1"/>
      <w:rPr>
        <w:rStyle w:val="Sidnummer"/>
      </w:rPr>
    </w:pPr>
    <w:r w:rsidRPr="002A68C6">
      <w:rPr>
        <w:rStyle w:val="Sidnummer"/>
      </w:rPr>
      <w:fldChar w:fldCharType="begin" w:fldLock="1"/>
    </w:r>
    <w:r w:rsidRPr="002A68C6">
      <w:rPr>
        <w:rStyle w:val="Sidnummer"/>
      </w:rPr>
      <w:instrText xml:space="preserve">PAGE  </w:instrText>
    </w:r>
    <w:r w:rsidRPr="002A68C6">
      <w:rPr>
        <w:rStyle w:val="Sidnummer"/>
      </w:rPr>
      <w:fldChar w:fldCharType="end"/>
    </w:r>
  </w:p>
  <w:p w:rsidR="00903FA2" w:rsidRPr="002A68C6" w:rsidRDefault="00903FA2" w:rsidP="002329E0">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FA2" w:rsidRPr="002A68C6" w:rsidRDefault="00903FA2" w:rsidP="002329E0">
    <w:pPr>
      <w:pStyle w:val="Sidfot"/>
      <w:ind w:right="360"/>
    </w:pPr>
    <w:r w:rsidRPr="002A68C6">
      <w:rPr>
        <w:rStyle w:val="Sidnummer"/>
      </w:rPr>
      <w:tab/>
    </w:r>
    <w:r w:rsidRPr="002A68C6">
      <w:rPr>
        <w:rStyle w:val="Sidnummer"/>
      </w:rPr>
      <w:tab/>
    </w:r>
    <w:r w:rsidRPr="002A68C6">
      <w:rPr>
        <w:rStyle w:val="Sidnummer"/>
      </w:rPr>
      <w:fldChar w:fldCharType="begin" w:fldLock="1"/>
    </w:r>
    <w:r w:rsidRPr="002A68C6">
      <w:rPr>
        <w:rStyle w:val="Sidnummer"/>
      </w:rPr>
      <w:instrText xml:space="preserve"> PAGE </w:instrText>
    </w:r>
    <w:r w:rsidRPr="002A68C6">
      <w:rPr>
        <w:rStyle w:val="Sidnummer"/>
      </w:rPr>
      <w:fldChar w:fldCharType="separate"/>
    </w:r>
    <w:r w:rsidR="00A8287A" w:rsidRPr="002A68C6">
      <w:rPr>
        <w:rStyle w:val="Sidnummer"/>
      </w:rPr>
      <w:t>4</w:t>
    </w:r>
    <w:r w:rsidRPr="002A68C6">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4B25" w:rsidRPr="002A68C6" w:rsidRDefault="00F84B25">
      <w:r w:rsidRPr="002A68C6">
        <w:separator/>
      </w:r>
    </w:p>
  </w:footnote>
  <w:footnote w:type="continuationSeparator" w:id="0">
    <w:p w:rsidR="00F84B25" w:rsidRPr="002A68C6" w:rsidRDefault="00F84B25">
      <w:r w:rsidRPr="002A68C6">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E0"/>
    <w:rsid w:val="002329E0"/>
    <w:rsid w:val="002A68C6"/>
    <w:rsid w:val="005840AC"/>
    <w:rsid w:val="00586B72"/>
    <w:rsid w:val="00637D06"/>
    <w:rsid w:val="00903FA2"/>
    <w:rsid w:val="009D6EF5"/>
    <w:rsid w:val="00A8287A"/>
    <w:rsid w:val="00F84B2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9B5874-E37A-4E5B-AF4A-B46E0A8D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9E0"/>
    <w:pPr>
      <w:overflowPunct w:val="0"/>
      <w:autoSpaceDE w:val="0"/>
      <w:autoSpaceDN w:val="0"/>
      <w:adjustRightInd w:val="0"/>
      <w:textAlignment w:val="baseline"/>
    </w:pPr>
    <w:rPr>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2329E0"/>
  </w:style>
  <w:style w:type="paragraph" w:styleId="Sidfot">
    <w:name w:val="footer"/>
    <w:basedOn w:val="Normal"/>
    <w:rsid w:val="002329E0"/>
    <w:pPr>
      <w:tabs>
        <w:tab w:val="center" w:pos="4153"/>
        <w:tab w:val="right" w:pos="8306"/>
      </w:tabs>
    </w:pPr>
    <w:rPr>
      <w:sz w:val="24"/>
    </w:rPr>
  </w:style>
  <w:style w:type="paragraph" w:customStyle="1" w:styleId="UDrubrik">
    <w:name w:val="UDrubrik"/>
    <w:basedOn w:val="Normal"/>
    <w:next w:val="Normal"/>
    <w:rsid w:val="002329E0"/>
    <w:pPr>
      <w:spacing w:line="320" w:lineRule="exact"/>
    </w:pPr>
    <w:rPr>
      <w:rFonts w:ascii="Arial" w:hAnsi="Arial"/>
      <w:b/>
      <w:sz w:val="22"/>
    </w:rPr>
  </w:style>
  <w:style w:type="paragraph" w:customStyle="1" w:styleId="RKnormal">
    <w:name w:val="RKnormal"/>
    <w:basedOn w:val="Normal"/>
    <w:link w:val="RKnormalChar"/>
    <w:rsid w:val="002329E0"/>
    <w:pPr>
      <w:tabs>
        <w:tab w:val="left" w:pos="2835"/>
      </w:tabs>
      <w:spacing w:line="240" w:lineRule="atLeast"/>
    </w:pPr>
    <w:rPr>
      <w:rFonts w:ascii="OrigGarmnd BT" w:hAnsi="OrigGarmnd BT"/>
      <w:sz w:val="24"/>
    </w:rPr>
  </w:style>
  <w:style w:type="character" w:customStyle="1" w:styleId="RKnormalChar">
    <w:name w:val="RKnormal Char"/>
    <w:basedOn w:val="Standardstycketeckensnitt"/>
    <w:link w:val="RKnormal"/>
    <w:locked/>
    <w:rsid w:val="002329E0"/>
    <w:rPr>
      <w:rFonts w:ascii="OrigGarmnd BT" w:hAnsi="OrigGarmnd BT"/>
      <w:sz w:val="24"/>
      <w:lang w:val="sv-SE" w:eastAsia="en-US" w:bidi="ar-SA"/>
    </w:rPr>
  </w:style>
  <w:style w:type="paragraph" w:customStyle="1" w:styleId="Brdtext1">
    <w:name w:val="Brödtext1"/>
    <w:basedOn w:val="Normal"/>
    <w:link w:val="Brdtext1Char"/>
    <w:rsid w:val="002329E0"/>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link w:val="Brdtext1"/>
    <w:rsid w:val="002329E0"/>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950</Words>
  <Characters>5991</Characters>
  <Application>Microsoft Office Word</Application>
  <DocSecurity>4</DocSecurity>
  <Lines>157</Lines>
  <Paragraphs>49</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2011-06-13T12:06:00Z</cp:lastPrinted>
  <dcterms:created xsi:type="dcterms:W3CDTF">2025-12-18T04:00:00Z</dcterms:created>
  <dcterms:modified xsi:type="dcterms:W3CDTF">2025-12-18T04:00:00Z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Utrikesdepartementet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