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78B" w:rsidRPr="008B7189" w:rsidRDefault="007D378B">
      <w:pPr>
        <w:pStyle w:val="Hemstlrubrik"/>
      </w:pPr>
      <w:r w:rsidRPr="008B7189">
        <w:t>Förslag till riksdagsbeslut</w:t>
      </w:r>
    </w:p>
    <w:p w:rsidR="007D378B" w:rsidRPr="008B7189" w:rsidRDefault="007D378B">
      <w:pPr>
        <w:pStyle w:val="Hemstlatt"/>
        <w:ind w:left="0"/>
      </w:pPr>
      <w:r w:rsidRPr="008B7189">
        <w:t>Riksdagen tillkännager för regeringen som sin mening vad som anförs i motionen om kulturpolitiken som resurs för regional til</w:t>
      </w:r>
      <w:r w:rsidRPr="008B7189">
        <w:t>l</w:t>
      </w:r>
      <w:r w:rsidRPr="008B7189">
        <w:t>växt.</w:t>
      </w:r>
    </w:p>
    <w:p w:rsidR="007D378B" w:rsidRPr="008B7189" w:rsidRDefault="007D378B">
      <w:pPr>
        <w:pStyle w:val="Rubrik1"/>
      </w:pPr>
      <w:r w:rsidRPr="008B7189">
        <w:t>Motivering</w:t>
      </w:r>
    </w:p>
    <w:p w:rsidR="007D378B" w:rsidRPr="008B7189" w:rsidRDefault="007D378B">
      <w:r w:rsidRPr="008B7189">
        <w:t>Kulturpolitiken är viktig för att värna yttrandefriheten och för att skapa reella förutsättningar för alla att kunna ta del av kulturen. Alla måste ges möjlighet till delaktighet i kulturlivet, till kulturupplevelser och till eget skapande. G</w:t>
      </w:r>
      <w:r w:rsidRPr="008B7189">
        <w:t>e</w:t>
      </w:r>
      <w:r w:rsidRPr="008B7189">
        <w:t>nom att främja kulturell mångfald, konstnärlig förnyelse och kvalitet kan man motverka kommersialismens negativa verkningar. Det offentliga stödet till kulturen måste vara kvar i tillräcklig omfattning, om vi vill att det även i framtiden ska finnas kultur som står fri från beroende av rent kommersiella krafter.</w:t>
      </w:r>
    </w:p>
    <w:p w:rsidR="007D378B" w:rsidRPr="008B7189" w:rsidRDefault="007D378B">
      <w:pPr>
        <w:pStyle w:val="Normaltindrag"/>
      </w:pPr>
      <w:r w:rsidRPr="008B7189">
        <w:t>Det är viktigt att kulturen ges förutsättningar att vara en dynamisk, utm</w:t>
      </w:r>
      <w:r w:rsidRPr="008B7189">
        <w:t>a</w:t>
      </w:r>
      <w:r w:rsidRPr="008B7189">
        <w:t>nande och obunden kraft i samhället som därigenom kan bidra till att bevara och bruka kulturarvet. Genom att främja bildningssträvandena samt att främja internationellt kulturutbyte bidrar kulturen till att skapa intressanta och giva</w:t>
      </w:r>
      <w:r w:rsidRPr="008B7189">
        <w:t>n</w:t>
      </w:r>
      <w:r w:rsidRPr="008B7189">
        <w:t>de möten mellan olika kulturer inom landet.</w:t>
      </w:r>
    </w:p>
    <w:p w:rsidR="007D378B" w:rsidRPr="008B7189" w:rsidRDefault="007D378B">
      <w:pPr>
        <w:pStyle w:val="Normaltindrag"/>
      </w:pPr>
      <w:r w:rsidRPr="008B7189">
        <w:t>Insatser inom kulturområdet, för konstarterna, kulturarvet, musiken, desi</w:t>
      </w:r>
      <w:r w:rsidRPr="008B7189">
        <w:t>g</w:t>
      </w:r>
      <w:r w:rsidRPr="008B7189">
        <w:t>nen och medier, ger effekter när det gäller att stärka människors kreativitet, regioners attraktivitet och den lokala och regionala identiteten.</w:t>
      </w:r>
    </w:p>
    <w:p w:rsidR="007D378B" w:rsidRPr="008B7189" w:rsidRDefault="007D378B">
      <w:pPr>
        <w:pStyle w:val="Normaltindrag"/>
      </w:pPr>
      <w:r w:rsidRPr="008B7189">
        <w:t>Kulturen bidrar till att främja ett öppet, demokratiskt och nydanande kl</w:t>
      </w:r>
      <w:r w:rsidRPr="008B7189">
        <w:t>i</w:t>
      </w:r>
      <w:r w:rsidRPr="008B7189">
        <w:t>mat i en region och kan bidra till att stimulera entreprenörer till lokala insatser och utveckling av nya produkter. Genom att skapa nya former för mötespla</w:t>
      </w:r>
      <w:r w:rsidRPr="008B7189">
        <w:t>t</w:t>
      </w:r>
      <w:r w:rsidRPr="008B7189">
        <w:t>ser mellan människor, till exempel nätverk mellan företagare och aktiva ku</w:t>
      </w:r>
      <w:r w:rsidRPr="008B7189">
        <w:t>l</w:t>
      </w:r>
      <w:r w:rsidRPr="008B7189">
        <w:t>turskapare, kan kreativiteten utvecklas hos bägge parter. Kulturen frigör både kraft och idéer och inspirerar människor att utvecklas.</w:t>
      </w:r>
    </w:p>
    <w:p w:rsidR="007D378B" w:rsidRPr="008B7189" w:rsidRDefault="007D378B">
      <w:pPr>
        <w:pStyle w:val="Normaltindrag"/>
      </w:pPr>
      <w:r w:rsidRPr="008B7189">
        <w:lastRenderedPageBreak/>
        <w:t>Kulturen är en viktig faktor för att miljöer ska dra till sig företag och en</w:t>
      </w:r>
      <w:r w:rsidRPr="008B7189">
        <w:t>t</w:t>
      </w:r>
      <w:r w:rsidRPr="008B7189">
        <w:t>reprenörer. Det finns samband mellan en regions utveckling och begrepp som dynamik, förändringsbenägenhet, entreprenörskap och rörlighet. Förmågan att skapa någonting nytt är ofta kopplad till historiska traditioner, värderingar, tillgång till mötesplatser, förmåga till omvärldsorientering, gränsöverskrida</w:t>
      </w:r>
      <w:r w:rsidRPr="008B7189">
        <w:t>n</w:t>
      </w:r>
      <w:r w:rsidRPr="008B7189">
        <w:t>de och täta nätverk.</w:t>
      </w:r>
    </w:p>
    <w:p w:rsidR="007D378B" w:rsidRPr="008B7189" w:rsidRDefault="007D378B">
      <w:pPr>
        <w:pStyle w:val="Normaltindrag"/>
      </w:pPr>
      <w:r w:rsidRPr="008B7189">
        <w:t>Goda exempel på viktiga kulturella institutioner som har bidragit till att skapat dynamiska och stimulerande miljöer som i sin tur har bidragit till u</w:t>
      </w:r>
      <w:r w:rsidRPr="008B7189">
        <w:t>t</w:t>
      </w:r>
      <w:r w:rsidRPr="008B7189">
        <w:t>veckling av skogslänen är Länsmusiken, Dalhalla, Värmlandsoperan liksom Västerbottensteatern och Norrlandsoperan för att ta några exempel. För att denna utveckling ska få fortgå är det av största vikt att dessa kulturella instit</w:t>
      </w:r>
      <w:r w:rsidRPr="008B7189">
        <w:t>u</w:t>
      </w:r>
      <w:r w:rsidRPr="008B7189">
        <w:t>tioner även i framtiden får stöd till sin verksamhet.</w:t>
      </w:r>
    </w:p>
    <w:p w:rsidR="007D378B" w:rsidRPr="008B7189" w:rsidRDefault="007D378B">
      <w:pPr>
        <w:pStyle w:val="Normaltindrag"/>
      </w:pPr>
      <w:r w:rsidRPr="008B7189">
        <w:t>Här har kulturen en viktig styrka – en kraft som ger länkar mellan det fö</w:t>
      </w:r>
      <w:r w:rsidRPr="008B7189">
        <w:t>r</w:t>
      </w:r>
      <w:r w:rsidRPr="008B7189">
        <w:t>flutna och framtiden som kan få nya förmågor och synsätt att utvecklas. Detta har tagits till vara såväl i arbetet med EG:s strukturfondsprogram som i arb</w:t>
      </w:r>
      <w:r w:rsidRPr="008B7189">
        <w:t>e</w:t>
      </w:r>
      <w:r w:rsidRPr="008B7189">
        <w:t>tet med de regionala tillväxtavtalen.</w:t>
      </w:r>
    </w:p>
    <w:p w:rsidR="007D378B" w:rsidRPr="008B7189" w:rsidRDefault="007D378B">
      <w:pPr>
        <w:pStyle w:val="Normaltindrag"/>
      </w:pPr>
      <w:r w:rsidRPr="008B7189">
        <w:t>Projekt med kulturanknytning som får stöd genom strukturfonderna finns inom de flesta åtgärdsområden. Det vanligaste är att projekten återfinns inom åtgärder som inriktar sig på livsmiljö eller natur och kulturmiljö.</w:t>
      </w:r>
    </w:p>
    <w:p w:rsidR="007D378B" w:rsidRPr="008B7189" w:rsidRDefault="007D378B">
      <w:pPr>
        <w:pStyle w:val="Normaltindrag"/>
      </w:pPr>
      <w:r w:rsidRPr="008B7189">
        <w:t>Men även inom åtgärder som syftar till att utveckla företag och företaga</w:t>
      </w:r>
      <w:r w:rsidRPr="008B7189">
        <w:t>n</w:t>
      </w:r>
      <w:r w:rsidRPr="008B7189">
        <w:t>de och generella insatser för näringslivet finns ett stort antal projekt med klart uttalad kulturanknytning.</w:t>
      </w:r>
    </w:p>
    <w:p w:rsidR="007D378B" w:rsidRPr="008B7189" w:rsidRDefault="007D378B">
      <w:pPr>
        <w:pStyle w:val="Normaltindrag"/>
      </w:pPr>
      <w:r w:rsidRPr="008B7189">
        <w:t>På Europanivån lyfter man upp kulturpolitiken högt och satsningar på sk</w:t>
      </w:r>
      <w:r w:rsidRPr="008B7189">
        <w:t>a</w:t>
      </w:r>
      <w:r w:rsidRPr="008B7189">
        <w:t>pande av mötesplatser har hög prioritet. I Nuteks sammanfattningar över regionernas utveckling av turistnäringen är natur, kultur, mötesindustri och aktivitetsanläggningar viktiga attraktionskrafter för att många ska uppnå framgång.</w:t>
      </w:r>
    </w:p>
    <w:p w:rsidR="007D378B" w:rsidRPr="008B7189" w:rsidRDefault="007D378B">
      <w:pPr>
        <w:pStyle w:val="Normaltindrag"/>
      </w:pPr>
      <w:r w:rsidRPr="008B7189">
        <w:t>Att människor kan ta del av opera, teater och dans oavsett var man bor i vårt land är av stor vikt både för människorna och för regionernas utveckling. Framförallt är barnens rätt till kulturupplevelser av god kvalitet viktigt. Ku</w:t>
      </w:r>
      <w:r w:rsidRPr="008B7189">
        <w:t>l</w:t>
      </w:r>
      <w:r w:rsidRPr="008B7189">
        <w:t>turpolitiken berikar oss människor.</w:t>
      </w:r>
    </w:p>
    <w:p w:rsidR="007D378B" w:rsidRPr="008B7189" w:rsidRDefault="007D378B">
      <w:pPr>
        <w:pStyle w:val="Normaltindrag"/>
      </w:pPr>
      <w:r w:rsidRPr="008B7189">
        <w:t>Här är det viktigt att kulturen, särskilt i geografiskt vidsträckta län, finns tillgänglig även utanför residensstäderna. Kostnader för resor och övernat</w:t>
      </w:r>
      <w:r w:rsidRPr="008B7189">
        <w:t>t</w:t>
      </w:r>
      <w:r w:rsidRPr="008B7189">
        <w:t>ning kan leda till att många avstår från att ta del av kulturen om avstånden är för långa. Därför är det angeläget med nationellt ansvar för en sammanhållen kulturpolitik i hela Sverige. Människor oavsett bostadsort ska ha möjlighet att utöva kultur och ta del av kulturupplevelser.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189">
        <w:trPr>
          <w:cantSplit/>
        </w:trPr>
        <w:tc>
          <w:tcPr>
            <w:tcW w:w="3046" w:type="dxa"/>
          </w:tcPr>
          <w:p w:rsidR="007D378B" w:rsidRPr="008B7189" w:rsidRDefault="007D378B">
            <w:pPr>
              <w:pStyle w:val="UnderskriftDatum"/>
              <w:spacing w:before="240"/>
            </w:pPr>
            <w:r w:rsidRPr="008B7189">
              <w:t>Stockholm den 2 oktober 2007</w:t>
            </w:r>
          </w:p>
        </w:tc>
        <w:tc>
          <w:tcPr>
            <w:tcW w:w="3047" w:type="dxa"/>
          </w:tcPr>
          <w:p w:rsidR="007D378B" w:rsidRPr="008B7189" w:rsidRDefault="007D378B">
            <w:pPr>
              <w:pStyle w:val="Underskrifter"/>
              <w:spacing w:before="240"/>
            </w:pPr>
          </w:p>
        </w:tc>
      </w:tr>
      <w:tr w:rsidR="00000000" w:rsidRPr="008B7189">
        <w:trPr>
          <w:cantSplit/>
        </w:trPr>
        <w:tc>
          <w:tcPr>
            <w:tcW w:w="3046" w:type="dxa"/>
          </w:tcPr>
          <w:p w:rsidR="007D378B" w:rsidRPr="008B7189" w:rsidRDefault="007D378B">
            <w:pPr>
              <w:pStyle w:val="Underskrifter"/>
            </w:pPr>
            <w:r w:rsidRPr="008B7189">
              <w:t>Tommy Ternemar (s)</w:t>
            </w:r>
          </w:p>
        </w:tc>
        <w:tc>
          <w:tcPr>
            <w:tcW w:w="3046" w:type="dxa"/>
          </w:tcPr>
          <w:p w:rsidR="007D378B" w:rsidRPr="008B7189" w:rsidRDefault="007D378B">
            <w:pPr>
              <w:pStyle w:val="Underskrifter"/>
            </w:pPr>
          </w:p>
        </w:tc>
      </w:tr>
      <w:tr w:rsidR="00000000" w:rsidRPr="008B7189">
        <w:trPr>
          <w:cantSplit/>
        </w:trPr>
        <w:tc>
          <w:tcPr>
            <w:tcW w:w="3046" w:type="dxa"/>
          </w:tcPr>
          <w:p w:rsidR="007D378B" w:rsidRPr="008B7189" w:rsidRDefault="007D378B">
            <w:pPr>
              <w:pStyle w:val="Underskrifter"/>
            </w:pPr>
            <w:r w:rsidRPr="008B7189">
              <w:t>Britta Rådström (s)</w:t>
            </w:r>
          </w:p>
        </w:tc>
        <w:tc>
          <w:tcPr>
            <w:tcW w:w="3046" w:type="dxa"/>
          </w:tcPr>
          <w:p w:rsidR="007D378B" w:rsidRPr="008B7189" w:rsidRDefault="007D378B">
            <w:pPr>
              <w:pStyle w:val="Underskrifter"/>
            </w:pPr>
            <w:r w:rsidRPr="008B7189">
              <w:t>Hans Stenberg (s)</w:t>
            </w:r>
          </w:p>
        </w:tc>
      </w:tr>
      <w:tr w:rsidR="00000000" w:rsidRPr="008B7189">
        <w:trPr>
          <w:cantSplit/>
        </w:trPr>
        <w:tc>
          <w:tcPr>
            <w:tcW w:w="3046" w:type="dxa"/>
          </w:tcPr>
          <w:p w:rsidR="007D378B" w:rsidRPr="008B7189" w:rsidRDefault="007D378B">
            <w:pPr>
              <w:pStyle w:val="Underskrifter"/>
            </w:pPr>
            <w:r w:rsidRPr="008B7189">
              <w:t>Marita Ulvskog (s)</w:t>
            </w:r>
          </w:p>
        </w:tc>
        <w:tc>
          <w:tcPr>
            <w:tcW w:w="3046" w:type="dxa"/>
          </w:tcPr>
          <w:p w:rsidR="007D378B" w:rsidRPr="008B7189" w:rsidRDefault="007D378B">
            <w:pPr>
              <w:pStyle w:val="Underskrifter"/>
            </w:pPr>
            <w:r w:rsidRPr="008B7189">
              <w:t>Marie Nordén (s)</w:t>
            </w:r>
          </w:p>
        </w:tc>
      </w:tr>
      <w:tr w:rsidR="00000000" w:rsidRPr="008B7189">
        <w:trPr>
          <w:cantSplit/>
        </w:trPr>
        <w:tc>
          <w:tcPr>
            <w:tcW w:w="3046" w:type="dxa"/>
          </w:tcPr>
          <w:p w:rsidR="007D378B" w:rsidRPr="008B7189" w:rsidRDefault="007D378B">
            <w:pPr>
              <w:pStyle w:val="Underskrifter"/>
            </w:pPr>
            <w:r w:rsidRPr="008B7189">
              <w:t>Per Svedberg (s)</w:t>
            </w:r>
          </w:p>
        </w:tc>
        <w:tc>
          <w:tcPr>
            <w:tcW w:w="3046" w:type="dxa"/>
          </w:tcPr>
          <w:p w:rsidR="007D378B" w:rsidRPr="008B7189" w:rsidRDefault="007D378B">
            <w:pPr>
              <w:pStyle w:val="Underskrifter"/>
            </w:pPr>
            <w:r w:rsidRPr="008B7189">
              <w:t>Hannah Bergstedt (s)</w:t>
            </w:r>
          </w:p>
        </w:tc>
      </w:tr>
    </w:tbl>
    <w:p w:rsidR="007D378B" w:rsidRPr="008B7189" w:rsidRDefault="007D378B">
      <w:pPr>
        <w:pStyle w:val="Normaltindrag"/>
      </w:pPr>
    </w:p>
    <w:sectPr w:rsidR="007D378B" w:rsidRPr="008B71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78B" w:rsidRPr="008B7189" w:rsidRDefault="007D378B">
      <w:r w:rsidRPr="008B7189">
        <w:separator/>
      </w:r>
    </w:p>
  </w:endnote>
  <w:endnote w:type="continuationSeparator" w:id="0">
    <w:p w:rsidR="007D378B" w:rsidRPr="008B7189" w:rsidRDefault="007D378B">
      <w:r w:rsidRPr="008B7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8B7189">
    <w:pPr>
      <w:pStyle w:val="Sidfot"/>
    </w:pPr>
    <w:r w:rsidRPr="008B7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118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78B" w:rsidRDefault="007D3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78B" w:rsidRDefault="007D3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8B7189">
    <w:pPr>
      <w:pStyle w:val="Sidfot"/>
    </w:pPr>
    <w:r w:rsidRPr="008B7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467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78B" w:rsidRDefault="007D3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78B" w:rsidRDefault="007D3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8B7189">
    <w:pPr>
      <w:pStyle w:val="Sidfot"/>
    </w:pPr>
    <w:r w:rsidRPr="008B7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921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78B" w:rsidRDefault="007D3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78B" w:rsidRDefault="007D3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78B" w:rsidRPr="008B7189" w:rsidRDefault="007D378B">
      <w:r w:rsidRPr="008B7189">
        <w:separator/>
      </w:r>
    </w:p>
  </w:footnote>
  <w:footnote w:type="continuationSeparator" w:id="0">
    <w:p w:rsidR="007D378B" w:rsidRPr="008B7189" w:rsidRDefault="007D378B">
      <w:r w:rsidRPr="008B7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8B7189">
    <w:pPr>
      <w:pStyle w:val="Sidhuvud"/>
    </w:pPr>
    <w:r w:rsidRPr="008B7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088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78B" w:rsidRDefault="007D37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78B" w:rsidRDefault="007D37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8B7189">
    <w:pPr>
      <w:pStyle w:val="Sidhuvud"/>
    </w:pPr>
    <w:r w:rsidRPr="008B7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41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78B" w:rsidRDefault="007D37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78B" w:rsidRDefault="007D37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78B" w:rsidRPr="008B7189" w:rsidRDefault="007D378B">
    <w:pPr>
      <w:pStyle w:val="FSHNormal"/>
      <w:tabs>
        <w:tab w:val="right" w:pos="5840"/>
      </w:tabs>
    </w:pPr>
    <w:r w:rsidRPr="008B7189">
      <w:br/>
    </w:r>
    <w:r w:rsidRPr="008B7189">
      <w:fldChar w:fldCharType="begin" w:fldLock="1"/>
    </w:r>
    <w:r w:rsidRPr="008B7189">
      <w:instrText xml:space="preserve"> DOCPROPERTY</w:instrText>
    </w:r>
    <w:r w:rsidRPr="008B7189">
      <w:rPr>
        <w:sz w:val="18"/>
      </w:rPr>
      <w:instrText xml:space="preserve"> "YearUser" *\charformat </w:instrText>
    </w:r>
    <w:r w:rsidRPr="008B7189">
      <w:fldChar w:fldCharType="separate"/>
    </w:r>
    <w:r w:rsidRPr="008B7189">
      <w:t>2007/08</w:t>
    </w:r>
    <w:r w:rsidRPr="008B7189">
      <w:fldChar w:fldCharType="end"/>
    </w:r>
    <w:r w:rsidRPr="008B7189">
      <w:t xml:space="preserve"> </w:t>
    </w:r>
    <w:r w:rsidRPr="008B7189">
      <w:tab/>
      <w:t xml:space="preserve">mnr: </w:t>
    </w:r>
    <w:r w:rsidRPr="008B7189">
      <w:fldChar w:fldCharType="begin" w:fldLock="1"/>
    </w:r>
    <w:r w:rsidRPr="008B7189">
      <w:instrText xml:space="preserve"> DOCPROPERTY</w:instrText>
    </w:r>
    <w:r w:rsidRPr="008B7189">
      <w:rPr>
        <w:sz w:val="18"/>
      </w:rPr>
      <w:instrText xml:space="preserve"> "Motionsnummer" *\charformat </w:instrText>
    </w:r>
    <w:r w:rsidRPr="008B7189">
      <w:fldChar w:fldCharType="separate"/>
    </w:r>
    <w:r w:rsidRPr="008B7189">
      <w:t>Kr322</w:t>
    </w:r>
    <w:r w:rsidRPr="008B7189">
      <w:fldChar w:fldCharType="end"/>
    </w:r>
    <w:r w:rsidRPr="008B7189">
      <w:br/>
    </w:r>
    <w:r w:rsidRPr="008B7189">
      <w:fldChar w:fldCharType="begin" w:fldLock="1"/>
    </w:r>
    <w:r w:rsidRPr="008B7189">
      <w:instrText xml:space="preserve"> DOCPROPERTY</w:instrText>
    </w:r>
    <w:r w:rsidRPr="008B7189">
      <w:rPr>
        <w:sz w:val="18"/>
      </w:rPr>
      <w:instrText xml:space="preserve"> "Samling" *\charformat </w:instrText>
    </w:r>
    <w:r w:rsidRPr="008B7189">
      <w:fldChar w:fldCharType="end"/>
    </w:r>
    <w:r w:rsidRPr="008B7189">
      <w:tab/>
      <w:t xml:space="preserve">pnr: </w:t>
    </w:r>
    <w:r w:rsidRPr="008B7189">
      <w:fldChar w:fldCharType="begin" w:fldLock="1"/>
    </w:r>
    <w:r w:rsidRPr="008B7189">
      <w:instrText xml:space="preserve"> DOCPROPERTY</w:instrText>
    </w:r>
    <w:r w:rsidRPr="008B7189">
      <w:rPr>
        <w:sz w:val="18"/>
      </w:rPr>
      <w:instrText xml:space="preserve"> "Partinummer" *\charformat </w:instrText>
    </w:r>
    <w:r w:rsidRPr="008B7189">
      <w:fldChar w:fldCharType="separate"/>
    </w:r>
    <w:r w:rsidRPr="008B7189">
      <w:t>s45129</w:t>
    </w:r>
    <w:r w:rsidRPr="008B7189">
      <w:fldChar w:fldCharType="end"/>
    </w:r>
  </w:p>
  <w:p w:rsidR="007D378B" w:rsidRPr="008B7189" w:rsidRDefault="007D378B">
    <w:pPr>
      <w:pStyle w:val="FSHRub1"/>
    </w:pPr>
    <w:r w:rsidRPr="008B7189">
      <w:t>Motion till riksdagen</w:t>
    </w:r>
    <w:r w:rsidRPr="008B7189">
      <w:br/>
    </w:r>
    <w:r w:rsidRPr="008B7189">
      <w:fldChar w:fldCharType="begin" w:fldLock="1"/>
    </w:r>
    <w:r w:rsidRPr="008B7189">
      <w:instrText xml:space="preserve"> DOCPROPERTY "YearUser" *\charformat </w:instrText>
    </w:r>
    <w:r w:rsidRPr="008B7189">
      <w:fldChar w:fldCharType="separate"/>
    </w:r>
    <w:r w:rsidRPr="008B7189">
      <w:t>2007/08</w:t>
    </w:r>
    <w:r w:rsidRPr="008B7189">
      <w:fldChar w:fldCharType="end"/>
    </w:r>
    <w:r w:rsidRPr="008B7189">
      <w:t>:</w:t>
    </w:r>
    <w:r w:rsidRPr="008B7189">
      <w:fldChar w:fldCharType="begin" w:fldLock="1"/>
    </w:r>
    <w:r w:rsidRPr="008B7189">
      <w:instrText xml:space="preserve"> DOCPROPERTY "Motionsnummer" *\charformat </w:instrText>
    </w:r>
    <w:r w:rsidRPr="008B7189">
      <w:fldChar w:fldCharType="separate"/>
    </w:r>
    <w:r w:rsidRPr="008B7189">
      <w:t>Kr322</w:t>
    </w:r>
    <w:r w:rsidRPr="008B7189">
      <w:fldChar w:fldCharType="end"/>
    </w:r>
  </w:p>
  <w:p w:rsidR="007D378B" w:rsidRPr="008B7189" w:rsidRDefault="007D378B">
    <w:pPr>
      <w:pStyle w:val="FSHNormalS5"/>
    </w:pPr>
    <w:r w:rsidRPr="008B7189">
      <w:fldChar w:fldCharType="begin" w:fldLock="1"/>
    </w:r>
    <w:r w:rsidRPr="008B7189">
      <w:instrText xml:space="preserve"> DOCPROPERTY "MotionarText" *\charformat </w:instrText>
    </w:r>
    <w:r w:rsidRPr="008B7189">
      <w:fldChar w:fldCharType="separate"/>
    </w:r>
    <w:r w:rsidRPr="008B7189">
      <w:t>av Tommy Ternemar m.fl. (s)</w:t>
    </w:r>
    <w:r w:rsidRPr="008B7189">
      <w:fldChar w:fldCharType="end"/>
    </w:r>
    <w:r w:rsidRPr="008B7189">
      <w:br/>
    </w:r>
    <w:r w:rsidRPr="008B7189">
      <w:fldChar w:fldCharType="begin" w:fldLock="1"/>
    </w:r>
    <w:r w:rsidRPr="008B7189">
      <w:instrText xml:space="preserve"> DOCPROPERTY "SvarFrasKort" *\charformat </w:instrText>
    </w:r>
    <w:r w:rsidRPr="008B7189">
      <w:fldChar w:fldCharType="end"/>
    </w:r>
  </w:p>
  <w:p w:rsidR="007D378B" w:rsidRPr="008B7189" w:rsidRDefault="007D378B">
    <w:pPr>
      <w:pStyle w:val="FSHTitel"/>
    </w:pPr>
    <w:r w:rsidRPr="008B7189">
      <w:fldChar w:fldCharType="begin" w:fldLock="1"/>
    </w:r>
    <w:r w:rsidRPr="008B7189">
      <w:instrText xml:space="preserve"> DOCPROPERTY</w:instrText>
    </w:r>
    <w:r w:rsidRPr="008B7189">
      <w:rPr>
        <w:sz w:val="18"/>
      </w:rPr>
      <w:instrText xml:space="preserve"> "RubrikSvar" *\charformat </w:instrText>
    </w:r>
    <w:r w:rsidRPr="008B7189">
      <w:fldChar w:fldCharType="separate"/>
    </w:r>
    <w:r w:rsidRPr="008B7189">
      <w:t>Kulturpolitiken som resurs för regional tillväxt</w:t>
    </w:r>
    <w:r w:rsidRPr="008B7189">
      <w:fldChar w:fldCharType="end"/>
    </w:r>
  </w:p>
  <w:p w:rsidR="007D378B" w:rsidRPr="008B7189" w:rsidRDefault="007D378B">
    <w:pPr>
      <w:pStyle w:val="Normal00"/>
    </w:pPr>
  </w:p>
  <w:p w:rsidR="007D378B" w:rsidRPr="008B7189" w:rsidRDefault="007D3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71810">
    <w:abstractNumId w:val="8"/>
  </w:num>
  <w:num w:numId="2" w16cid:durableId="2086800322">
    <w:abstractNumId w:val="9"/>
  </w:num>
  <w:num w:numId="3" w16cid:durableId="1400862809">
    <w:abstractNumId w:val="8"/>
  </w:num>
  <w:num w:numId="4" w16cid:durableId="1287927707">
    <w:abstractNumId w:val="9"/>
  </w:num>
  <w:num w:numId="5" w16cid:durableId="2116165624">
    <w:abstractNumId w:val="13"/>
  </w:num>
  <w:num w:numId="6" w16cid:durableId="322978801">
    <w:abstractNumId w:val="10"/>
  </w:num>
  <w:num w:numId="7" w16cid:durableId="866483856">
    <w:abstractNumId w:val="11"/>
  </w:num>
  <w:num w:numId="8" w16cid:durableId="657270882">
    <w:abstractNumId w:val="12"/>
  </w:num>
  <w:num w:numId="9" w16cid:durableId="1934822569">
    <w:abstractNumId w:val="8"/>
  </w:num>
  <w:num w:numId="10" w16cid:durableId="1656296615">
    <w:abstractNumId w:val="3"/>
  </w:num>
  <w:num w:numId="11" w16cid:durableId="1915356379">
    <w:abstractNumId w:val="2"/>
  </w:num>
  <w:num w:numId="12" w16cid:durableId="1928152461">
    <w:abstractNumId w:val="1"/>
  </w:num>
  <w:num w:numId="13" w16cid:durableId="1748990139">
    <w:abstractNumId w:val="0"/>
  </w:num>
  <w:num w:numId="14" w16cid:durableId="1895459549">
    <w:abstractNumId w:val="9"/>
  </w:num>
  <w:num w:numId="15" w16cid:durableId="2026394165">
    <w:abstractNumId w:val="7"/>
  </w:num>
  <w:num w:numId="16" w16cid:durableId="88551439">
    <w:abstractNumId w:val="6"/>
  </w:num>
  <w:num w:numId="17" w16cid:durableId="2099137758">
    <w:abstractNumId w:val="5"/>
  </w:num>
  <w:num w:numId="18" w16cid:durableId="46832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65B7BAB0-9E4C-4D05-8016-3C0296CE1E45},{EAEEEC3A-A275-4DF3-87D3-477F1EB1ACA8},{B18FB4F6-E5C3-4394-92DB-9CB27A7B60F0},{2E456464-BF9F-46EF-941D-355A9FCD8024},{CD85B743-97BA-480E-AD21-5623D019C5CE},{66904F58-C650-47D9-AAF5-864ED4C07794},{2130D154-9593-43DB-A2B0-72BC12DB11F4}"/>
  </w:docVars>
  <w:rsids>
    <w:rsidRoot w:val="00570A33"/>
    <w:rsid w:val="00570A33"/>
    <w:rsid w:val="007D378B"/>
    <w:rsid w:val="008B71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9DB88-F1FE-4620-81A2-D038FD17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3791</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s45129</vt:lpstr>
    </vt:vector>
  </TitlesOfParts>
  <Company>Riksdagen</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s45129</dc:title>
  <dc:subject>s45129</dc:subject>
  <dc:creator>Riksdagen</dc:creator>
  <cp:keywords>Riksdagen</cp:keywords>
  <dc:description>TKG-ktrl, MSMQ4mb, PersReg-Distribution mm</dc:description>
  <cp:lastModifiedBy>Lars Brink</cp:lastModifiedBy>
  <cp:revision>2</cp:revision>
  <cp:lastPrinted>2007-12-06T07:41:00Z</cp:lastPrinted>
  <dcterms:created xsi:type="dcterms:W3CDTF">2025-12-17T06:38:00Z</dcterms:created>
  <dcterms:modified xsi:type="dcterms:W3CDTF">2025-12-17T06:38:00Z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Kulturpolitiken som resurs för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Kulturpolitiken som resurs för regional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Tommy Ternemar m.fl. (s)</vt:lpwstr>
  </property>
  <property fmtid="{D5CDD505-2E9C-101B-9397-08002B2CF9AE}" pid="26" name="MotionarLista">
    <vt:lpwstr>Ternemar, Tommy (s)\Rådström, Britta (s)\Stenberg, Hans (s)\Ulvskog, Marita (s)\Nordén, Marie (s)\Svedberg, Per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Britta Rådström (s), Hans Stenberg (s), Marita Ulvskog (s), Marie Nordén (s), Per Svedberg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20072008000000000115000451290069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20072008000000000115000451290069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{E1597E20-ACFC-42A9-8E8E-D1368E9F8D76}</vt:lpwstr>
  </property>
  <property fmtid="{D5CDD505-2E9C-101B-9397-08002B2CF9AE}" pid="53" name="Överföringar">
    <vt:i4>0</vt:i4>
  </property>
  <property fmtid="{D5CDD505-2E9C-101B-9397-08002B2CF9AE}" pid="54" name="Checksum">
    <vt:lpwstr>*0018854073071*</vt:lpwstr>
  </property>
  <property fmtid="{D5CDD505-2E9C-101B-9397-08002B2CF9AE}" pid="55" name="skuggnummer">
    <vt:lpwstr>2534</vt:lpwstr>
  </property>
  <property fmtid="{D5CDD505-2E9C-101B-9397-08002B2CF9AE}" pid="56" name="urixVersion">
    <vt:lpwstr>3.2.0.8</vt:lpwstr>
  </property>
  <property fmtid="{D5CDD505-2E9C-101B-9397-08002B2CF9AE}" pid="57" name="urixOrigin">
    <vt:lpwstr>071206 08:42:03.517</vt:lpwstr>
  </property>
  <property fmtid="{D5CDD505-2E9C-101B-9397-08002B2CF9AE}" pid="58" name="urixGuid">
    <vt:lpwstr>{9CAC518D-05D6-49FD-95E5-EB99772BED76}</vt:lpwstr>
  </property>
</Properties>
</file>