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B8D" w:rsidRDefault="00AA6B8D">
      <w:pPr>
        <w:pStyle w:val="Rubrik1"/>
        <w:spacing w:before="0"/>
      </w:pPr>
      <w:r>
        <w:rPr>
          <w:vanish/>
        </w:rPr>
        <w:t>&lt;1</w:t>
      </w:r>
      <w:bookmarkStart w:id="0" w:name="_Toc354912523"/>
      <w:r>
        <w:t>Till konstitutionsutskottet</w:t>
      </w:r>
      <w:bookmarkEnd w:id="0"/>
    </w:p>
    <w:p w:rsidR="00AA6B8D" w:rsidRDefault="00AA6B8D">
      <w:r>
        <w:t>Konstitutionsutskottet har den 14 mars 1996 hemställt bl.a. om försvarsu</w:t>
      </w:r>
      <w:r>
        <w:t>t</w:t>
      </w:r>
      <w:r>
        <w:t>skottets yttrande över en inom konstitutionsutskottets kansli upprättad pr</w:t>
      </w:r>
      <w:r>
        <w:t>o</w:t>
      </w:r>
      <w:r>
        <w:t>memoria angående EU-frågornas behandling i riksdagen.</w:t>
      </w:r>
    </w:p>
    <w:p w:rsidR="00AA6B8D" w:rsidRDefault="00AA6B8D">
      <w:pPr>
        <w:pStyle w:val="Rubrik1"/>
      </w:pPr>
      <w:bookmarkStart w:id="1" w:name="_Toc354912524"/>
      <w:r>
        <w:t>Försvarsutskottet</w:t>
      </w:r>
      <w:bookmarkEnd w:id="1"/>
    </w:p>
    <w:p w:rsidR="00AA6B8D" w:rsidRDefault="00AA6B8D">
      <w:r>
        <w:t>Det finns inom Europeiska unionen ingen gemensam försvarspolitik eller gemensamt försvar. Eventuella unionsbeslut eller aktioner som berör försv</w:t>
      </w:r>
      <w:r>
        <w:t>a</w:t>
      </w:r>
      <w:r>
        <w:t>ret överlåts till Västeuropeiska unionen (VEU). I VEU är Sverige inte me</w:t>
      </w:r>
      <w:r>
        <w:t>d</w:t>
      </w:r>
      <w:r>
        <w:t>lem utan har endast observatörsstatus. EU-medlemskapet berör försvarsu</w:t>
      </w:r>
      <w:r>
        <w:t>t</w:t>
      </w:r>
      <w:r>
        <w:t xml:space="preserve">skottets beredningsområde </w:t>
      </w:r>
      <w:r>
        <w:rPr>
          <w:i/>
        </w:rPr>
        <w:t xml:space="preserve">främst </w:t>
      </w:r>
      <w:r>
        <w:t>genom att utskottet följer EU:s geme</w:t>
      </w:r>
      <w:r>
        <w:t>n</w:t>
      </w:r>
      <w:r>
        <w:t>samma utrikes- och säkerhetspolitík (GUSP). GUSP hänförs till den s.k. andra pelaren inom vilken helt andra samarbets- och beslutsformer för</w:t>
      </w:r>
      <w:r>
        <w:t>e</w:t>
      </w:r>
      <w:r>
        <w:t>kommer än inom den första pelaren. Sverige är suveränt i dessa frågor.</w:t>
      </w:r>
    </w:p>
    <w:p w:rsidR="00AA6B8D" w:rsidRDefault="00AA6B8D">
      <w:pPr>
        <w:pStyle w:val="Normaltindrag"/>
      </w:pPr>
      <w:r>
        <w:t>Den helt dominerande delen av försvarsutskottets beredningsområde – fr</w:t>
      </w:r>
      <w:r>
        <w:t>å</w:t>
      </w:r>
      <w:r>
        <w:t>gor som rör totalförsvaret, dvs. den nationella försvarspolitiken – är sålunda inte en fråga för EU. I dessa frågor har Sverige full suveränitet. Genom att även den gemensamma utrikes- och försvarspolitiken står utanför de ”traditionella” berednings- och beslutsformerna inom unionen har fö</w:t>
      </w:r>
      <w:r>
        <w:t>r</w:t>
      </w:r>
      <w:r>
        <w:t>svarsutskottet – som ett riksdagsorgan – endast i begränsad omfattning  berörts av EU-frågornas behandling i riksd</w:t>
      </w:r>
      <w:r>
        <w:t>a</w:t>
      </w:r>
      <w:r>
        <w:t>gen.</w:t>
      </w:r>
    </w:p>
    <w:p w:rsidR="00AA6B8D" w:rsidRDefault="00AA6B8D">
      <w:pPr>
        <w:pStyle w:val="Normaltindrag"/>
      </w:pPr>
      <w:r>
        <w:t xml:space="preserve">Försvarsutskottet berörs dock i </w:t>
      </w:r>
      <w:r>
        <w:rPr>
          <w:i/>
        </w:rPr>
        <w:t xml:space="preserve">viss </w:t>
      </w:r>
      <w:r>
        <w:t>utsträckning av frågor inom EU:s första och tredje pelare som t. ex. fredsräddningstjänsten, transport av farligt gods, gränskontrollen till sjöss samt  försvarsindustriella frågor.</w:t>
      </w:r>
    </w:p>
    <w:p w:rsidR="00AA6B8D" w:rsidRDefault="00AA6B8D">
      <w:pPr>
        <w:pStyle w:val="Normaltindrag"/>
      </w:pPr>
      <w:r>
        <w:t>Dessa ärenden utgör dock ofta delar i större frågor som huvudsakligen b</w:t>
      </w:r>
      <w:r>
        <w:t>e</w:t>
      </w:r>
      <w:r>
        <w:t>rör andra politikområden och därmed i första hand andra utskott.</w:t>
      </w:r>
    </w:p>
    <w:p w:rsidR="00AA6B8D" w:rsidRDefault="00AA6B8D">
      <w:pPr>
        <w:pStyle w:val="Normaltindrag"/>
      </w:pPr>
      <w:r>
        <w:t>Informationen om den verksamhet som pågår inom EU, och som rör fö</w:t>
      </w:r>
      <w:r>
        <w:t>r</w:t>
      </w:r>
      <w:r>
        <w:t>svarsutskottets verksamhetsområde, har primärt kommit via det allmänpol</w:t>
      </w:r>
      <w:r>
        <w:t>i</w:t>
      </w:r>
      <w:r>
        <w:t>tiska intresse som fokuserats till 1996 års regeringskonferens och i massm</w:t>
      </w:r>
      <w:r>
        <w:t>e</w:t>
      </w:r>
      <w:r>
        <w:t>dias rapportering som föregått denna, samt genom info</w:t>
      </w:r>
      <w:r>
        <w:t>r</w:t>
      </w:r>
      <w:r>
        <w:t xml:space="preserve">mation från EU  96-kommittén. </w:t>
      </w:r>
    </w:p>
    <w:p w:rsidR="00AA6B8D" w:rsidRDefault="00AA6B8D">
      <w:pPr>
        <w:pStyle w:val="Normaltindrag"/>
      </w:pPr>
      <w:r>
        <w:t>Försvarsutskottets arbete har sålunda hittills endast i liten omfattning kommit att påverkas av riksdagens behandling av EU-frågorna. Utskottets medverkan i EU-frågornas formella behandling har hittills varit så pass b</w:t>
      </w:r>
      <w:r>
        <w:t>e</w:t>
      </w:r>
      <w:r>
        <w:t>gränsad att det är svårt att nu ha någon bestämd uppfattning om samrådsfö</w:t>
      </w:r>
      <w:r>
        <w:t>r</w:t>
      </w:r>
      <w:r>
        <w:lastRenderedPageBreak/>
        <w:t>farandet med, och informationsgivningen till,  riksdagen behöver en omfa</w:t>
      </w:r>
      <w:r>
        <w:t>t</w:t>
      </w:r>
      <w:r>
        <w:t xml:space="preserve">tande reformering. </w:t>
      </w:r>
    </w:p>
    <w:p w:rsidR="00AA6B8D" w:rsidRDefault="00AA6B8D">
      <w:pPr>
        <w:pStyle w:val="Normaltindrag"/>
      </w:pPr>
      <w:r>
        <w:t>Utskottet anser vidare att resultaten av den nu inledda regeringskonfere</w:t>
      </w:r>
      <w:r>
        <w:t>n</w:t>
      </w:r>
      <w:r>
        <w:t>sen bör avvaktas för att få klarhet om någon förändring sker för ärenden  som i dag faller inom EU:s andra och tredje pelare och därmed påverkar riksd</w:t>
      </w:r>
      <w:r>
        <w:t>a</w:t>
      </w:r>
      <w:r>
        <w:t>gens roll i beslutsprocessen.</w:t>
      </w:r>
    </w:p>
    <w:p w:rsidR="00AA6B8D" w:rsidRDefault="00AA6B8D">
      <w:pPr>
        <w:pStyle w:val="Normaltindrag"/>
      </w:pPr>
      <w:r>
        <w:t>Utskottet vill emellertid betona vikten av regeringens aktiva information till och samråd med berörda fackutskott. För närvarande är regeringen endast skyldig att samråda med riksdagens EU-nämnd, även i frågor som berör försvarsutskottets ansvarsområde. Försvarsutskottet anser för sin del att riksdagen bör överväga att utvidga regeringens samrådsskyldighet till berö</w:t>
      </w:r>
      <w:r>
        <w:t>r</w:t>
      </w:r>
      <w:r>
        <w:t xml:space="preserve">da fackutskott samt att regeringen ges en skyldighet att </w:t>
      </w:r>
      <w:r>
        <w:rPr>
          <w:i/>
        </w:rPr>
        <w:t>aktivt</w:t>
      </w:r>
      <w:r>
        <w:t xml:space="preserve"> informera fackutskotten om verksamheten inom EU.</w:t>
      </w:r>
    </w:p>
    <w:p w:rsidR="00AA6B8D" w:rsidRDefault="00AA6B8D">
      <w:r>
        <w:t>Mot bakgrund av vad försvarsutskottet nu anfört avstår utskottet från att närmare besvara de detaljfrågor som framställs i den promemoria som uta</w:t>
      </w:r>
      <w:r>
        <w:t>r</w:t>
      </w:r>
      <w:r>
        <w:t>betats  av konstit</w:t>
      </w:r>
      <w:r>
        <w:t>u</w:t>
      </w:r>
      <w:r>
        <w:t xml:space="preserve">tionsutskottets kansli. </w:t>
      </w:r>
    </w:p>
    <w:p w:rsidR="00AA6B8D" w:rsidRDefault="00AA6B8D">
      <w:pPr>
        <w:pStyle w:val="Normaltindrag"/>
      </w:pPr>
    </w:p>
    <w:p w:rsidR="00AA6B8D" w:rsidRDefault="00AA6B8D">
      <w:r>
        <w:rPr>
          <w:vanish/>
        </w:rPr>
        <w:t>&lt;A</w:t>
      </w:r>
      <w:r>
        <w:t>Stockholm den 23 april 1996</w:t>
      </w:r>
    </w:p>
    <w:p w:rsidR="00AA6B8D" w:rsidRDefault="00AA6B8D">
      <w:r>
        <w:t>På försvarsutskottets vägnar</w:t>
      </w:r>
    </w:p>
    <w:p w:rsidR="00AA6B8D" w:rsidRDefault="00AA6B8D">
      <w:pPr>
        <w:pStyle w:val="Ordfnamn"/>
      </w:pPr>
      <w:bookmarkStart w:id="2" w:name="Ordförande"/>
      <w:bookmarkEnd w:id="2"/>
      <w:r>
        <w:t>Britt Bohlin</w:t>
      </w:r>
    </w:p>
    <w:p w:rsidR="00AA6B8D" w:rsidRDefault="00AA6B8D">
      <w:pPr>
        <w:pStyle w:val="Normaltindrag"/>
      </w:pPr>
    </w:p>
    <w:p w:rsidR="00AA6B8D" w:rsidRDefault="00AA6B8D">
      <w:pPr>
        <w:pStyle w:val="Citat"/>
      </w:pPr>
      <w:bookmarkStart w:id="3" w:name="Deltagare"/>
      <w:bookmarkEnd w:id="3"/>
      <w:r>
        <w:t>I beslutet har deltagit: Britt Bohlin (s), Christer Skoog (s), Sven Lundberg (s), Henrik Landerholm (m), Karin Wegestål (s), Anders Svärd (c), Lennart Rohdin (fp), Birgitta Gidblom (s), Jan Jennehag (v), Håkan Juholt (s), Olle Lindström (m), Annika Nordgren (mp), Åke Carnerö (kds), Jörgen Persson (s), Rolf Gunnarsson (m) och Göthe Knutson (m).</w:t>
      </w:r>
    </w:p>
    <w:p w:rsidR="00AA6B8D" w:rsidRDefault="00AA6B8D">
      <w:pPr>
        <w:pStyle w:val="Rubrik1"/>
      </w:pPr>
      <w:bookmarkStart w:id="4" w:name="_Toc354912525"/>
      <w:r>
        <w:t>Avvikande mening</w:t>
      </w:r>
      <w:bookmarkEnd w:id="4"/>
    </w:p>
    <w:p w:rsidR="00AA6B8D" w:rsidRDefault="00AA6B8D">
      <w:pPr>
        <w:rPr>
          <w:b/>
        </w:rPr>
      </w:pPr>
      <w:r>
        <w:t>Lennart Rohdin (fp) anser</w:t>
      </w:r>
    </w:p>
    <w:p w:rsidR="00AA6B8D" w:rsidRDefault="00AA6B8D">
      <w:r>
        <w:t>Med Sveriges medlemskap i EU har Sverige fått ett välkommet och väsen</w:t>
      </w:r>
      <w:r>
        <w:t>t</w:t>
      </w:r>
      <w:r>
        <w:t>ligt ökat inflytande över för medborgarna viktiga frågor av främst gränsöve</w:t>
      </w:r>
      <w:r>
        <w:t>r</w:t>
      </w:r>
      <w:r>
        <w:t>skridande karaktär. Ett medborgarnas Europa kräver emellertid att olika politiska frågor hanteras på rätt nivå och i varje sammanhang så nära de berörda medborgarna som möjligt. EU riskerar ofta att byråkratiseras och centraliseras på ett oacceptabelt sätt. Medborgarnas Europa får aldrig bli eliternas Europa. Den demokratiska kontrollen över de beslut som fattas inom EU måste ligga hos de folkvalda.</w:t>
      </w:r>
    </w:p>
    <w:p w:rsidR="00AA6B8D" w:rsidRDefault="00AA6B8D">
      <w:pPr>
        <w:pStyle w:val="Normaltindrag"/>
      </w:pPr>
      <w:r>
        <w:t>Jag vill i detta sammanhang framhålla den förskjutning från riksdagen till regeringskansliet som medlemskapet i EU inneburit. För att riksdagen skall kunna skaffa sig bättre inflytande över EU:s dagordning krävs att riksdagen kommer in på ett betydligt tidigare stadium, om möjligt redan då ärendena aktualiseras inom EU. Detta lyfter fram frågan om fackutskottens roll.</w:t>
      </w:r>
    </w:p>
    <w:p w:rsidR="00AA6B8D" w:rsidRDefault="00AA6B8D">
      <w:pPr>
        <w:pStyle w:val="Normaltindrag"/>
      </w:pPr>
      <w:r>
        <w:t>För närvarande är regeringen endast skyldig att samråda med riksdagens EU-nämnd, även i frågor som berör försvarsutskottets ansvarsområde. Jag anser att regeringens samrådsskyldighet bör utvidgas till att samråda med berörda fackutskott redan på det stadium, när ärenden initieras inom EU. Det gäller inte minst det arbete som pågår inom EU:s olika arbetsgrupper.</w:t>
      </w:r>
    </w:p>
    <w:p w:rsidR="00AA6B8D" w:rsidRDefault="00AA6B8D">
      <w:pPr>
        <w:pStyle w:val="Rubrik1"/>
      </w:pPr>
      <w:bookmarkStart w:id="5" w:name="_Toc354912526"/>
      <w:r>
        <w:t>Avvikande mening</w:t>
      </w:r>
      <w:bookmarkEnd w:id="5"/>
    </w:p>
    <w:p w:rsidR="00AA6B8D" w:rsidRDefault="00AA6B8D">
      <w:pPr>
        <w:rPr>
          <w:b/>
        </w:rPr>
      </w:pPr>
      <w:r>
        <w:t>Annika Nordgren (mp) anser</w:t>
      </w:r>
    </w:p>
    <w:p w:rsidR="00AA6B8D" w:rsidRDefault="00AA6B8D">
      <w:r>
        <w:t>EU:s gemensamma utrikes- och säkerhetspolitik (GUSP) hör till den andra pelaren, vilket innebär att varje enskilt land har vetorätt, men förväntas enligt Maastrichtfördraget stödja den överenskomna politiken i en anda av lojalitet och ömsesidig solidaritet. GUSP skall, enligt artikel J.4. i Maastrichtfördr</w:t>
      </w:r>
      <w:r>
        <w:t>a</w:t>
      </w:r>
      <w:r>
        <w:t>get, ”omfatta alla frågor som berör unionens säkerhet, inbegripet utfor</w:t>
      </w:r>
      <w:r>
        <w:t>m</w:t>
      </w:r>
      <w:r>
        <w:t>ningen på lång sikt av en gemensam försvarspolitik, som med tiden skulle kunna leda till ett gemensamt försvar”. Denna målsättning diskuteras under den pågående regeringskonferensen.</w:t>
      </w:r>
    </w:p>
    <w:p w:rsidR="00AA6B8D" w:rsidRDefault="00AA6B8D">
      <w:pPr>
        <w:pStyle w:val="Normaltindrag"/>
      </w:pPr>
      <w:r>
        <w:t>Sverige är observatörer i Västeuropeiska unionen (VEU). Eventuella unionsbeslut eller aktioner som berör försvaret överlåts till VEU. Försvarsu</w:t>
      </w:r>
      <w:r>
        <w:t>t</w:t>
      </w:r>
      <w:r>
        <w:t>skottet berörs också i viss utsträckning av frågor inom EU:s första och tredje pelare som t.ex. fredsräddningstjänsten, transport av farligt gods, gränsko</w:t>
      </w:r>
      <w:r>
        <w:t>n</w:t>
      </w:r>
      <w:r>
        <w:t>trollen till sjöss samt försvarsindustriella frågor.</w:t>
      </w:r>
    </w:p>
    <w:p w:rsidR="00AA6B8D" w:rsidRDefault="00AA6B8D">
      <w:pPr>
        <w:pStyle w:val="Normaltindrag"/>
      </w:pPr>
      <w:r>
        <w:t xml:space="preserve">Försvarsutskottet har vid ett tillfälle haft besök av försvarsministern. EU-skrivelser finns tillgängliga i en pärm i utskottssalen. </w:t>
      </w:r>
    </w:p>
    <w:p w:rsidR="00AA6B8D" w:rsidRDefault="00AA6B8D">
      <w:pPr>
        <w:pStyle w:val="Normaltindrag"/>
      </w:pPr>
      <w:r>
        <w:t>Utskottets ledamöter har primärt inhämtat information om den verksamhet som pågår inom EU och som rör försvarsutskottets verksamhetsområde genom egna efterforskningar genom t.ex. massmedias bevakning, det al</w:t>
      </w:r>
      <w:r>
        <w:t>l</w:t>
      </w:r>
      <w:r>
        <w:t>mänpolitiska intresse som har fokuserats till regeringskonferensen samt genom EU 96-kommitténs rapporter. När det gäller EU-nämnden har sama</w:t>
      </w:r>
      <w:r>
        <w:t>r</w:t>
      </w:r>
      <w:r>
        <w:t>betet ägt rum på det sättet att enskilda ledamöter i de båda utskotten har haft kontakt med varandra. Planen för EU-nämndens sammanträden har också delats ut till utskottets ledamöter.</w:t>
      </w:r>
    </w:p>
    <w:p w:rsidR="00AA6B8D" w:rsidRDefault="00AA6B8D">
      <w:pPr>
        <w:pStyle w:val="Normaltindrag"/>
      </w:pPr>
      <w:r>
        <w:t>Jag anser att det måste bedömas som omöjligt att tillföra EU-nämnden sakkunskap i den mångfald ärenden som nämnden har att behandla. Därför bör fackutskottet, där sakkunskapen finns, bära ansvaret för riksdagens infl</w:t>
      </w:r>
      <w:r>
        <w:t>y</w:t>
      </w:r>
      <w:r>
        <w:t>ta</w:t>
      </w:r>
      <w:r>
        <w:t>n</w:t>
      </w:r>
      <w:r>
        <w:t xml:space="preserve">de över Sveriges agerande i EU. </w:t>
      </w:r>
    </w:p>
    <w:p w:rsidR="00AA6B8D" w:rsidRDefault="00AA6B8D">
      <w:pPr>
        <w:pStyle w:val="Normaltindrag"/>
      </w:pPr>
      <w:r>
        <w:t>Det är angeläget att utskottet på ett så tidigt stadium som möjligt i b</w:t>
      </w:r>
      <w:r>
        <w:t>e</w:t>
      </w:r>
      <w:r>
        <w:t xml:space="preserve">slutsprocessen inom EU bevakar, analyserar och bedömer angelägna frågor. </w:t>
      </w:r>
    </w:p>
    <w:p w:rsidR="00AA6B8D" w:rsidRDefault="00AA6B8D">
      <w:pPr>
        <w:pStyle w:val="Normaltindrag"/>
      </w:pPr>
      <w:r>
        <w:t>Min mening är därför att EU-nämnden bör avskaffas. I andra hand anser jag att regeringen skall informera om vad som planeras för den svenska beredningen av det aktuella ärendet och när synpunkter skall vara ingivna. För att ett utskott skall kunna ha reell möjlighet att påverka behandlingen av en fråga är det viktigt att utskottet tidigt i processen får information om de ärenden som skall tas upp av ministerrådet, samt om ärenden inom utskottets beredningsområde inom andra EU-organ.</w:t>
      </w:r>
    </w:p>
    <w:p w:rsidR="00AA6B8D" w:rsidRDefault="00AA6B8D">
      <w:pPr>
        <w:pStyle w:val="Normaltindrag"/>
      </w:pPr>
      <w:r>
        <w:t>Med en sådan arbetsordning skulle det vara möjligt för utskottet att, i de fall det anses intressant, kunna begära närmare information och om det anses nödvändigt kunna ta ett utskottsinitiativ. Utskottet bör genom formella yt</w:t>
      </w:r>
      <w:r>
        <w:t>t</w:t>
      </w:r>
      <w:r>
        <w:t>randen framföra sina synpunkter till EU-nämnden. Sveriges agerande i EU måste också följas upp och utvärderas. Därför skall utskottet informeras efter förhandlingar.</w:t>
      </w:r>
    </w:p>
    <w:p w:rsidR="00AA6B8D" w:rsidRDefault="00AA6B8D">
      <w:pPr>
        <w:pStyle w:val="Normaltindrag"/>
      </w:pPr>
    </w:p>
    <w:p w:rsidR="00AA6B8D" w:rsidRDefault="00AA6B8D">
      <w:pPr>
        <w:pStyle w:val="Normaltindrag"/>
      </w:pPr>
    </w:p>
    <w:p w:rsidR="00AA6B8D" w:rsidRDefault="00AA6B8D">
      <w:pPr>
        <w:pStyle w:val="Normaltindrag"/>
      </w:pPr>
    </w:p>
    <w:p w:rsidR="00AA6B8D" w:rsidRDefault="00AA6B8D">
      <w:pPr>
        <w:pStyle w:val="Normaltindrag"/>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p>
    <w:p w:rsidR="00AA6B8D" w:rsidRDefault="00AA6B8D">
      <w:pPr>
        <w:pStyle w:val="Tryckort"/>
        <w:spacing w:before="0"/>
      </w:pPr>
      <w:r>
        <w:t>Gotab, Stockholm 1996</w:t>
      </w:r>
    </w:p>
    <w:sectPr w:rsidR="00AA6B8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B8D" w:rsidRDefault="00AA6B8D">
      <w:pPr>
        <w:spacing w:before="0" w:line="240" w:lineRule="auto"/>
      </w:pPr>
      <w:r>
        <w:separator/>
      </w:r>
    </w:p>
  </w:endnote>
  <w:endnote w:type="continuationSeparator" w:id="0">
    <w:p w:rsidR="00AA6B8D" w:rsidRDefault="00AA6B8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8D" w:rsidRDefault="00AA6B8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8D" w:rsidRDefault="00AA6B8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8D" w:rsidRDefault="00AA6B8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B8D" w:rsidRDefault="00AA6B8D">
      <w:pPr>
        <w:spacing w:before="0" w:line="240" w:lineRule="auto"/>
      </w:pPr>
      <w:r>
        <w:separator/>
      </w:r>
    </w:p>
  </w:footnote>
  <w:footnote w:type="continuationSeparator" w:id="0">
    <w:p w:rsidR="00AA6B8D" w:rsidRDefault="00AA6B8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8D" w:rsidRDefault="00AA6B8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1995/96:FöU5y</w:t>
    </w:r>
    <w:r>
      <w:fldChar w:fldCharType="end"/>
    </w:r>
  </w:p>
  <w:p w:rsidR="00AA6B8D" w:rsidRDefault="00AA6B8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A6B8D" w:rsidRDefault="00AA6B8D">
    <w:pPr>
      <w:pStyle w:val="SidhuvudV"/>
      <w:framePr w:w="2302" w:h="1928" w:hRule="exact" w:wrap="notBeside"/>
    </w:pPr>
    <w:r>
      <w:fldChar w:fldCharType="end"/>
    </w:r>
  </w:p>
  <w:p w:rsidR="00AA6B8D" w:rsidRDefault="00AA6B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8D" w:rsidRDefault="00AA6B8D">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1995/96:FöU5y</w:t>
    </w:r>
    <w:r>
      <w:rPr>
        <w:sz w:val="21"/>
      </w:rPr>
      <w:fldChar w:fldCharType="end"/>
    </w:r>
  </w:p>
  <w:p w:rsidR="00AA6B8D" w:rsidRDefault="00AA6B8D">
    <w:pPr>
      <w:pStyle w:val="SidhuvudKant"/>
      <w:framePr w:hSpace="284" w:wrap="around" w:y="568"/>
      <w:rPr>
        <w:vanish/>
      </w:rPr>
    </w:pPr>
    <w:r>
      <w:rPr>
        <w:vanish/>
      </w:rPr>
      <w:t>&gt;B</w:t>
    </w:r>
  </w:p>
  <w:p w:rsidR="00AA6B8D" w:rsidRDefault="00AA6B8D">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8D" w:rsidRDefault="00AA6B8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92" r:id="rId2"/>
      </w:object>
    </w:r>
  </w:p>
  <w:p w:rsidR="00AA6B8D" w:rsidRDefault="00AA6B8D">
    <w:pPr>
      <w:pStyle w:val="SidhuvudFVapen"/>
      <w:framePr w:wrap="notBeside" w:x="7253" w:y="188"/>
      <w:spacing w:line="230" w:lineRule="auto"/>
      <w:rPr>
        <w:sz w:val="24"/>
      </w:rPr>
    </w:pPr>
    <w:bookmarkStart w:id="6" w:name="BnrVapen"/>
    <w:r>
      <w:rPr>
        <w:sz w:val="24"/>
      </w:rPr>
      <w:t>1995/96</w:t>
    </w:r>
  </w:p>
  <w:p w:rsidR="00AA6B8D" w:rsidRDefault="00AA6B8D">
    <w:pPr>
      <w:pStyle w:val="SidhuvudFVapen"/>
      <w:framePr w:wrap="notBeside" w:x="7253" w:y="188"/>
      <w:spacing w:line="230" w:lineRule="auto"/>
      <w:rPr>
        <w:sz w:val="24"/>
      </w:rPr>
    </w:pPr>
    <w:r>
      <w:rPr>
        <w:sz w:val="24"/>
      </w:rPr>
      <w:t xml:space="preserve">FöU5y </w:t>
    </w:r>
    <w:bookmarkEnd w:id="6"/>
    <w:r w:rsidR="00105AD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931914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51EB9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A6B8D" w:rsidRDefault="00AA6B8D">
    <w:pPr>
      <w:pStyle w:val="SidhuvudFText"/>
      <w:framePr w:w="5727" w:h="2722" w:hRule="exact" w:hSpace="0" w:wrap="notBeside" w:hAnchor="page" w:x="1135" w:y="568"/>
      <w:spacing w:line="400" w:lineRule="exact"/>
      <w:ind w:right="629"/>
      <w:rPr>
        <w:sz w:val="36"/>
      </w:rPr>
    </w:pPr>
    <w:bookmarkStart w:id="7" w:name="DokumentTyp"/>
    <w:r>
      <w:rPr>
        <w:sz w:val="36"/>
      </w:rPr>
      <w:t xml:space="preserve">Försvarsutskottets yttrande </w:t>
    </w:r>
    <w:bookmarkEnd w:id="7"/>
  </w:p>
  <w:p w:rsidR="00AA6B8D" w:rsidRDefault="00AA6B8D">
    <w:pPr>
      <w:pStyle w:val="SidhuvudFText"/>
      <w:framePr w:w="5727" w:h="2722" w:hRule="exact" w:hSpace="0" w:wrap="notBeside" w:hAnchor="page" w:x="1135" w:y="568"/>
      <w:spacing w:line="400" w:lineRule="exact"/>
      <w:ind w:right="629"/>
      <w:rPr>
        <w:sz w:val="36"/>
      </w:rPr>
    </w:pPr>
    <w:bookmarkStart w:id="8" w:name="Betänkandenummer"/>
    <w:r>
      <w:rPr>
        <w:sz w:val="36"/>
      </w:rPr>
      <w:t xml:space="preserve">1995/96:FöU5y </w:t>
    </w:r>
    <w:bookmarkEnd w:id="8"/>
    <w:r>
      <w:rPr>
        <w:sz w:val="36"/>
      </w:rPr>
      <w:t xml:space="preserve">       </w:t>
    </w:r>
    <w:bookmarkStart w:id="9" w:name="Utkast"/>
    <w:r>
      <w:rPr>
        <w:sz w:val="36"/>
      </w:rPr>
      <w:t xml:space="preserve"> </w:t>
    </w:r>
  </w:p>
  <w:p w:rsidR="00AA6B8D" w:rsidRDefault="00AA6B8D">
    <w:pPr>
      <w:pStyle w:val="SidhuvudFText"/>
      <w:framePr w:w="5727" w:h="2722" w:hRule="exact" w:hSpace="0" w:wrap="notBeside" w:hAnchor="page" w:x="1135" w:y="568"/>
      <w:spacing w:before="40" w:after="900" w:line="280" w:lineRule="exact"/>
      <w:ind w:right="629"/>
      <w:rPr>
        <w:sz w:val="26"/>
      </w:rPr>
    </w:pPr>
    <w:bookmarkStart w:id="10" w:name="Rubrik"/>
    <w:bookmarkEnd w:id="9"/>
    <w:r>
      <w:rPr>
        <w:sz w:val="28"/>
      </w:rPr>
      <w:t>Angående EU-frågornas behandling i riksdagen</w:t>
    </w:r>
    <w:r>
      <w:rPr>
        <w:sz w:val="26"/>
      </w:rPr>
      <w:t xml:space="preserve"> </w:t>
    </w:r>
    <w:bookmarkEnd w:id="10"/>
    <w:r>
      <w:rPr>
        <w:sz w:val="26"/>
      </w:rPr>
      <w:t xml:space="preserve"> </w:t>
    </w:r>
  </w:p>
  <w:p w:rsidR="00AA6B8D" w:rsidRDefault="00AA6B8D">
    <w:pPr>
      <w:pStyle w:val="SidhuvudFText"/>
      <w:framePr w:w="5727" w:h="2722" w:hRule="exact" w:hSpace="0" w:wrap="notBeside" w:hAnchor="page" w:x="1135" w:y="568"/>
      <w:spacing w:before="40" w:after="900" w:line="300" w:lineRule="exact"/>
      <w:ind w:right="629"/>
      <w:rPr>
        <w:sz w:val="26"/>
      </w:rPr>
    </w:pPr>
  </w:p>
  <w:p w:rsidR="00AA6B8D" w:rsidRDefault="00AA6B8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5y"/>
    <w:docVar w:name="Flyttförsök" w:val="JA"/>
    <w:docVar w:name="HelaNamnet" w:val="1995/96:FöU5y"/>
    <w:docVar w:name="NR" w:val="5y"/>
    <w:docVar w:name="RUBRIK" w:val="Angående EU-frågornas behandling i riksdagen"/>
    <w:docVar w:name="SkapVERSION" w:val="V6.0, 960315"/>
    <w:docVar w:name="USK" w:val="FöU"/>
    <w:docVar w:name="USKKORT" w:val="FöU"/>
    <w:docVar w:name="USKNAMN" w:val="Försvarsutskottets"/>
    <w:docVar w:name="USKNAMNG" w:val="försvarsutskottets"/>
    <w:docVar w:name="ÅR" w:val="1995/96"/>
  </w:docVars>
  <w:rsids>
    <w:rsidRoot w:val="00CB33B6"/>
    <w:rsid w:val="00105AD3"/>
    <w:rsid w:val="00AA6B8D"/>
    <w:rsid w:val="00CB33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7AD783-4CBC-4F21-BB37-7AB3CE68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1100</Words>
  <Characters>6888</Characters>
  <Application>Microsoft Office Word</Application>
  <DocSecurity>4</DocSecurity>
  <Lines>172</Lines>
  <Paragraphs>37</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5y</dc:title>
  <dc:subject>Försvarsutskottets betänkande nr 5y</dc:subject>
  <dc:creator>Riksdagen</dc:creator>
  <cp:keywords>Riksdagen</cp:keywords>
  <cp:lastModifiedBy>Lars Brink</cp:lastModifiedBy>
  <cp:revision>2</cp:revision>
  <cp:lastPrinted>1996-05-10T10:14:00Z</cp:lastPrinted>
  <dcterms:created xsi:type="dcterms:W3CDTF">2025-12-15T18:33:00Z</dcterms:created>
  <dcterms:modified xsi:type="dcterms:W3CDTF">2025-12-15T18:33:00Z</dcterms:modified>
</cp:coreProperties>
</file>