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C319B">
        <w:tblPrEx>
          <w:tblCellMar>
            <w:top w:w="0" w:type="dxa"/>
            <w:left w:w="0" w:type="dxa"/>
            <w:bottom w:w="0" w:type="dxa"/>
            <w:right w:w="0" w:type="dxa"/>
          </w:tblCellMar>
        </w:tblPrEx>
        <w:trPr>
          <w:gridAfter w:val="2"/>
          <w:wAfter w:w="1758" w:type="dxa"/>
          <w:cantSplit/>
          <w:trHeight w:val="1320"/>
        </w:trPr>
        <w:tc>
          <w:tcPr>
            <w:tcW w:w="5897" w:type="dxa"/>
          </w:tcPr>
          <w:p w:rsidR="00AC319B" w:rsidRPr="00AC319B" w:rsidRDefault="00AC319B">
            <w:pPr>
              <w:pStyle w:val="HuvudRubrik"/>
            </w:pPr>
            <w:r w:rsidRPr="00AC319B">
              <w:t>Regeringskansliet</w:t>
            </w:r>
          </w:p>
          <w:p w:rsidR="00AC319B" w:rsidRPr="00AC319B" w:rsidRDefault="00AC319B">
            <w:pPr>
              <w:pStyle w:val="HuvudRubrik"/>
            </w:pPr>
            <w:r w:rsidRPr="00AC319B">
              <w:t>Faktapromemoria  2009/10:FPM40</w:t>
            </w:r>
          </w:p>
        </w:tc>
      </w:tr>
      <w:tr w:rsidR="00000000" w:rsidRPr="00AC319B">
        <w:tblPrEx>
          <w:tblCellMar>
            <w:top w:w="0" w:type="dxa"/>
            <w:left w:w="0" w:type="dxa"/>
            <w:bottom w:w="0" w:type="dxa"/>
            <w:right w:w="0" w:type="dxa"/>
          </w:tblCellMar>
        </w:tblPrEx>
        <w:trPr>
          <w:gridAfter w:val="2"/>
          <w:wAfter w:w="1758" w:type="dxa"/>
          <w:cantSplit/>
          <w:trHeight w:val="240"/>
        </w:trPr>
        <w:tc>
          <w:tcPr>
            <w:tcW w:w="5897" w:type="dxa"/>
          </w:tcPr>
          <w:p w:rsidR="00AC319B" w:rsidRPr="00AC319B" w:rsidRDefault="00AC319B">
            <w:pPr>
              <w:pStyle w:val="HuvudRubrik"/>
              <w:rPr>
                <w:sz w:val="28"/>
              </w:rPr>
            </w:pPr>
            <w:r w:rsidRPr="00AC319B">
              <w:t>EU 2020 - Kommissionens samråd om efterföljaren till Lissabonstrategin</w:t>
            </w:r>
          </w:p>
        </w:tc>
      </w:tr>
      <w:tr w:rsidR="00000000" w:rsidRPr="00AC319B">
        <w:tblPrEx>
          <w:tblCellMar>
            <w:top w:w="0" w:type="dxa"/>
            <w:left w:w="0" w:type="dxa"/>
            <w:bottom w:w="0" w:type="dxa"/>
            <w:right w:w="0" w:type="dxa"/>
          </w:tblCellMar>
        </w:tblPrEx>
        <w:trPr>
          <w:cantSplit/>
          <w:trHeight w:val="285"/>
        </w:trPr>
        <w:tc>
          <w:tcPr>
            <w:tcW w:w="7655" w:type="dxa"/>
            <w:gridSpan w:val="3"/>
          </w:tcPr>
          <w:p w:rsidR="00AC319B" w:rsidRPr="00AC319B" w:rsidRDefault="00AC319B">
            <w:pPr>
              <w:pStyle w:val="Departement"/>
              <w:rPr>
                <w:sz w:val="28"/>
              </w:rPr>
            </w:pPr>
            <w:r w:rsidRPr="00AC319B">
              <w:t>Statsrådsberedningen</w:t>
            </w:r>
          </w:p>
        </w:tc>
      </w:tr>
      <w:tr w:rsidR="00000000" w:rsidRPr="00AC319B">
        <w:tblPrEx>
          <w:tblCellMar>
            <w:top w:w="0" w:type="dxa"/>
            <w:left w:w="0" w:type="dxa"/>
            <w:bottom w:w="0" w:type="dxa"/>
            <w:right w:w="0" w:type="dxa"/>
          </w:tblCellMar>
        </w:tblPrEx>
        <w:trPr>
          <w:cantSplit/>
          <w:trHeight w:val="240"/>
        </w:trPr>
        <w:tc>
          <w:tcPr>
            <w:tcW w:w="7655" w:type="dxa"/>
            <w:gridSpan w:val="3"/>
          </w:tcPr>
          <w:p w:rsidR="00AC319B" w:rsidRPr="00AC319B" w:rsidRDefault="00AC319B">
            <w:pPr>
              <w:pStyle w:val="Dokumentdatum"/>
            </w:pPr>
            <w:r w:rsidRPr="00AC319B">
              <w:t>2009-12-21</w:t>
            </w:r>
          </w:p>
        </w:tc>
      </w:tr>
      <w:tr w:rsidR="00000000" w:rsidRPr="00AC319B">
        <w:tblPrEx>
          <w:tblCellMar>
            <w:top w:w="0" w:type="dxa"/>
            <w:left w:w="0" w:type="dxa"/>
            <w:bottom w:w="0" w:type="dxa"/>
            <w:right w:w="0" w:type="dxa"/>
          </w:tblCellMar>
        </w:tblPrEx>
        <w:trPr>
          <w:cantSplit/>
          <w:trHeight w:val="726"/>
        </w:trPr>
        <w:tc>
          <w:tcPr>
            <w:tcW w:w="7655" w:type="dxa"/>
            <w:gridSpan w:val="3"/>
            <w:vAlign w:val="bottom"/>
          </w:tcPr>
          <w:p w:rsidR="00AC319B" w:rsidRPr="00AC319B" w:rsidRDefault="00AC319B">
            <w:pPr>
              <w:pStyle w:val="Dokumentbeteckning"/>
            </w:pPr>
            <w:r w:rsidRPr="00AC319B">
              <w:t>Dokumentbeteckning</w:t>
            </w:r>
          </w:p>
        </w:tc>
      </w:tr>
      <w:tr w:rsidR="00000000" w:rsidRPr="00AC319B">
        <w:tblPrEx>
          <w:tblCellMar>
            <w:top w:w="0" w:type="dxa"/>
            <w:left w:w="0" w:type="dxa"/>
            <w:bottom w:w="0" w:type="dxa"/>
            <w:right w:w="0" w:type="dxa"/>
          </w:tblCellMar>
        </w:tblPrEx>
        <w:trPr>
          <w:gridAfter w:val="1"/>
          <w:wAfter w:w="1560" w:type="dxa"/>
          <w:trHeight w:val="120"/>
        </w:trPr>
        <w:tc>
          <w:tcPr>
            <w:tcW w:w="6095" w:type="dxa"/>
            <w:gridSpan w:val="2"/>
          </w:tcPr>
          <w:p w:rsidR="00AC319B" w:rsidRPr="00AC319B" w:rsidRDefault="00AC319B">
            <w:bookmarkStart w:id="0" w:name="KomNr"/>
            <w:bookmarkEnd w:id="0"/>
            <w:r w:rsidRPr="00AC319B">
              <w:t>KOM(2009) 647</w:t>
            </w:r>
          </w:p>
        </w:tc>
      </w:tr>
      <w:tr w:rsidR="00000000" w:rsidRPr="00AC319B">
        <w:tblPrEx>
          <w:tblCellMar>
            <w:top w:w="0" w:type="dxa"/>
            <w:left w:w="0" w:type="dxa"/>
            <w:bottom w:w="0" w:type="dxa"/>
            <w:right w:w="0" w:type="dxa"/>
          </w:tblCellMar>
        </w:tblPrEx>
        <w:trPr>
          <w:gridAfter w:val="1"/>
          <w:wAfter w:w="1560" w:type="dxa"/>
          <w:trHeight w:val="120"/>
        </w:trPr>
        <w:tc>
          <w:tcPr>
            <w:tcW w:w="6095" w:type="dxa"/>
            <w:gridSpan w:val="2"/>
          </w:tcPr>
          <w:p w:rsidR="00AC319B" w:rsidRPr="00AC319B" w:rsidRDefault="00AC319B">
            <w:pPr>
              <w:pStyle w:val="Dokumentbeteckning-titel"/>
            </w:pPr>
            <w:r w:rsidRPr="00AC319B">
              <w:t>Kommissionens arbetsdokument samråd om framtidsstrategin ”EU 2020”</w:t>
            </w:r>
          </w:p>
        </w:tc>
      </w:tr>
    </w:tbl>
    <w:p w:rsidR="00AC319B" w:rsidRPr="00AC319B" w:rsidRDefault="00AC319B"/>
    <w:p w:rsidR="00AC319B" w:rsidRPr="00AC319B" w:rsidRDefault="00AC319B">
      <w:pPr>
        <w:pStyle w:val="Rubrik1"/>
        <w:numPr>
          <w:ilvl w:val="0"/>
          <w:numId w:val="0"/>
        </w:numPr>
      </w:pPr>
      <w:r w:rsidRPr="00AC319B">
        <w:t>Sammanfattning</w:t>
      </w:r>
    </w:p>
    <w:p w:rsidR="00AC319B" w:rsidRPr="00AC319B" w:rsidRDefault="00AC319B">
      <w:r w:rsidRPr="00AC319B">
        <w:t>År 2010 löper EU:s nuvarande strategi för tillväxt och sysselsättning, den s.k. Lissabonstrategin, ut. En ny strategi ska antas våren 2010 under Spanska ordförandeskapet baserat på ett förslag från kommissionen i början av året. Den 24 november presenterade kommissionen ett arbetsdokument om framtidsstrategin ”EU 2020” som ligger till grund för ett offentligt samråd om den framtida strategin. Kommissionens arbetsdokument anges en vision för de långsiktiga prioriteringarna i syfte att ställa om till en ”hål</w:t>
      </w:r>
      <w:r w:rsidRPr="00AC319B">
        <w:t xml:space="preserve">lbar social marknadsekonomi” </w:t>
      </w:r>
    </w:p>
    <w:p w:rsidR="00AC319B" w:rsidRPr="00AC319B" w:rsidRDefault="00AC319B">
      <w:r w:rsidRPr="00AC319B">
        <w:t>Regeringens utgångspunkt är att EU behöver en ambitiös och samordnad strategi  med fokus på det övergripande målet hållbar tillväxt. För att långsiktigt stärka EU:s konkurrenskraft i en global ekonomi, möta klimat utmaningarna och hantera effekterna av en åldrande befolkning behöver strategin fokusera på ett antal nyckelområden: Strategins styrning bör förbättras för att stärka det politiska ägarskapet och genomförandet.</w:t>
      </w:r>
    </w:p>
    <w:p w:rsidR="00AC319B" w:rsidRPr="00AC319B" w:rsidRDefault="00AC319B">
      <w:pPr>
        <w:pStyle w:val="Rubrik1"/>
      </w:pPr>
      <w:r w:rsidRPr="00AC319B">
        <w:t>Förslaget</w:t>
      </w:r>
    </w:p>
    <w:p w:rsidR="00AC319B" w:rsidRPr="00AC319B" w:rsidRDefault="00AC319B">
      <w:pPr>
        <w:pStyle w:val="Rubrik2"/>
      </w:pPr>
      <w:r w:rsidRPr="00AC319B">
        <w:t>Ärendets bakgrund</w:t>
      </w:r>
    </w:p>
    <w:p w:rsidR="00AC319B" w:rsidRPr="00AC319B" w:rsidRDefault="00AC319B">
      <w:r w:rsidRPr="00AC319B">
        <w:t xml:space="preserve">År 2010 når EU:s nuvarande strategi för tillväxt och sysselsättning, den s.k. Lissabonstrategin, sitt måldatum. Vid Europeiska rådets möte i mars 2008 uppmanade stats- och regeringscheferna kommissionen och rådet att börja reflektera över den framtida Lissabonstrategin efter 2010. </w:t>
      </w:r>
    </w:p>
    <w:p w:rsidR="00AC319B" w:rsidRPr="00AC319B" w:rsidRDefault="00AC319B">
      <w:r w:rsidRPr="00AC319B">
        <w:lastRenderedPageBreak/>
        <w:t>En ny strategi ska antas våren 2010 under Spanska ordförandeskapet baserat på ett förslag från kommissionen. Den 24 november presenterade kommissionen ett arbetsdokument om framtidsstrategin ”EU 2020” som ligger till grund för ett offentligt samråd om den framtida strategin. Samrådet pågår fram till den 15 januari 2010 och kommer ligga till grund för kommissionens förslag som väntas i början av februari 2010.</w:t>
      </w:r>
    </w:p>
    <w:p w:rsidR="00AC319B" w:rsidRPr="00AC319B" w:rsidRDefault="00AC319B">
      <w:pPr>
        <w:pStyle w:val="Rubrik2"/>
      </w:pPr>
      <w:r w:rsidRPr="00AC319B">
        <w:t>Förslagets innehåll</w:t>
      </w:r>
    </w:p>
    <w:p w:rsidR="00AC319B" w:rsidRPr="00AC319B" w:rsidRDefault="00AC319B">
      <w:r w:rsidRPr="00AC319B">
        <w:t>I kommissionens meddelande benämns efterföljaren till Lissabonstrategin ”EU 2020”. Kommissionens arbetsdokument anges en vision för de långsiktiga prioriteringarna i syfte att ställa om till en ”hållbar social marknadsekonomi” – en intelligentare, mer miljövänlig ekonomi där välstånd bygger på innovation och effektivare resursanvändning, och där kunskap är den viktigaste insatsvaran. I dokumentet pekas tre övergripande prioriterade områden ut:</w:t>
      </w:r>
    </w:p>
    <w:p w:rsidR="00AC319B" w:rsidRPr="00AC319B" w:rsidRDefault="00AC319B">
      <w:pPr>
        <w:numPr>
          <w:ilvl w:val="0"/>
          <w:numId w:val="7"/>
        </w:numPr>
      </w:pPr>
      <w:r w:rsidRPr="00AC319B">
        <w:rPr>
          <w:b/>
        </w:rPr>
        <w:t>Att skapa värde genom att bygga tillväxten på kunskap</w:t>
      </w:r>
      <w:r w:rsidRPr="00AC319B">
        <w:t xml:space="preserve"> genom att skapa ett väl fungerande ”europeiskt kunskapsområde”, med stöd av en kunskapsinfrastruktur av yppersta klass, där studenter, lärare, forskare, utbildnings- och forskningsinstitutioner och företag drar nytta av den fria rörligheten för personer, kunskap och innovation (den s.k. femte friheten).</w:t>
      </w:r>
    </w:p>
    <w:p w:rsidR="00AC319B" w:rsidRPr="00AC319B" w:rsidRDefault="00AC319B">
      <w:pPr>
        <w:numPr>
          <w:ilvl w:val="0"/>
          <w:numId w:val="7"/>
        </w:numPr>
      </w:pPr>
      <w:r w:rsidRPr="00AC319B">
        <w:rPr>
          <w:b/>
        </w:rPr>
        <w:t>Att öka delaktigheten i ett samhälle för alla</w:t>
      </w:r>
      <w:r w:rsidRPr="00AC319B">
        <w:t xml:space="preserve"> genom fler jobb, högre sysselsättningsgrad, jobb med högre kvalitet och produktivitet, ökad rättvisa, säkerhet och utkomstmöjligheter för alla på en arbetsmarknad öppen för alla. </w:t>
      </w:r>
    </w:p>
    <w:p w:rsidR="00AC319B" w:rsidRPr="00AC319B" w:rsidRDefault="00AC319B">
      <w:pPr>
        <w:numPr>
          <w:ilvl w:val="0"/>
          <w:numId w:val="7"/>
        </w:numPr>
      </w:pPr>
      <w:r w:rsidRPr="00AC319B">
        <w:rPr>
          <w:b/>
        </w:rPr>
        <w:t xml:space="preserve">Att skapa en konkurrenskraftig, sammanlänkad och miljövänligare ekonomi </w:t>
      </w:r>
      <w:r w:rsidRPr="00AC319B">
        <w:t>för</w:t>
      </w:r>
      <w:r w:rsidRPr="00AC319B">
        <w:rPr>
          <w:b/>
        </w:rPr>
        <w:t xml:space="preserve"> </w:t>
      </w:r>
      <w:r w:rsidRPr="00AC319B">
        <w:t>att nå överenskomna klimat- och energimål, stärka den industriella basen, frigöra potentialen hos små och medelstora företag samt tillgodose framtida behov genom att öka produktiviteten och minska trycket på resurserna.</w:t>
      </w:r>
    </w:p>
    <w:p w:rsidR="00AC319B" w:rsidRPr="00AC319B" w:rsidRDefault="00AC319B">
      <w:r w:rsidRPr="00AC319B">
        <w:t>Det ska uppfyllas genom att:</w:t>
      </w:r>
    </w:p>
    <w:p w:rsidR="00AC319B" w:rsidRPr="00AC319B" w:rsidRDefault="00AC319B">
      <w:pPr>
        <w:numPr>
          <w:ilvl w:val="0"/>
          <w:numId w:val="8"/>
        </w:numPr>
      </w:pPr>
      <w:r w:rsidRPr="00AC319B">
        <w:t xml:space="preserve">fullt utnyttja den inre marknadens potential, </w:t>
      </w:r>
    </w:p>
    <w:p w:rsidR="00AC319B" w:rsidRPr="00AC319B" w:rsidRDefault="00AC319B">
      <w:pPr>
        <w:numPr>
          <w:ilvl w:val="0"/>
          <w:numId w:val="8"/>
        </w:numPr>
      </w:pPr>
      <w:r w:rsidRPr="00AC319B">
        <w:t xml:space="preserve">sätta EU 2020 i ett globalt perspektiv, </w:t>
      </w:r>
    </w:p>
    <w:p w:rsidR="00AC319B" w:rsidRPr="00AC319B" w:rsidRDefault="00AC319B">
      <w:pPr>
        <w:numPr>
          <w:ilvl w:val="0"/>
          <w:numId w:val="8"/>
        </w:numPr>
      </w:pPr>
      <w:r w:rsidRPr="00AC319B">
        <w:t xml:space="preserve">stödja tillväxt genom stabilitets och tillväxtpakten, </w:t>
      </w:r>
    </w:p>
    <w:p w:rsidR="00AC319B" w:rsidRPr="00AC319B" w:rsidRDefault="00AC319B">
      <w:pPr>
        <w:numPr>
          <w:ilvl w:val="0"/>
          <w:numId w:val="8"/>
        </w:numPr>
      </w:pPr>
      <w:r w:rsidRPr="00AC319B">
        <w:t>reflektera prioriteringar i offentliga budgetar samt</w:t>
      </w:r>
    </w:p>
    <w:p w:rsidR="00AC319B" w:rsidRPr="00AC319B" w:rsidRDefault="00AC319B">
      <w:pPr>
        <w:numPr>
          <w:ilvl w:val="0"/>
          <w:numId w:val="8"/>
        </w:numPr>
      </w:pPr>
      <w:r w:rsidRPr="00AC319B">
        <w:t xml:space="preserve">en tydligare styrning av strategin.   </w:t>
      </w:r>
    </w:p>
    <w:p w:rsidR="00AC319B" w:rsidRPr="00AC319B" w:rsidRDefault="00AC319B">
      <w:pPr>
        <w:pStyle w:val="Rubrik2"/>
      </w:pPr>
      <w:r w:rsidRPr="00AC319B">
        <w:t>Gällande svenska regler och förslagets effekt på dessa</w:t>
      </w:r>
    </w:p>
    <w:p w:rsidR="00AC319B" w:rsidRPr="00AC319B" w:rsidRDefault="00AC319B">
      <w:r w:rsidRPr="00AC319B">
        <w:t xml:space="preserve">Inga. Kommissionens arbetsdokument ligger till grund för ett offentligt samråd inom ramen för den öppna samordningsmetoden. </w:t>
      </w:r>
    </w:p>
    <w:p w:rsidR="00AC319B" w:rsidRPr="00AC319B" w:rsidRDefault="00AC319B">
      <w:pPr>
        <w:pStyle w:val="Rubrik2"/>
      </w:pPr>
      <w:r w:rsidRPr="00AC319B">
        <w:t>Budgetära konsekvenser / Konsekvensanalys</w:t>
      </w:r>
    </w:p>
    <w:p w:rsidR="00AC319B" w:rsidRPr="00AC319B" w:rsidRDefault="00AC319B">
      <w:r w:rsidRPr="00AC319B">
        <w:t xml:space="preserve">Inga. Se ovan. </w:t>
      </w:r>
    </w:p>
    <w:p w:rsidR="00AC319B" w:rsidRPr="00AC319B" w:rsidRDefault="00AC319B">
      <w:pPr>
        <w:pStyle w:val="Rubrik1"/>
      </w:pPr>
      <w:r w:rsidRPr="00AC319B">
        <w:t>Ståndpunkter</w:t>
      </w:r>
    </w:p>
    <w:p w:rsidR="00AC319B" w:rsidRPr="00AC319B" w:rsidRDefault="00AC319B">
      <w:pPr>
        <w:pStyle w:val="Rubrik2"/>
      </w:pPr>
      <w:r w:rsidRPr="00AC319B">
        <w:t>Preliminär svensk ståndpunkt</w:t>
      </w:r>
    </w:p>
    <w:p w:rsidR="00AC319B" w:rsidRPr="00AC319B" w:rsidRDefault="00AC319B">
      <w:r w:rsidRPr="00AC319B">
        <w:t>Regeringens utgångspunkt är att EU behöver en ambitiös och samordnad strategi  med fokus på det övergripande målet hållbar tillväxt. Detta för att långsiktigt stärka EU:s konkurrenskraft i en global ekonomi, möta klimat utmaningarna och hantera effekterna av en åldrande befolkning. För att uppnå detta bör strategin inbegripa ett antal nyckelområden:</w:t>
      </w:r>
    </w:p>
    <w:p w:rsidR="00AC319B" w:rsidRPr="00AC319B" w:rsidRDefault="00AC319B">
      <w:pPr>
        <w:numPr>
          <w:ilvl w:val="0"/>
          <w:numId w:val="10"/>
        </w:numPr>
      </w:pPr>
      <w:r w:rsidRPr="00AC319B">
        <w:t>Främja extern och intern öppenhet, sund konkurrens och en väl fungerande inre marknad</w:t>
      </w:r>
    </w:p>
    <w:p w:rsidR="00AC319B" w:rsidRPr="00AC319B" w:rsidRDefault="00AC319B">
      <w:pPr>
        <w:numPr>
          <w:ilvl w:val="0"/>
          <w:numId w:val="9"/>
        </w:numPr>
      </w:pPr>
      <w:r w:rsidRPr="00AC319B">
        <w:t>Säkra hållbara offentliga finanser</w:t>
      </w:r>
    </w:p>
    <w:p w:rsidR="00AC319B" w:rsidRPr="00AC319B" w:rsidRDefault="00AC319B">
      <w:pPr>
        <w:numPr>
          <w:ilvl w:val="0"/>
          <w:numId w:val="9"/>
        </w:numPr>
      </w:pPr>
      <w:r w:rsidRPr="00AC319B">
        <w:t>Uppnå full sysselsättning och ökat arbetskraftutbud</w:t>
      </w:r>
    </w:p>
    <w:p w:rsidR="00AC319B" w:rsidRPr="00AC319B" w:rsidRDefault="00AC319B">
      <w:pPr>
        <w:numPr>
          <w:ilvl w:val="0"/>
          <w:numId w:val="9"/>
        </w:numPr>
      </w:pPr>
      <w:r w:rsidRPr="00AC319B">
        <w:t>Främja investeringar i humankapital och forskning</w:t>
      </w:r>
    </w:p>
    <w:p w:rsidR="00AC319B" w:rsidRPr="00AC319B" w:rsidRDefault="00AC319B">
      <w:pPr>
        <w:numPr>
          <w:ilvl w:val="0"/>
          <w:numId w:val="9"/>
        </w:numPr>
      </w:pPr>
      <w:r w:rsidRPr="00AC319B">
        <w:t>Fokusera på övergång till en trygg och hållbar koldioxid- och resurssnål ekonomi samt ett innovativt företagsklimat</w:t>
      </w:r>
    </w:p>
    <w:p w:rsidR="00AC319B" w:rsidRPr="00AC319B" w:rsidRDefault="00AC319B"/>
    <w:p w:rsidR="00AC319B" w:rsidRPr="00AC319B" w:rsidRDefault="00AC319B">
      <w:r w:rsidRPr="00AC319B">
        <w:t xml:space="preserve">Strategins styrning bör förbättras genom färre men tydligare mål, bättre samstämmighet </w:t>
      </w:r>
      <w:r w:rsidRPr="00AC319B">
        <w:rPr>
          <w:color w:val="000000"/>
          <w:sz w:val="18"/>
          <w:szCs w:val="18"/>
        </w:rPr>
        <w:t>mellan strategins övergripande målsättningar och de konkreta målen</w:t>
      </w:r>
      <w:r w:rsidRPr="00AC319B">
        <w:t>, ökad involvering av lokala, regionala och nationella aktörer, bättre och effektivare  uppföljning och utvärdering samt bättre anpassning till enskilda länders utmaningar och utgångspunkter för att stärka genomförandet och det nationella ägarskapet.</w:t>
      </w:r>
    </w:p>
    <w:p w:rsidR="00AC319B" w:rsidRPr="00AC319B" w:rsidRDefault="00AC319B">
      <w:pPr>
        <w:pStyle w:val="Rubrik2"/>
      </w:pPr>
      <w:r w:rsidRPr="00AC319B">
        <w:t>Medlemsstaternas ståndpunkter</w:t>
      </w:r>
    </w:p>
    <w:p w:rsidR="00AC319B" w:rsidRPr="00AC319B" w:rsidRDefault="00AC319B">
      <w:r w:rsidRPr="00AC319B">
        <w:t>Vid en första politisk diskussion i Allmänna rådet den 16 november betonade ett  stort antal medlemsstater vikten av en extern dimension i strategin samt en väl fungerande inre marknad. Ett antal länder framhöll vikten av att stärka den sociala dimensionen i strategin. Vidare påpekade ett antal länder betydelsen av att stärka den industriella basen i Europa. Flera medlemsstater betonade vikten av, inom ramen för strategin, ökad koordinering mellan policyområden, samt kopplingen till finansiella perspektive</w:t>
      </w:r>
      <w:r w:rsidRPr="00AC319B">
        <w:t xml:space="preserve">t samt till Stabilitets- och tillväxtpakten. </w:t>
      </w:r>
    </w:p>
    <w:p w:rsidR="00AC319B" w:rsidRPr="00AC319B" w:rsidRDefault="00AC319B">
      <w:pPr>
        <w:pStyle w:val="Rubrik2"/>
      </w:pPr>
      <w:r w:rsidRPr="00AC319B">
        <w:t>Institutionernas ståndpunkter</w:t>
      </w:r>
    </w:p>
    <w:p w:rsidR="00AC319B" w:rsidRPr="00AC319B" w:rsidRDefault="00AC319B">
      <w:r w:rsidRPr="00AC319B">
        <w:t xml:space="preserve">Ej kända. </w:t>
      </w:r>
    </w:p>
    <w:p w:rsidR="00AC319B" w:rsidRPr="00AC319B" w:rsidRDefault="00AC319B">
      <w:pPr>
        <w:pStyle w:val="Rubrik2"/>
      </w:pPr>
      <w:r w:rsidRPr="00AC319B">
        <w:t>Remissinstansernas ståndpunkter</w:t>
      </w:r>
    </w:p>
    <w:p w:rsidR="00AC319B" w:rsidRPr="00AC319B" w:rsidRDefault="00AC319B">
      <w:r w:rsidRPr="00AC319B">
        <w:t>Ej kända.</w:t>
      </w:r>
    </w:p>
    <w:p w:rsidR="00AC319B" w:rsidRPr="00AC319B" w:rsidRDefault="00AC319B">
      <w:pPr>
        <w:pStyle w:val="Rubrik1"/>
      </w:pPr>
      <w:r w:rsidRPr="00AC319B">
        <w:t>Förslagets förutsättningar</w:t>
      </w:r>
    </w:p>
    <w:p w:rsidR="00AC319B" w:rsidRPr="00AC319B" w:rsidRDefault="00AC319B">
      <w:pPr>
        <w:pStyle w:val="Rubrik2"/>
      </w:pPr>
      <w:r w:rsidRPr="00AC319B">
        <w:t>Rättslig grund och beslutsförfarande</w:t>
      </w:r>
    </w:p>
    <w:p w:rsidR="00AC319B" w:rsidRPr="00AC319B" w:rsidRDefault="00AC319B">
      <w:r w:rsidRPr="00AC319B">
        <w:t>Inte applicerbart då det är ett arbetsdokument som underlag för ett offentligt samråd.</w:t>
      </w:r>
    </w:p>
    <w:p w:rsidR="00AC319B" w:rsidRPr="00AC319B" w:rsidRDefault="00AC319B">
      <w:pPr>
        <w:pStyle w:val="Rubrik2"/>
      </w:pPr>
      <w:r w:rsidRPr="00AC319B">
        <w:t>Subsidiaritets- och proportionalitetsprincipen</w:t>
      </w:r>
    </w:p>
    <w:p w:rsidR="00AC319B" w:rsidRPr="00AC319B" w:rsidRDefault="00AC319B">
      <w:r w:rsidRPr="00AC319B">
        <w:t>Inte applicerbart då det är ett arbetsdokument som underlag för ett offentligt samråd.</w:t>
      </w:r>
    </w:p>
    <w:p w:rsidR="00AC319B" w:rsidRPr="00AC319B" w:rsidRDefault="00AC319B"/>
    <w:p w:rsidR="00AC319B" w:rsidRPr="00AC319B" w:rsidRDefault="00AC319B">
      <w:pPr>
        <w:pStyle w:val="Rubrik1"/>
      </w:pPr>
      <w:r w:rsidRPr="00AC319B">
        <w:t>Övrigt</w:t>
      </w:r>
    </w:p>
    <w:p w:rsidR="00AC319B" w:rsidRPr="00AC319B" w:rsidRDefault="00AC319B">
      <w:pPr>
        <w:pStyle w:val="Rubrik2"/>
      </w:pPr>
      <w:r w:rsidRPr="00AC319B">
        <w:t>Fortsatt behandling av ärendet</w:t>
      </w:r>
    </w:p>
    <w:p w:rsidR="00AC319B" w:rsidRPr="00AC319B" w:rsidRDefault="00AC319B">
      <w:r w:rsidRPr="00AC319B">
        <w:t xml:space="preserve">Svar på samrådet ska vara kommissionen tillhanda senast den 15 januari. Kommissionens förslag på ny strategi EU 2020 kommer troligen att presenteras i början av februari. Beslut fattas av Europeiska rådet vid toppmötet i mars 2010.  </w:t>
      </w:r>
    </w:p>
    <w:p w:rsidR="00AC319B" w:rsidRPr="00AC319B" w:rsidRDefault="00AC319B">
      <w:pPr>
        <w:pStyle w:val="Rubrik2"/>
      </w:pPr>
      <w:r w:rsidRPr="00AC319B">
        <w:t>Fackuttryck / termer</w:t>
      </w:r>
    </w:p>
    <w:p w:rsidR="00AC319B" w:rsidRPr="00AC319B" w:rsidRDefault="00AC319B"/>
    <w:sectPr w:rsidR="00000000" w:rsidRPr="00AC319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19B" w:rsidRPr="00AC319B" w:rsidRDefault="00AC319B">
      <w:r w:rsidRPr="00AC319B">
        <w:separator/>
      </w:r>
    </w:p>
  </w:endnote>
  <w:endnote w:type="continuationSeparator" w:id="0">
    <w:p w:rsidR="00AC319B" w:rsidRPr="00AC319B" w:rsidRDefault="00AC319B">
      <w:r w:rsidRPr="00AC3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SidfotH"/>
      <w:framePr w:wrap="around"/>
    </w:pPr>
    <w:r w:rsidRPr="00AC319B">
      <w:t>4</w:t>
    </w:r>
  </w:p>
  <w:p w:rsidR="00AC319B" w:rsidRPr="00AC319B" w:rsidRDefault="00AC31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SidfotH"/>
      <w:framePr w:wrap="around"/>
    </w:pPr>
    <w:r w:rsidRPr="00AC319B">
      <w:t>1</w:t>
    </w:r>
  </w:p>
  <w:p w:rsidR="00AC319B" w:rsidRPr="00AC319B" w:rsidRDefault="00AC31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19B" w:rsidRPr="00AC319B" w:rsidRDefault="00AC319B">
      <w:r w:rsidRPr="00AC319B">
        <w:separator/>
      </w:r>
    </w:p>
  </w:footnote>
  <w:footnote w:type="continuationSeparator" w:id="0">
    <w:p w:rsidR="00AC319B" w:rsidRPr="00AC319B" w:rsidRDefault="00AC319B">
      <w:r w:rsidRPr="00AC3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Kantrubrik"/>
      <w:framePr w:h="1157" w:hRule="exact" w:wrap="around" w:y="738"/>
    </w:pPr>
    <w:r w:rsidRPr="00AC319B">
      <w:t>2009/10:FPM40</w:t>
    </w:r>
  </w:p>
  <w:p w:rsidR="00AC319B" w:rsidRPr="00AC319B" w:rsidRDefault="00AC31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9B" w:rsidRPr="00AC319B" w:rsidRDefault="00AC319B">
    <w:pPr>
      <w:pStyle w:val="Sidhuvud"/>
    </w:pPr>
    <w:r w:rsidRPr="00AC319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49760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19B" w:rsidRDefault="00AC31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C319B" w:rsidRDefault="00AC319B">
                    <w:pPr>
                      <w:pStyle w:val="Logo"/>
                    </w:pPr>
                    <w:r>
                      <w:object w:dxaOrig="840" w:dyaOrig="1545">
                        <v:shape id="_x0000_i1025" type="#_x0000_t75" style="width:42pt;height:77.5pt" filled="t">
                          <v:imagedata r:id="rId1" o:title=""/>
                        </v:shape>
                        <o:OLEObject Type="Embed" ProgID="Word.Picture.8" ShapeID="_x0000_i1025" DrawAspect="Content" ObjectID="_18275303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745C51"/>
    <w:multiLevelType w:val="hybridMultilevel"/>
    <w:tmpl w:val="770A4EEC"/>
    <w:lvl w:ilvl="0" w:tplc="030C2506">
      <w:numFmt w:val="bullet"/>
      <w:lvlText w:val="-"/>
      <w:lvlJc w:val="left"/>
      <w:pPr>
        <w:tabs>
          <w:tab w:val="num" w:pos="720"/>
        </w:tabs>
        <w:ind w:left="720" w:hanging="360"/>
      </w:pPr>
      <w:rPr>
        <w:rFonts w:ascii="OrigGarmnd BT" w:eastAsia="Symbol" w:hAnsi="OrigGarmnd BT"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340D"/>
    <w:multiLevelType w:val="hybridMultilevel"/>
    <w:tmpl w:val="286C0384"/>
    <w:lvl w:ilvl="0" w:tplc="030C2506">
      <w:numFmt w:val="bullet"/>
      <w:lvlText w:val="-"/>
      <w:lvlJc w:val="left"/>
      <w:pPr>
        <w:tabs>
          <w:tab w:val="num" w:pos="720"/>
        </w:tabs>
        <w:ind w:left="720" w:hanging="360"/>
      </w:pPr>
      <w:rPr>
        <w:rFonts w:ascii="OrigGarmnd BT" w:eastAsia="Symbol" w:hAnsi="OrigGarmnd BT"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EFC1122"/>
    <w:multiLevelType w:val="hybridMultilevel"/>
    <w:tmpl w:val="E020BE98"/>
    <w:lvl w:ilvl="0" w:tplc="030C2506">
      <w:numFmt w:val="bullet"/>
      <w:lvlText w:val="-"/>
      <w:lvlJc w:val="left"/>
      <w:pPr>
        <w:tabs>
          <w:tab w:val="num" w:pos="720"/>
        </w:tabs>
        <w:ind w:left="720" w:hanging="360"/>
      </w:pPr>
      <w:rPr>
        <w:rFonts w:ascii="OrigGarmnd BT" w:eastAsia="Symbol" w:hAnsi="OrigGarmnd BT"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2560E"/>
    <w:multiLevelType w:val="hybridMultilevel"/>
    <w:tmpl w:val="570A7342"/>
    <w:lvl w:ilvl="0" w:tplc="030C2506">
      <w:numFmt w:val="bullet"/>
      <w:lvlText w:val="-"/>
      <w:lvlJc w:val="left"/>
      <w:pPr>
        <w:tabs>
          <w:tab w:val="num" w:pos="720"/>
        </w:tabs>
        <w:ind w:left="720" w:hanging="360"/>
      </w:pPr>
      <w:rPr>
        <w:rFonts w:ascii="OrigGarmnd BT" w:eastAsia="Symbol" w:hAnsi="OrigGarmnd BT"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7366916">
    <w:abstractNumId w:val="8"/>
  </w:num>
  <w:num w:numId="2" w16cid:durableId="477261649">
    <w:abstractNumId w:val="3"/>
  </w:num>
  <w:num w:numId="3" w16cid:durableId="1192186501">
    <w:abstractNumId w:val="6"/>
  </w:num>
  <w:num w:numId="4" w16cid:durableId="1952007832">
    <w:abstractNumId w:val="7"/>
  </w:num>
  <w:num w:numId="5" w16cid:durableId="1794131720">
    <w:abstractNumId w:val="9"/>
  </w:num>
  <w:num w:numId="6" w16cid:durableId="1356690370">
    <w:abstractNumId w:val="0"/>
  </w:num>
  <w:num w:numId="7" w16cid:durableId="617877772">
    <w:abstractNumId w:val="5"/>
  </w:num>
  <w:num w:numId="8" w16cid:durableId="1067799829">
    <w:abstractNumId w:val="2"/>
  </w:num>
  <w:num w:numId="9" w16cid:durableId="1120370626">
    <w:abstractNumId w:val="1"/>
  </w:num>
  <w:num w:numId="10" w16cid:durableId="349723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21"/>
    <w:docVar w:name="Ar" w:val="2009/10"/>
    <w:docVar w:name="Dep" w:val="Statsrådsberedningen"/>
    <w:docVar w:name="DepWeb" w:val="Statsrådsberedningen"/>
    <w:docVar w:name="GDB1" w:val="KOM(2009) 6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arbetsdokument samråd om framtidsstrategin ”EU 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647"/>
    <w:docVar w:name="Nr" w:val="40"/>
    <w:docVar w:name="RD_APPVERSION" w:val="3.00"/>
    <w:docVar w:name="Rub" w:val="EU 2020 - Kommissionens samråd om efterföljaren till Lissabonstrategin"/>
    <w:docVar w:name="UppDat" w:val="2009-12-21"/>
    <w:docVar w:name="Utsk" w:val="Finansutskottet"/>
  </w:docVars>
  <w:rsids>
    <w:rsidRoot w:val="00BB3E2F"/>
    <w:rsid w:val="00AC319B"/>
    <w:rsid w:val="00BB3E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D0D68C-2551-4A2B-8442-84D5E300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3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845</Words>
  <Characters>5359</Characters>
  <Application>Microsoft Office Word</Application>
  <DocSecurity>4</DocSecurity>
  <Lines>119</Lines>
  <Paragraphs>61</Paragraphs>
  <ScaleCrop>false</ScaleCrop>
  <HeadingPairs>
    <vt:vector size="2" baseType="variant">
      <vt:variant>
        <vt:lpstr>Rubrik</vt:lpstr>
      </vt:variant>
      <vt:variant>
        <vt:i4>1</vt:i4>
      </vt:variant>
    </vt:vector>
  </HeadingPairs>
  <TitlesOfParts>
    <vt:vector size="1" baseType="lpstr">
      <vt:lpstr>FPM_200910__40</vt:lpstr>
    </vt:vector>
  </TitlesOfParts>
  <Company>RD-DTSL</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FPM_200910__40</dc:title>
  <dc:subject>FPM_200910__40</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KOM(2009) 647</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 2020 - Kommissionens samråd om efterföljaren till Lissabonstrategin</vt:lpwstr>
  </property>
  <property fmtid="{D5CDD505-2E9C-101B-9397-08002B2CF9AE}" pid="8" name="UppDat">
    <vt:lpwstr>2009-12-21</vt:lpwstr>
  </property>
  <property fmtid="{D5CDD505-2E9C-101B-9397-08002B2CF9AE}" pid="9" name="AnkDat">
    <vt:lpwstr>2009-12-21</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fs0920aa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